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jc w:val="center"/>
      </w:pPr>
      <w:r>
        <w:rPr>
          <w:b/>
          <w:bCs/>
          <w:color w:val="6B7280"/>
          <w:sz w:val="24"/>
          <w:szCs w:val="24"/>
        </w:rPr>
        <w:t xml:space="preserve">REDBELLY NETWORK</w:t>
      </w:r>
    </w:p>
    <w:p>
      <w:pPr>
        <w:spacing w:after="200" w:before="300"/>
        <w:jc w:val="center"/>
      </w:pPr>
      <w:r>
        <w:rPr>
          <w:b/>
          <w:bCs/>
          <w:color w:val="1F2937"/>
          <w:sz w:val="56"/>
          <w:szCs w:val="56"/>
        </w:rPr>
        <w:t xml:space="preserve">Unstick Your RBNT</w:t>
      </w:r>
    </w:p>
    <w:p>
      <w:pPr>
        <w:spacing w:after="500"/>
        <w:jc w:val="center"/>
      </w:pPr>
      <w:r>
        <w:rPr>
          <w:b/>
          <w:bCs/>
          <w:color w:val="B23A2F"/>
          <w:sz w:val="32"/>
          <w:szCs w:val="32"/>
        </w:rPr>
        <w:t xml:space="preserve">A Cross Chain Recovery Playbook</w:t>
      </w:r>
    </w:p>
    <w:p>
      <w:pPr>
        <w:spacing w:after="100"/>
        <w:jc w:val="center"/>
      </w:pPr>
      <w:r>
        <w:rPr>
          <w:i/>
          <w:iCs/>
          <w:color w:val="6B7280"/>
          <w:sz w:val="22"/>
          <w:szCs w:val="22"/>
        </w:rPr>
        <w:t xml:space="preserve">Community support guide for wrong network sends, stuck bridges, and thin liquidity swaps</w:t>
      </w:r>
    </w:p>
    <w:p>
      <w:pPr>
        <w:spacing w:before="2200"/>
      </w:pPr>
    </w:p>
    <w:p>
      <w:pPr>
        <w:pBdr>
          <w:top w:val="single" w:color="6B7280" w:sz="6" w:space="10"/>
        </w:pBdr>
        <w:spacing w:before="200"/>
        <w:jc w:val="center"/>
      </w:pPr>
      <w:r>
        <w:rPr>
          <w:color w:val="6B7280"/>
          <w:sz w:val="18"/>
          <w:szCs w:val="18"/>
        </w:rPr>
        <w:t xml:space="preserve">Reflects live, independently verified data as of August 2026</w:t>
      </w:r>
    </w:p>
    <w:p>
      <w:pPr>
        <w:jc w:val="center"/>
      </w:pPr>
      <w:r>
        <w:rPr>
          <w:color w:val="6B7280"/>
          <w:sz w:val="18"/>
          <w:szCs w:val="18"/>
        </w:rPr>
        <w:t xml:space="preserve">Liquidity, fees, and routing conditions change frequently. Confirm current quotes before acting on amounts that matter to you.</w:t>
      </w:r>
    </w:p>
    <w:p>
      <w:r>
        <w:br w:type="page"/>
      </w:r>
    </w:p>
    <w:p>
      <w:pPr>
        <w:pStyle w:val="Heading1"/>
      </w:pPr>
      <w:r>
        <w:rPr>
          <w:b/>
          <w:bCs/>
          <w:color w:val="1F2937"/>
        </w:rPr>
        <w:t xml:space="preserve">Contents</w:t>
      </w:r>
    </w:p>
    <w:p>
      <w:pPr>
        <w:spacing w:after="160"/>
      </w:pPr>
    </w:p>
    <w:p>
      <w:pPr>
        <w:tabs>
          <w:tab w:val="right" w:pos="9026" w:leader="dot"/>
        </w:tabs>
        <w:spacing w:after="140"/>
      </w:pPr>
      <w:r>
        <w:rPr>
          <w:sz w:val="24"/>
          <w:szCs w:val="24"/>
        </w:rPr>
        <w:t xml:space="preserve">Part 1. Before You Bridge</w:t>
      </w:r>
      <w:r>
        <w:rPr>
          <w:sz w:val="24"/>
          <w:szCs w:val="24"/>
        </w:rPr>
        <w:t xml:space="preserve">	3</w:t>
      </w:r>
    </w:p>
    <w:p>
      <w:pPr>
        <w:tabs>
          <w:tab w:val="right" w:pos="9026" w:leader="dot"/>
        </w:tabs>
        <w:spacing w:after="140"/>
      </w:pPr>
      <w:r>
        <w:rPr>
          <w:sz w:val="24"/>
          <w:szCs w:val="24"/>
        </w:rPr>
        <w:t xml:space="preserve">Part 2. Reference Tables</w:t>
      </w:r>
      <w:r>
        <w:rPr>
          <w:sz w:val="24"/>
          <w:szCs w:val="24"/>
        </w:rPr>
        <w:t xml:space="preserve">	4</w:t>
      </w:r>
    </w:p>
    <w:p>
      <w:pPr>
        <w:tabs>
          <w:tab w:val="right" w:pos="9026" w:leader="dot"/>
        </w:tabs>
        <w:spacing w:after="140"/>
      </w:pPr>
      <w:r>
        <w:rPr>
          <w:sz w:val="24"/>
          <w:szCs w:val="24"/>
        </w:rPr>
        <w:t xml:space="preserve">Part 3. Failure Mode 1: Wrapped RBNT Zero Value or Swap Fail</w:t>
      </w:r>
      <w:r>
        <w:rPr>
          <w:sz w:val="24"/>
          <w:szCs w:val="24"/>
        </w:rPr>
        <w:t xml:space="preserve">	6</w:t>
      </w:r>
    </w:p>
    <w:p>
      <w:pPr>
        <w:tabs>
          <w:tab w:val="right" w:pos="9026" w:leader="dot"/>
        </w:tabs>
        <w:spacing w:after="140"/>
      </w:pPr>
      <w:r>
        <w:rPr>
          <w:sz w:val="24"/>
          <w:szCs w:val="24"/>
        </w:rPr>
        <w:t xml:space="preserve">Part 4. Failure Mode 2: Quote Unavailable Bridging RBNT Back to Redbelly Network</w:t>
      </w:r>
      <w:r>
        <w:rPr>
          <w:sz w:val="24"/>
          <w:szCs w:val="24"/>
        </w:rPr>
        <w:t xml:space="preserve">	8</w:t>
      </w:r>
    </w:p>
    <w:p>
      <w:pPr>
        <w:tabs>
          <w:tab w:val="right" w:pos="9026" w:leader="dot"/>
        </w:tabs>
        <w:spacing w:after="140"/>
      </w:pPr>
      <w:r>
        <w:rPr>
          <w:sz w:val="24"/>
          <w:szCs w:val="24"/>
        </w:rPr>
        <w:t xml:space="preserve">Part 5. Failure Mode 3: Stablecoins Stranded on Ethereum Mainnet</w:t>
      </w:r>
      <w:r>
        <w:rPr>
          <w:sz w:val="24"/>
          <w:szCs w:val="24"/>
        </w:rPr>
        <w:t xml:space="preserve">	10</w:t>
      </w:r>
    </w:p>
    <w:p>
      <w:pPr>
        <w:tabs>
          <w:tab w:val="right" w:pos="9026" w:leader="dot"/>
        </w:tabs>
        <w:spacing w:after="140"/>
      </w:pPr>
      <w:r>
        <w:rPr>
          <w:sz w:val="24"/>
          <w:szCs w:val="24"/>
        </w:rPr>
        <w:t xml:space="preserve">Part 6. Failure Mode 4: Native RBNT Sent to a CEX Deposit Address by Mistake</w:t>
      </w:r>
      <w:r>
        <w:rPr>
          <w:sz w:val="24"/>
          <w:szCs w:val="24"/>
        </w:rPr>
        <w:t xml:space="preserve">	12</w:t>
      </w:r>
    </w:p>
    <w:p>
      <w:r>
        <w:br w:type="page"/>
      </w:r>
    </w:p>
    <w:p>
      <w:pPr>
        <w:pStyle w:val="Heading1"/>
        <w:spacing w:after="200" w:before="400"/>
      </w:pPr>
      <w:r>
        <w:rPr>
          <w:b/>
          <w:bCs/>
          <w:color w:val="1F2937"/>
        </w:rPr>
        <w:t xml:space="preserve">Part 1. Before You Bridge</w:t>
      </w:r>
    </w:p>
    <w:p>
      <w:pPr>
        <w:pBdr>
          <w:left w:val="single" w:color="B23A2F" w:sz="24" w:space="8"/>
        </w:pBdr>
        <w:shd w:fill="F3F1EA" w:val="clear"/>
        <w:spacing w:after="220" w:before="120"/>
        <w:ind w:left="200"/>
      </w:pPr>
      <w:r>
        <w:rPr>
          <w:b/>
          <w:bCs/>
          <w:sz w:val="22"/>
          <w:szCs w:val="22"/>
        </w:rPr>
        <w:t xml:space="preserve">Before you bridge anything: do not send RBNT directly to a centralized exchange deposit address unless the exchange explicitly supports the network you are sending on.</w:t>
      </w:r>
    </w:p>
    <w:p>
      <w:pPr>
        <w:spacing w:after="160"/>
      </w:pPr>
      <w:r>
        <w:rPr>
          <w:b w:val="false"/>
          <w:bCs w:val="false"/>
          <w:i w:val="false"/>
          <w:iCs w:val="false"/>
          <w:sz w:val="22"/>
          <w:szCs w:val="22"/>
        </w:rPr>
        <w:t xml:space="preserve">RBNT currently trades on four active exchanges: Gate, MEXC, WhiteBIT, and BYDFi.</w:t>
      </w:r>
    </w:p>
    <w:p>
      <w:pPr>
        <w:spacing w:after="160"/>
      </w:pPr>
      <w:r>
        <w:rPr>
          <w:b w:val="false"/>
          <w:bCs w:val="false"/>
          <w:i w:val="false"/>
          <w:iCs w:val="false"/>
          <w:sz w:val="22"/>
          <w:szCs w:val="22"/>
        </w:rPr>
        <w:t xml:space="preserve">Sending native RBNT or wrapped RBNT to the wrong network is the hardest of these four failure modes to reverse, and recovery odds are not the same across exchanges.</w:t>
      </w:r>
    </w:p>
    <w:p>
      <w:pPr>
        <w:pStyle w:val="ListParagraph"/>
        <w:numPr>
          <w:ilvl w:val="0"/>
          <w:numId w:val="2"/>
        </w:numPr>
        <w:spacing w:after="80"/>
      </w:pPr>
      <w:r>
        <w:rPr>
          <w:sz w:val="22"/>
          <w:szCs w:val="22"/>
        </w:rPr>
        <w:t xml:space="preserve">Gate and MEXC both have a self service recovery form for wrong network deposits. Neither guarantees success, and MEXC charges a processing fee regardless of outcome.</w:t>
      </w:r>
    </w:p>
    <w:p>
      <w:pPr>
        <w:pStyle w:val="ListParagraph"/>
        <w:numPr>
          <w:ilvl w:val="0"/>
          <w:numId w:val="2"/>
        </w:numPr>
        <w:spacing w:after="80"/>
      </w:pPr>
      <w:r>
        <w:rPr>
          <w:sz w:val="22"/>
          <w:szCs w:val="22"/>
        </w:rPr>
        <w:t xml:space="preserve">BYDFi handles this through support rather than a self service form, using your transaction hash and account ID. No fee is stated in their own documentation, but recovery is still not guaranteed.</w:t>
      </w:r>
    </w:p>
    <w:p>
      <w:pPr>
        <w:pStyle w:val="ListParagraph"/>
        <w:numPr>
          <w:ilvl w:val="0"/>
          <w:numId w:val="2"/>
        </w:numPr>
        <w:spacing w:after="80"/>
      </w:pPr>
      <w:r>
        <w:rPr>
          <w:sz w:val="22"/>
          <w:szCs w:val="22"/>
        </w:rPr>
        <w:t xml:space="preserve">WhiteBIT has the weakest documented process of the four. Their own help center states a wrong network deposit may result in irreversible loss, and there is no dedicated recovery form, only a general support ticket. Treat a WhiteBIT wrong network deposit as lower odds than the other three.</w:t>
      </w:r>
    </w:p>
    <w:p>
      <w:pPr>
        <w:pStyle w:val="Heading3"/>
        <w:spacing w:after="100" w:before="200"/>
      </w:pPr>
      <w:r>
        <w:rPr>
          <w:b/>
          <w:bCs/>
        </w:rPr>
        <w:t xml:space="preserve">Correct deposit procedure</w:t>
      </w:r>
    </w:p>
    <w:p>
      <w:pPr>
        <w:pStyle w:val="ListParagraph"/>
        <w:numPr>
          <w:ilvl w:val="0"/>
          <w:numId w:val="3"/>
        </w:numPr>
        <w:spacing w:after="80"/>
      </w:pPr>
      <w:r>
        <w:rPr>
          <w:sz w:val="22"/>
          <w:szCs w:val="22"/>
        </w:rPr>
        <w:t xml:space="preserve">Confirm the exchange lists RBNT as a supported deposit asset before sending anything.</w:t>
      </w:r>
    </w:p>
    <w:p>
      <w:pPr>
        <w:pStyle w:val="ListParagraph"/>
        <w:numPr>
          <w:ilvl w:val="0"/>
          <w:numId w:val="3"/>
        </w:numPr>
        <w:spacing w:after="80"/>
      </w:pPr>
      <w:r>
        <w:rPr>
          <w:sz w:val="22"/>
          <w:szCs w:val="22"/>
        </w:rPr>
        <w:t xml:space="preserve">Confirm which network the exchange expects the deposit on. An exchange listing RBNT does not mean it accepts every wrapped version of RBNT on every chain.</w:t>
      </w:r>
    </w:p>
    <w:p>
      <w:pPr>
        <w:pStyle w:val="ListParagraph"/>
        <w:numPr>
          <w:ilvl w:val="0"/>
          <w:numId w:val="3"/>
        </w:numPr>
        <w:spacing w:after="80"/>
      </w:pPr>
      <w:r>
        <w:rPr>
          <w:sz w:val="22"/>
          <w:szCs w:val="22"/>
        </w:rPr>
        <w:t xml:space="preserve">Send a small test amount first if the exchange and network combination is new to you.</w:t>
      </w:r>
    </w:p>
    <w:p>
      <w:pPr>
        <w:pStyle w:val="ListParagraph"/>
        <w:numPr>
          <w:ilvl w:val="0"/>
          <w:numId w:val="3"/>
        </w:numPr>
        <w:spacing w:after="80"/>
      </w:pPr>
      <w:r>
        <w:rPr>
          <w:sz w:val="22"/>
          <w:szCs w:val="22"/>
        </w:rPr>
        <w:t xml:space="preserve">Keep the transaction hash, the deposit address used, and a timestamp for every deposit you make. You will need this evidence if something goes wrong.</w:t>
      </w:r>
    </w:p>
    <w:p>
      <w:pPr>
        <w:spacing w:after="160"/>
      </w:pPr>
      <w:r>
        <w:rPr>
          <w:b w:val="false"/>
          <w:bCs w:val="false"/>
          <w:i/>
          <w:iCs/>
          <w:sz w:val="22"/>
          <w:szCs w:val="22"/>
        </w:rPr>
        <w:t xml:space="preserve">If you have already sent funds to the wrong address or the wrong network, skip to Part 6. Do not resend funds to fix the mistake, and do not click any claim link sent to you in Discord or a direct message claiming to help recover the funds.</w:t>
      </w:r>
    </w:p>
    <w:p>
      <w:r>
        <w:br w:type="page"/>
      </w:r>
    </w:p>
    <w:p>
      <w:pPr>
        <w:pStyle w:val="Heading1"/>
        <w:spacing w:after="200" w:before="400"/>
      </w:pPr>
      <w:r>
        <w:rPr>
          <w:b/>
          <w:bCs/>
          <w:color w:val="1F2937"/>
        </w:rPr>
        <w:t xml:space="preserve">Part 2. Reference Tables</w:t>
      </w:r>
    </w:p>
    <w:p>
      <w:pPr>
        <w:pStyle w:val="Heading2"/>
        <w:spacing w:after="150" w:before="300"/>
      </w:pPr>
      <w:r>
        <w:rPr>
          <w:b/>
          <w:bCs/>
          <w:color w:val="B23A2F"/>
        </w:rPr>
        <w:t xml:space="preserve">Wrapped RBNT Contract Addresses</w:t>
      </w:r>
    </w:p>
    <w:p>
      <w:pPr>
        <w:spacing w:after="160"/>
      </w:pPr>
      <w:r>
        <w:rPr>
          <w:b w:val="false"/>
          <w:bCs w:val="false"/>
          <w:i w:val="false"/>
          <w:iCs w:val="false"/>
          <w:sz w:val="22"/>
          <w:szCs w:val="22"/>
        </w:rPr>
        <w:t xml:space="preserve">Verified against Redbelly's own announcements. Only the addresses below have direct confirmation from Redbelly's own X account, developer docs, or blog. If a token calling itself RBNT or wRBNT appears anywhere else, do not trust it on name alone. Verify the contract address against this table first.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600"/>
        <w:gridCol w:w="2400"/>
        <w:gridCol w:w="1760"/>
      </w:tblGrid>
      <w:tr>
        <w:trPr>
          <w:tblHeader/>
        </w:trPr>
        <w:tc>
          <w:tcPr>
            <w:tcW w:type="dxa" w:w="16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Chain</w:t>
            </w:r>
          </w:p>
        </w:tc>
        <w:tc>
          <w:tcPr>
            <w:tcW w:type="dxa" w:w="36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Contract Address</w:t>
            </w:r>
          </w:p>
        </w:tc>
        <w:tc>
          <w:tcPr>
            <w:tcW w:type="dxa" w:w="24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Confidence</w:t>
            </w:r>
          </w:p>
        </w:tc>
        <w:tc>
          <w:tcPr>
            <w:tcW w:type="dxa" w:w="176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Source</w:t>
            </w:r>
          </w:p>
        </w:tc>
      </w:tr>
      <w:tr>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Ethereum</w:t>
            </w:r>
          </w:p>
        </w:tc>
        <w:tc>
          <w:tcPr>
            <w:tcW w:type="dxa" w:w="3600"/>
            <w:tcMar>
              <w:top w:type="dxa" w:w="100"/>
              <w:left w:type="dxa" w:w="120"/>
              <w:bottom w:type="dxa" w:w="100"/>
              <w:right w:type="dxa" w:w="120"/>
            </w:tcMar>
          </w:tcPr>
          <w:p>
            <w:r>
              <w:rPr>
                <w:rFonts w:ascii="Calibri" w:cs="Calibri" w:eastAsia="Calibri" w:hAnsi="Calibri"/>
                <w:b w:val="false"/>
                <w:bCs w:val="false"/>
                <w:sz w:val="20"/>
                <w:szCs w:val="20"/>
              </w:rPr>
              <w:t xml:space="preserve">0xb45ffb51984d626ee758b336c61cf20990c6bf13</w:t>
            </w:r>
          </w:p>
        </w:tc>
        <w:tc>
          <w:tcPr>
            <w:tcW w:type="dxa" w:w="2400"/>
            <w:tcMar>
              <w:top w:type="dxa" w:w="100"/>
              <w:left w:type="dxa" w:w="120"/>
              <w:bottom w:type="dxa" w:w="100"/>
              <w:right w:type="dxa" w:w="120"/>
            </w:tcMar>
          </w:tcPr>
          <w:p>
            <w:r>
              <w:rPr>
                <w:rFonts w:ascii="Calibri" w:cs="Calibri" w:eastAsia="Calibri" w:hAnsi="Calibri"/>
                <w:b w:val="false"/>
                <w:bCs w:val="false"/>
                <w:sz w:val="20"/>
                <w:szCs w:val="20"/>
              </w:rPr>
              <w:t xml:space="preserve">High, dedicated official announcement</w:t>
            </w:r>
          </w:p>
        </w:tc>
        <w:tc>
          <w:tcPr>
            <w:tcW w:type="dxa" w:w="1760"/>
            <w:tcMar>
              <w:top w:type="dxa" w:w="100"/>
              <w:left w:type="dxa" w:w="120"/>
              <w:bottom w:type="dxa" w:w="100"/>
              <w:right w:type="dxa" w:w="120"/>
            </w:tcMar>
          </w:tcPr>
          <w:p>
            <w:r>
              <w:rPr>
                <w:rFonts w:ascii="Calibri" w:cs="Calibri" w:eastAsia="Calibri" w:hAnsi="Calibri"/>
                <w:b w:val="false"/>
                <w:bCs w:val="false"/>
                <w:sz w:val="20"/>
                <w:szCs w:val="20"/>
              </w:rPr>
              <w:t xml:space="preserve">Redbelly's own X post, Feb 2025</w:t>
            </w:r>
          </w:p>
        </w:tc>
      </w:tr>
      <w:tr>
        <w:tc>
          <w:tcPr>
            <w:tcW w:type="dxa" w:w="1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Solana</w:t>
            </w:r>
          </w:p>
        </w:tc>
        <w:tc>
          <w:tcPr>
            <w:tcW w:type="dxa" w:w="3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2GBVt2ENvbHepuJMWYTPkkfpWUabAhsaXToYw8UphxS3</w:t>
            </w:r>
          </w:p>
        </w:tc>
        <w:tc>
          <w:tcPr>
            <w:tcW w:type="dxa" w:w="2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High, dedicated official announcement</w:t>
            </w:r>
          </w:p>
        </w:tc>
        <w:tc>
          <w:tcPr>
            <w:tcW w:type="dxa" w:w="17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Redbelly's own X post, Feb 2025</w:t>
            </w:r>
          </w:p>
        </w:tc>
      </w:tr>
      <w:tr>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Redbelly Network (native chain)</w:t>
            </w:r>
          </w:p>
        </w:tc>
        <w:tc>
          <w:tcPr>
            <w:tcW w:type="dxa" w:w="3600"/>
            <w:tcMar>
              <w:top w:type="dxa" w:w="100"/>
              <w:left w:type="dxa" w:w="120"/>
              <w:bottom w:type="dxa" w:w="100"/>
              <w:right w:type="dxa" w:w="120"/>
            </w:tcMar>
          </w:tcPr>
          <w:p>
            <w:r>
              <w:rPr>
                <w:rFonts w:ascii="Calibri" w:cs="Calibri" w:eastAsia="Calibri" w:hAnsi="Calibri"/>
                <w:b w:val="false"/>
                <w:bCs w:val="false"/>
                <w:sz w:val="20"/>
                <w:szCs w:val="20"/>
              </w:rPr>
              <w:t xml:space="preserve">0x6ed1F491e2d31536D6561f6bdB2AdC8F092a6076</w:t>
            </w:r>
          </w:p>
        </w:tc>
        <w:tc>
          <w:tcPr>
            <w:tcW w:type="dxa" w:w="2400"/>
            <w:tcMar>
              <w:top w:type="dxa" w:w="100"/>
              <w:left w:type="dxa" w:w="120"/>
              <w:bottom w:type="dxa" w:w="100"/>
              <w:right w:type="dxa" w:w="120"/>
            </w:tcMar>
          </w:tcPr>
          <w:p>
            <w:r>
              <w:rPr>
                <w:rFonts w:ascii="Calibri" w:cs="Calibri" w:eastAsia="Calibri" w:hAnsi="Calibri"/>
                <w:b w:val="false"/>
                <w:bCs w:val="false"/>
                <w:sz w:val="20"/>
                <w:szCs w:val="20"/>
              </w:rPr>
              <w:t xml:space="preserve">High, confirmed directly</w:t>
            </w:r>
          </w:p>
        </w:tc>
        <w:tc>
          <w:tcPr>
            <w:tcW w:type="dxa" w:w="1760"/>
            <w:tcMar>
              <w:top w:type="dxa" w:w="100"/>
              <w:left w:type="dxa" w:w="120"/>
              <w:bottom w:type="dxa" w:w="100"/>
              <w:right w:type="dxa" w:w="120"/>
            </w:tcMar>
          </w:tcPr>
          <w:p>
            <w:r>
              <w:rPr>
                <w:rFonts w:ascii="Calibri" w:cs="Calibri" w:eastAsia="Calibri" w:hAnsi="Calibri"/>
                <w:b w:val="false"/>
                <w:bCs w:val="false"/>
                <w:sz w:val="20"/>
                <w:szCs w:val="20"/>
              </w:rPr>
              <w:t xml:space="preserve">Redbelly's own Medium blog</w:t>
            </w:r>
          </w:p>
        </w:tc>
      </w:tr>
      <w:tr>
        <w:tc>
          <w:tcPr>
            <w:tcW w:type="dxa" w:w="1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Base</w:t>
            </w:r>
          </w:p>
        </w:tc>
        <w:tc>
          <w:tcPr>
            <w:tcW w:type="dxa" w:w="3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0x020940df9F5E77338a094D55b5B5914122a804A5</w:t>
            </w:r>
          </w:p>
        </w:tc>
        <w:tc>
          <w:tcPr>
            <w:tcW w:type="dxa" w:w="2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Medium, no dedicated announcement, but listed on Redbelly's own docs</w:t>
            </w:r>
          </w:p>
        </w:tc>
        <w:tc>
          <w:tcPr>
            <w:tcW w:type="dxa" w:w="17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Redbelly developer docs</w:t>
            </w:r>
          </w:p>
        </w:tc>
      </w:tr>
      <w:tr>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BNB Chain</w:t>
            </w:r>
          </w:p>
        </w:tc>
        <w:tc>
          <w:tcPr>
            <w:tcW w:type="dxa" w:w="3600"/>
            <w:tcMar>
              <w:top w:type="dxa" w:w="100"/>
              <w:left w:type="dxa" w:w="120"/>
              <w:bottom w:type="dxa" w:w="100"/>
              <w:right w:type="dxa" w:w="120"/>
            </w:tcMar>
          </w:tcPr>
          <w:p>
            <w:r>
              <w:rPr>
                <w:rFonts w:ascii="Calibri" w:cs="Calibri" w:eastAsia="Calibri" w:hAnsi="Calibri"/>
                <w:b w:val="false"/>
                <w:bCs w:val="false"/>
                <w:sz w:val="20"/>
                <w:szCs w:val="20"/>
              </w:rPr>
              <w:t xml:space="preserve">No official token exists</w:t>
            </w:r>
          </w:p>
        </w:tc>
        <w:tc>
          <w:tcPr>
            <w:tcW w:type="dxa" w:w="2400"/>
            <w:tcMar>
              <w:top w:type="dxa" w:w="100"/>
              <w:left w:type="dxa" w:w="120"/>
              <w:bottom w:type="dxa" w:w="100"/>
              <w:right w:type="dxa" w:w="120"/>
            </w:tcMar>
          </w:tcPr>
          <w:p>
            <w:r>
              <w:rPr>
                <w:rFonts w:ascii="Calibri" w:cs="Calibri" w:eastAsia="Calibri" w:hAnsi="Calibri"/>
                <w:b w:val="false"/>
                <w:bCs w:val="false"/>
                <w:sz w:val="20"/>
                <w:szCs w:val="20"/>
              </w:rPr>
              <w:t xml:space="preserve">N/A</w:t>
            </w:r>
          </w:p>
        </w:tc>
        <w:tc>
          <w:tcPr>
            <w:tcW w:type="dxa" w:w="1760"/>
            <w:tcMar>
              <w:top w:type="dxa" w:w="100"/>
              <w:left w:type="dxa" w:w="120"/>
              <w:bottom w:type="dxa" w:w="100"/>
              <w:right w:type="dxa" w:w="120"/>
            </w:tcMar>
          </w:tcPr>
          <w:p>
            <w:r>
              <w:rPr>
                <w:rFonts w:ascii="Calibri" w:cs="Calibri" w:eastAsia="Calibri" w:hAnsi="Calibri"/>
                <w:b w:val="false"/>
                <w:bCs w:val="false"/>
                <w:sz w:val="20"/>
                <w:szCs w:val="20"/>
              </w:rPr>
              <w:t xml:space="preserve">Confirmed absent, multiple impersonator tokens found instead, do not trust any RBNT token found here</w:t>
            </w:r>
          </w:p>
        </w:tc>
      </w:tr>
    </w:tbl>
    <w:p>
      <w:pPr>
        <w:spacing w:after="200"/>
      </w:pPr>
    </w:p>
    <w:p>
      <w:pPr>
        <w:pStyle w:val="Heading2"/>
        <w:spacing w:after="150" w:before="300"/>
      </w:pPr>
      <w:r>
        <w:rPr>
          <w:b/>
          <w:bCs/>
          <w:color w:val="B23A2F"/>
        </w:rPr>
        <w:t xml:space="preserve">Current Swap Liquidity by Chain</w:t>
      </w:r>
    </w:p>
    <w:p>
      <w:pPr>
        <w:spacing w:after="160"/>
      </w:pPr>
      <w:r>
        <w:rPr>
          <w:b w:val="false"/>
          <w:bCs w:val="false"/>
          <w:i w:val="false"/>
          <w:iCs w:val="false"/>
          <w:sz w:val="22"/>
          <w:szCs w:val="22"/>
        </w:rPr>
        <w:t xml:space="preserve">Checked live, August 2026. Verified liquidity is thin across every chain right now. If your swap shows a large price impact warning, that is usually the pool telling you the truth, not a bug in your wallet.</w:t>
      </w:r>
    </w:p>
    <w:p>
      <w:pPr>
        <w:pStyle w:val="Heading3"/>
        <w:spacing w:after="100" w:before="200"/>
      </w:pPr>
      <w:r>
        <w:rPr>
          <w:b/>
          <w:bCs/>
        </w:rPr>
        <w:t xml:space="preserve">Ethereum</w:t>
      </w:r>
    </w:p>
    <w:p>
      <w:pPr>
        <w:spacing w:after="160"/>
      </w:pPr>
      <w:r>
        <w:rPr>
          <w:b w:val="false"/>
          <w:bCs w:val="false"/>
          <w:i w:val="false"/>
          <w:iCs w:val="false"/>
          <w:sz w:val="22"/>
          <w:szCs w:val="22"/>
        </w:rPr>
        <w:t xml:space="preserve">The on chain pool holds roughly $33,000 in WRBNT paired against WETH. At this depth, swap size changes the outcome sharply.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Swap size</w:t>
            </w:r>
          </w:p>
        </w:tc>
        <w:tc>
          <w:tcPr>
            <w:tcW w:type="dxa" w:w="468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Price impact</w:t>
            </w:r>
          </w:p>
        </w:tc>
      </w:tr>
      <w:tr>
        <w:tc>
          <w:tcPr>
            <w:tcW w:type="dxa" w:w="4680"/>
            <w:tcMar>
              <w:top w:type="dxa" w:w="100"/>
              <w:left w:type="dxa" w:w="120"/>
              <w:bottom w:type="dxa" w:w="100"/>
              <w:right w:type="dxa" w:w="120"/>
            </w:tcMar>
          </w:tcPr>
          <w:p>
            <w:r>
              <w:rPr>
                <w:rFonts w:ascii="Calibri" w:cs="Calibri" w:eastAsia="Calibri" w:hAnsi="Calibri"/>
                <w:b w:val="false"/>
                <w:bCs w:val="false"/>
                <w:sz w:val="20"/>
                <w:szCs w:val="20"/>
              </w:rPr>
              <w:t xml:space="preserve">100,000 WRBNT</w:t>
            </w:r>
          </w:p>
        </w:tc>
        <w:tc>
          <w:tcPr>
            <w:tcW w:type="dxa" w:w="4680"/>
            <w:tcMar>
              <w:top w:type="dxa" w:w="100"/>
              <w:left w:type="dxa" w:w="120"/>
              <w:bottom w:type="dxa" w:w="100"/>
              <w:right w:type="dxa" w:w="120"/>
            </w:tcMar>
          </w:tcPr>
          <w:p>
            <w:r>
              <w:rPr>
                <w:rFonts w:ascii="Calibri" w:cs="Calibri" w:eastAsia="Calibri" w:hAnsi="Calibri"/>
                <w:b w:val="false"/>
                <w:bCs w:val="false"/>
                <w:sz w:val="20"/>
                <w:szCs w:val="20"/>
              </w:rPr>
              <w:t xml:space="preserve">1.5% to 2.9%, depending on aggregator</w:t>
            </w:r>
          </w:p>
        </w:tc>
      </w:tr>
      <w:tr>
        <w:tc>
          <w:tcPr>
            <w:tcW w:type="dxa" w:w="468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1,000,000 WRBNT</w:t>
            </w:r>
          </w:p>
        </w:tc>
        <w:tc>
          <w:tcPr>
            <w:tcW w:type="dxa" w:w="468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13% on 1inch, 14% on OKX</w:t>
            </w:r>
          </w:p>
        </w:tc>
      </w:tr>
    </w:tbl>
    <w:p>
      <w:pPr>
        <w:spacing w:after="200"/>
      </w:pPr>
    </w:p>
    <w:p>
      <w:pPr>
        <w:pStyle w:val="Heading3"/>
        <w:spacing w:after="100" w:before="200"/>
      </w:pPr>
      <w:r>
        <w:rPr>
          <w:b/>
          <w:bCs/>
        </w:rPr>
        <w:t xml:space="preserve">Solana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Swap size</w:t>
            </w:r>
          </w:p>
        </w:tc>
        <w:tc>
          <w:tcPr>
            <w:tcW w:type="dxa" w:w="468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Price impact</w:t>
            </w:r>
          </w:p>
        </w:tc>
      </w:tr>
      <w:tr>
        <w:tc>
          <w:tcPr>
            <w:tcW w:type="dxa" w:w="4680"/>
            <w:tcMar>
              <w:top w:type="dxa" w:w="100"/>
              <w:left w:type="dxa" w:w="120"/>
              <w:bottom w:type="dxa" w:w="100"/>
              <w:right w:type="dxa" w:w="120"/>
            </w:tcMar>
          </w:tcPr>
          <w:p>
            <w:r>
              <w:rPr>
                <w:rFonts w:ascii="Calibri" w:cs="Calibri" w:eastAsia="Calibri" w:hAnsi="Calibri"/>
                <w:b w:val="false"/>
                <w:bCs w:val="false"/>
                <w:sz w:val="20"/>
                <w:szCs w:val="20"/>
              </w:rPr>
              <w:t xml:space="preserve">10,000 WRBNT</w:t>
            </w:r>
          </w:p>
        </w:tc>
        <w:tc>
          <w:tcPr>
            <w:tcW w:type="dxa" w:w="4680"/>
            <w:tcMar>
              <w:top w:type="dxa" w:w="100"/>
              <w:left w:type="dxa" w:w="120"/>
              <w:bottom w:type="dxa" w:w="100"/>
              <w:right w:type="dxa" w:w="120"/>
            </w:tcMar>
          </w:tcPr>
          <w:p>
            <w:r>
              <w:rPr>
                <w:rFonts w:ascii="Calibri" w:cs="Calibri" w:eastAsia="Calibri" w:hAnsi="Calibri"/>
                <w:b w:val="false"/>
                <w:bCs w:val="false"/>
                <w:sz w:val="20"/>
                <w:szCs w:val="20"/>
              </w:rPr>
              <w:t xml:space="preserve">86.77% on Raydium</w:t>
            </w:r>
          </w:p>
        </w:tc>
      </w:tr>
    </w:tbl>
    <w:p>
      <w:pPr>
        <w:spacing w:after="160"/>
      </w:pPr>
      <w:r>
        <w:rPr>
          <w:b w:val="false"/>
          <w:bCs w:val="false"/>
          <w:i/>
          <w:iCs/>
          <w:sz w:val="22"/>
          <w:szCs w:val="22"/>
        </w:rPr>
        <w:t xml:space="preserve">This pool is effectively unusable for any meaningful swap right now.</w:t>
      </w:r>
    </w:p>
    <w:p>
      <w:pPr>
        <w:pStyle w:val="Heading3"/>
        <w:spacing w:after="100" w:before="200"/>
      </w:pPr>
      <w:r>
        <w:rPr>
          <w:b/>
          <w:bCs/>
        </w:rPr>
        <w:t xml:space="preserve">Base</w:t>
      </w:r>
    </w:p>
    <w:p>
      <w:pPr>
        <w:spacing w:after="160"/>
      </w:pPr>
      <w:r>
        <w:rPr>
          <w:b w:val="false"/>
          <w:bCs w:val="false"/>
          <w:i w:val="false"/>
          <w:iCs w:val="false"/>
          <w:sz w:val="22"/>
          <w:szCs w:val="22"/>
        </w:rPr>
        <w:t xml:space="preserve">Confirm your token address matches 0x020940df9F5E77338a094D55b5B5914122a804A5 before reading these numbers. A different Base address is not the same token even if it also calls itself RBNT.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Swap size</w:t>
            </w:r>
          </w:p>
        </w:tc>
        <w:tc>
          <w:tcPr>
            <w:tcW w:type="dxa" w:w="312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Price impact</w:t>
            </w:r>
          </w:p>
        </w:tc>
        <w:tc>
          <w:tcPr>
            <w:tcW w:type="dxa" w:w="312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Aggregator</w:t>
            </w:r>
          </w:p>
        </w:tc>
      </w:tr>
      <w:tr>
        <w:tc>
          <w:tcPr>
            <w:tcW w:type="dxa" w:w="3120"/>
            <w:tcMar>
              <w:top w:type="dxa" w:w="100"/>
              <w:left w:type="dxa" w:w="120"/>
              <w:bottom w:type="dxa" w:w="100"/>
              <w:right w:type="dxa" w:w="120"/>
            </w:tcMar>
          </w:tcPr>
          <w:p>
            <w:r>
              <w:rPr>
                <w:rFonts w:ascii="Calibri" w:cs="Calibri" w:eastAsia="Calibri" w:hAnsi="Calibri"/>
                <w:b w:val="false"/>
                <w:bCs w:val="false"/>
                <w:sz w:val="20"/>
                <w:szCs w:val="20"/>
              </w:rPr>
              <w:t xml:space="preserve">1,000,000 RBNT</w:t>
            </w:r>
          </w:p>
        </w:tc>
        <w:tc>
          <w:tcPr>
            <w:tcW w:type="dxa" w:w="3120"/>
            <w:tcMar>
              <w:top w:type="dxa" w:w="100"/>
              <w:left w:type="dxa" w:w="120"/>
              <w:bottom w:type="dxa" w:w="100"/>
              <w:right w:type="dxa" w:w="120"/>
            </w:tcMar>
          </w:tcPr>
          <w:p>
            <w:r>
              <w:rPr>
                <w:rFonts w:ascii="Calibri" w:cs="Calibri" w:eastAsia="Calibri" w:hAnsi="Calibri"/>
                <w:b w:val="false"/>
                <w:bCs w:val="false"/>
                <w:sz w:val="20"/>
                <w:szCs w:val="20"/>
              </w:rPr>
              <w:t xml:space="preserve">7.9%</w:t>
            </w:r>
          </w:p>
        </w:tc>
        <w:tc>
          <w:tcPr>
            <w:tcW w:type="dxa" w:w="3120"/>
            <w:tcMar>
              <w:top w:type="dxa" w:w="100"/>
              <w:left w:type="dxa" w:w="120"/>
              <w:bottom w:type="dxa" w:w="100"/>
              <w:right w:type="dxa" w:w="120"/>
            </w:tcMar>
          </w:tcPr>
          <w:p>
            <w:r>
              <w:rPr>
                <w:rFonts w:ascii="Calibri" w:cs="Calibri" w:eastAsia="Calibri" w:hAnsi="Calibri"/>
                <w:b w:val="false"/>
                <w:bCs w:val="false"/>
                <w:sz w:val="20"/>
                <w:szCs w:val="20"/>
              </w:rPr>
              <w:t xml:space="preserve">KyberSwap</w:t>
            </w:r>
          </w:p>
        </w:tc>
      </w:tr>
      <w:tr>
        <w:tc>
          <w:tcPr>
            <w:tcW w:type="dxa" w:w="312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1,000,000 RBNT</w:t>
            </w:r>
          </w:p>
        </w:tc>
        <w:tc>
          <w:tcPr>
            <w:tcW w:type="dxa" w:w="312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8.0%</w:t>
            </w:r>
          </w:p>
        </w:tc>
        <w:tc>
          <w:tcPr>
            <w:tcW w:type="dxa" w:w="312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Jumper style aggregator</w:t>
            </w:r>
          </w:p>
        </w:tc>
      </w:tr>
      <w:tr>
        <w:tc>
          <w:tcPr>
            <w:tcW w:type="dxa" w:w="3120"/>
            <w:tcMar>
              <w:top w:type="dxa" w:w="100"/>
              <w:left w:type="dxa" w:w="120"/>
              <w:bottom w:type="dxa" w:w="100"/>
              <w:right w:type="dxa" w:w="120"/>
            </w:tcMar>
          </w:tcPr>
          <w:p>
            <w:r>
              <w:rPr>
                <w:rFonts w:ascii="Calibri" w:cs="Calibri" w:eastAsia="Calibri" w:hAnsi="Calibri"/>
                <w:b w:val="false"/>
                <w:bCs w:val="false"/>
                <w:sz w:val="20"/>
                <w:szCs w:val="20"/>
              </w:rPr>
              <w:t xml:space="preserve">100,000 RBNT</w:t>
            </w:r>
          </w:p>
        </w:tc>
        <w:tc>
          <w:tcPr>
            <w:tcW w:type="dxa" w:w="3120"/>
            <w:tcMar>
              <w:top w:type="dxa" w:w="100"/>
              <w:left w:type="dxa" w:w="120"/>
              <w:bottom w:type="dxa" w:w="100"/>
              <w:right w:type="dxa" w:w="120"/>
            </w:tcMar>
          </w:tcPr>
          <w:p>
            <w:r>
              <w:rPr>
                <w:rFonts w:ascii="Calibri" w:cs="Calibri" w:eastAsia="Calibri" w:hAnsi="Calibri"/>
                <w:b w:val="false"/>
                <w:bCs w:val="false"/>
                <w:sz w:val="20"/>
                <w:szCs w:val="20"/>
              </w:rPr>
              <w:t xml:space="preserve">13.4%</w:t>
            </w:r>
          </w:p>
        </w:tc>
        <w:tc>
          <w:tcPr>
            <w:tcW w:type="dxa" w:w="3120"/>
            <w:tcMar>
              <w:top w:type="dxa" w:w="100"/>
              <w:left w:type="dxa" w:w="120"/>
              <w:bottom w:type="dxa" w:w="100"/>
              <w:right w:type="dxa" w:w="120"/>
            </w:tcMar>
          </w:tcPr>
          <w:p>
            <w:r>
              <w:rPr>
                <w:rFonts w:ascii="Calibri" w:cs="Calibri" w:eastAsia="Calibri" w:hAnsi="Calibri"/>
                <w:b w:val="false"/>
                <w:bCs w:val="false"/>
                <w:sz w:val="20"/>
                <w:szCs w:val="20"/>
              </w:rPr>
              <w:t xml:space="preserve">Separate on chain swap widget</w:t>
            </w:r>
          </w:p>
        </w:tc>
      </w:tr>
    </w:tbl>
    <w:p>
      <w:pPr>
        <w:pBdr>
          <w:left w:val="single" w:color="B23A2F" w:sz="24" w:space="8"/>
        </w:pBdr>
        <w:shd w:fill="F3F1EA" w:val="clear"/>
        <w:spacing w:after="220" w:before="120"/>
        <w:ind w:left="200"/>
      </w:pPr>
      <w:r>
        <w:rPr>
          <w:b/>
          <w:bCs/>
          <w:sz w:val="22"/>
          <w:szCs w:val="22"/>
        </w:rPr>
        <w:t xml:space="preserve">Worth noting: at matched swap sizes, Base currently shows lower price impact than Ethereum, even though Base has no dedicated official liquidity announcement from Redbelly and CoinMarketCap lists its pool as unverified with no prior trading volume. Pool depth and official confirmation are separate questions. Base scores better on depth, worse on confirmation.</w:t>
      </w:r>
    </w:p>
    <w:p>
      <w:pPr>
        <w:spacing w:after="160"/>
      </w:pPr>
      <w:r>
        <w:rPr>
          <w:b w:val="false"/>
          <w:bCs w:val="false"/>
          <w:i w:val="false"/>
          <w:iCs w:val="false"/>
          <w:sz w:val="22"/>
          <w:szCs w:val="22"/>
        </w:rPr>
        <w:t xml:space="preserve">Return path bridge for native RBNT (bringing RBNT from another chain back to Redbelly Network): Redbelly's own developer docs name Lucid Labs Bridge for this direction specifically. Covered in detail in Part 4.</w:t>
      </w:r>
    </w:p>
    <w:p>
      <w:pPr>
        <w:spacing w:after="160"/>
      </w:pPr>
      <w:r>
        <w:rPr>
          <w:b w:val="false"/>
          <w:bCs w:val="false"/>
          <w:i w:val="false"/>
          <w:iCs w:val="false"/>
          <w:sz w:val="22"/>
          <w:szCs w:val="22"/>
        </w:rPr>
        <w:t xml:space="preserve">USDC and USDT bridging into Redbelly Network: Redbelly's own X account points users to reddex, described in its own bio as the official and exclusive DEX of Redbelly Network. Covered in detail in Part 5.</w:t>
      </w:r>
    </w:p>
    <w:p>
      <w:r>
        <w:br w:type="page"/>
      </w:r>
    </w:p>
    <w:p>
      <w:pPr>
        <w:pStyle w:val="Heading1"/>
        <w:spacing w:after="200" w:before="400"/>
      </w:pPr>
      <w:r>
        <w:rPr>
          <w:b/>
          <w:bCs/>
          <w:color w:val="1F2937"/>
        </w:rPr>
        <w:t xml:space="preserve">Part 3. Failure Mode 1: Wrapped RBNT Zero Value or Swap Fail</w:t>
      </w:r>
    </w:p>
    <w:p>
      <w:pPr>
        <w:pBdr>
          <w:left w:val="single" w:color="B23A2F" w:sz="24" w:space="8"/>
        </w:pBdr>
        <w:shd w:fill="F3F1EA" w:val="clear"/>
        <w:spacing w:after="220" w:before="120"/>
        <w:ind w:left="200"/>
      </w:pPr>
      <w:r>
        <w:rPr>
          <w:b/>
          <w:bCs/>
          <w:sz w:val="22"/>
          <w:szCs w:val="22"/>
        </w:rPr>
        <w:t xml:space="preserve">If your wrapped RBNT shows zero value or a swap keeps failing, the cause is almost always one of three things: a wrong or unverified contract address, thin pool liquidity at your swap size, or a swap route being sent to a chain your token was never issued on. Check these in order.</w:t>
      </w:r>
    </w:p>
    <w:p>
      <w:pPr>
        <w:pStyle w:val="Heading3"/>
        <w:spacing w:after="100" w:before="200"/>
      </w:pPr>
      <w:r>
        <w:rPr>
          <w:b/>
          <w:bCs/>
        </w:rPr>
        <w:t xml:space="preserve">Step 1. Confirm the contract address</w:t>
      </w:r>
    </w:p>
    <w:p>
      <w:pPr>
        <w:spacing w:after="160"/>
      </w:pPr>
      <w:r>
        <w:rPr>
          <w:b w:val="false"/>
          <w:bCs w:val="false"/>
          <w:i w:val="false"/>
          <w:iCs w:val="false"/>
          <w:sz w:val="22"/>
          <w:szCs w:val="22"/>
        </w:rPr>
        <w:t xml:space="preserve">Open your wallet and check the exact contract address for the token you are holding. Compare it against the verified table in Part 2. Do not compare by token name or logo, both can be copied by an unrelated contract.</w:t>
      </w:r>
    </w:p>
    <w:p>
      <w:pPr>
        <w:pStyle w:val="ListParagraph"/>
        <w:numPr>
          <w:ilvl w:val="0"/>
          <w:numId w:val="2"/>
        </w:numPr>
        <w:spacing w:after="80"/>
      </w:pPr>
      <w:r>
        <w:rPr>
          <w:sz w:val="22"/>
          <w:szCs w:val="22"/>
        </w:rPr>
        <w:t xml:space="preserve">Ethereum: 0xb45ffb51984d626ee758b336c61cf20990c6bf13</w:t>
      </w:r>
    </w:p>
    <w:p>
      <w:pPr>
        <w:pStyle w:val="ListParagraph"/>
        <w:numPr>
          <w:ilvl w:val="0"/>
          <w:numId w:val="2"/>
        </w:numPr>
        <w:spacing w:after="80"/>
      </w:pPr>
      <w:r>
        <w:rPr>
          <w:sz w:val="22"/>
          <w:szCs w:val="22"/>
        </w:rPr>
        <w:t xml:space="preserve">Solana: 2GBVt2ENvbHepuJMWYTPkkfpWUabAhsaXToYw8UphxS3</w:t>
      </w:r>
    </w:p>
    <w:p>
      <w:pPr>
        <w:pStyle w:val="ListParagraph"/>
        <w:numPr>
          <w:ilvl w:val="0"/>
          <w:numId w:val="2"/>
        </w:numPr>
        <w:spacing w:after="80"/>
      </w:pPr>
      <w:r>
        <w:rPr>
          <w:sz w:val="22"/>
          <w:szCs w:val="22"/>
        </w:rPr>
        <w:t xml:space="preserve">Redbelly Network (native chain): 0x6ed1F491e2d31536D6561f6bdB2AdC8F092a6076</w:t>
      </w:r>
    </w:p>
    <w:p>
      <w:pPr>
        <w:pStyle w:val="ListParagraph"/>
        <w:numPr>
          <w:ilvl w:val="0"/>
          <w:numId w:val="2"/>
        </w:numPr>
        <w:spacing w:after="80"/>
      </w:pPr>
      <w:r>
        <w:rPr>
          <w:sz w:val="22"/>
          <w:szCs w:val="22"/>
        </w:rPr>
        <w:t xml:space="preserve">Base: 0x020940df9F5E77338a094D55b5B5914122a804A5</w:t>
      </w:r>
    </w:p>
    <w:p>
      <w:pPr>
        <w:spacing w:after="160"/>
      </w:pPr>
      <w:r>
        <w:rPr>
          <w:b w:val="false"/>
          <w:bCs w:val="false"/>
          <w:i w:val="false"/>
          <w:iCs w:val="false"/>
          <w:sz w:val="22"/>
          <w:szCs w:val="22"/>
        </w:rPr>
        <w:t xml:space="preserve">If your held token's address does not match any of these, you are holding a different, unverified contract. This is the single most common cause of a token showing zero value: the wallet added the wrong contract, usually by pasting an address from a search result or a third party tracker instead of Redbelly's own announcement. Remove the wrong token from your wallet and re add it using the correct address above. Do not attempt to swap an unverified token, there is no guarantee it holds any real liquidity or that it represents actual wrapped RBNT.</w:t>
      </w:r>
    </w:p>
    <w:p>
      <w:pPr>
        <w:spacing w:after="160"/>
      </w:pPr>
      <w:r>
        <w:rPr>
          <w:b w:val="false"/>
          <w:bCs w:val="false"/>
          <w:i w:val="false"/>
          <w:iCs w:val="false"/>
          <w:sz w:val="22"/>
          <w:szCs w:val="22"/>
        </w:rPr>
        <w:t xml:space="preserve">If your address matches, your token is genuine. The zero value display or swap failure is a liquidity problem, not a wrong token problem. Continue to Step 2.</w:t>
      </w:r>
    </w:p>
    <w:p>
      <w:pPr>
        <w:pStyle w:val="Heading3"/>
        <w:spacing w:after="100" w:before="200"/>
      </w:pPr>
      <w:r>
        <w:rPr>
          <w:b/>
          <w:bCs/>
        </w:rPr>
        <w:t xml:space="preserve">Step 2. Check pool depth before you swap, not after</w:t>
      </w:r>
    </w:p>
    <w:p>
      <w:pPr>
        <w:spacing w:after="160"/>
      </w:pPr>
      <w:r>
        <w:rPr>
          <w:b w:val="false"/>
          <w:bCs w:val="false"/>
          <w:i w:val="false"/>
          <w:iCs w:val="false"/>
          <w:sz w:val="22"/>
          <w:szCs w:val="22"/>
        </w:rPr>
        <w:t xml:space="preserve">Every wrapped RBNT pool currently has limited depth, and a swap that looks like it failed is often a swap that simply returned an unusably small amount because of price impact, not an error.</w:t>
      </w:r>
    </w:p>
    <w:p>
      <w:pPr>
        <w:spacing w:after="160"/>
      </w:pPr>
      <w:r>
        <w:rPr>
          <w:b w:val="false"/>
          <w:bCs w:val="false"/>
          <w:i w:val="false"/>
          <w:iCs w:val="false"/>
          <w:sz w:val="22"/>
          <w:szCs w:val="22"/>
        </w:rPr>
        <w:t xml:space="preserve">On Ethereum, the WRBNT to WETH pool holds roughly $33,000 in liquidity. A swap of 100,000 WRBNT already shows a price impact between 1.5% and 2.9% depending on the aggregator used. At 1,000,000 WRBNT, price impact climbs to 13% to 14%. If your swap amount is anywhere near this range, a large expected loss on the quote is the pool telling you the truth about its depth, not a broken swap.</w:t>
      </w:r>
    </w:p>
    <w:p>
      <w:pPr>
        <w:spacing w:after="160"/>
      </w:pPr>
      <w:r>
        <w:rPr>
          <w:b w:val="false"/>
          <w:bCs w:val="false"/>
          <w:i w:val="false"/>
          <w:iCs w:val="false"/>
          <w:sz w:val="22"/>
          <w:szCs w:val="22"/>
        </w:rPr>
        <w:t xml:space="preserve">On Solana, the wRBNT to SOL pool on Raydium is thin enough that a swap of just 10,000 WRBNT showed 86.77% price impact when checked. Treat this pool as effectively unusable for any swap beyond a very small test amount right now.</w:t>
      </w:r>
    </w:p>
    <w:p>
      <w:pPr>
        <w:spacing w:after="160"/>
      </w:pPr>
      <w:r>
        <w:rPr>
          <w:b w:val="false"/>
          <w:bCs w:val="false"/>
          <w:i w:val="false"/>
          <w:iCs w:val="false"/>
          <w:sz w:val="22"/>
          <w:szCs w:val="22"/>
        </w:rPr>
        <w:t xml:space="preserve">On Base, liquidity is currently deeper than Ethereum at matched swap sizes. A swap of 1,000,000 RBNT showed price impact between 7.9% and 8.0% across two different aggregators, and a smaller 100,000 RBNT swap on a separate widget showed 13.4%, meaning route quality varies meaningfully by aggregator even on the same chain. Confirm you are swapping the correct Base contract address before relying on any of these numbers, since Base has no dedicated official liquidity announcement from Redbelly and other unconfirmed addresses circulate under the same name.</w:t>
      </w:r>
    </w:p>
    <w:p>
      <w:pPr>
        <w:pStyle w:val="Heading3"/>
        <w:spacing w:after="100" w:before="200"/>
      </w:pPr>
      <w:r>
        <w:rPr>
          <w:b/>
          <w:bCs/>
        </w:rPr>
        <w:t xml:space="preserve">What to do about it</w:t>
      </w:r>
    </w:p>
    <w:p>
      <w:pPr>
        <w:pStyle w:val="ListParagraph"/>
        <w:numPr>
          <w:ilvl w:val="0"/>
          <w:numId w:val="4"/>
        </w:numPr>
        <w:spacing w:after="80"/>
      </w:pPr>
      <w:r>
        <w:rPr>
          <w:sz w:val="22"/>
          <w:szCs w:val="22"/>
        </w:rPr>
        <w:t xml:space="preserve">Reduce your swap size significantly and check the quote again before assuming something is broken.</w:t>
      </w:r>
    </w:p>
    <w:p>
      <w:pPr>
        <w:pStyle w:val="ListParagraph"/>
        <w:numPr>
          <w:ilvl w:val="0"/>
          <w:numId w:val="4"/>
        </w:numPr>
        <w:spacing w:after="80"/>
      </w:pPr>
      <w:r>
        <w:rPr>
          <w:sz w:val="22"/>
          <w:szCs w:val="22"/>
        </w:rPr>
        <w:t xml:space="preserve">Try more than one aggregator. Route quality differs even for the same token pair on the same chain, as shown by the Base numbers above.</w:t>
      </w:r>
    </w:p>
    <w:p>
      <w:pPr>
        <w:pStyle w:val="ListParagraph"/>
        <w:numPr>
          <w:ilvl w:val="0"/>
          <w:numId w:val="4"/>
        </w:numPr>
        <w:spacing w:after="80"/>
      </w:pPr>
      <w:r>
        <w:rPr>
          <w:sz w:val="22"/>
          <w:szCs w:val="22"/>
        </w:rPr>
        <w:t xml:space="preserve">If you must move a large amount, consider splitting it into several smaller swaps rather than one large swap that absorbs the full price impact at once.</w:t>
      </w:r>
    </w:p>
    <w:p>
      <w:pPr>
        <w:pStyle w:val="ListParagraph"/>
        <w:numPr>
          <w:ilvl w:val="0"/>
          <w:numId w:val="4"/>
        </w:numPr>
        <w:spacing w:after="80"/>
      </w:pPr>
      <w:r>
        <w:rPr>
          <w:sz w:val="22"/>
          <w:szCs w:val="22"/>
        </w:rPr>
        <w:t xml:space="preserve">Do not add extra slippage tolerance to force a failing swap through. A swap that fails due to slippage protection is protecting you from an even worse price impact than the quote already showed.</w:t>
      </w:r>
    </w:p>
    <w:p>
      <w:pPr>
        <w:pStyle w:val="Heading3"/>
        <w:spacing w:after="100" w:before="200"/>
      </w:pPr>
      <w:r>
        <w:rPr>
          <w:b/>
          <w:bCs/>
        </w:rPr>
        <w:t xml:space="preserve">Step 3. If the swap still will not go through</w:t>
      </w:r>
    </w:p>
    <w:p>
      <w:pPr>
        <w:spacing w:after="160"/>
      </w:pPr>
      <w:r>
        <w:rPr>
          <w:b w:val="false"/>
          <w:bCs w:val="false"/>
          <w:i w:val="false"/>
          <w:iCs w:val="false"/>
          <w:sz w:val="22"/>
          <w:szCs w:val="22"/>
        </w:rPr>
        <w:t xml:space="preserve">If you have confirmed the correct contract address and reduced your swap size, and the transaction still reverts, the remaining causes are ordinary Ethereum, Solana, or Base transaction issues, not anything specific to wrapped RBNT: insufficient gas, an expired quote, or a slippage tolerance set too tight for current pool conditions. Refresh the quote immediately before confirming, since price impact can shift between the time you open the swap screen and the time you sign.</w:t>
      </w:r>
    </w:p>
    <w:p>
      <w:pPr>
        <w:spacing w:after="160"/>
      </w:pPr>
      <w:r>
        <w:rPr>
          <w:b w:val="false"/>
          <w:bCs w:val="false"/>
          <w:i w:val="false"/>
          <w:iCs w:val="false"/>
          <w:sz w:val="22"/>
          <w:szCs w:val="22"/>
        </w:rPr>
        <w:t xml:space="preserve">If none of this resolves it, the most likely explanation is that the pool simply cannot support your swap size at any reasonable price impact. This is not a recoverable fix, it is a liquidity constraint. Waiting for deeper liquidity, or using a much smaller amount, are the only real options.</w:t>
      </w:r>
    </w:p>
    <w:p>
      <w:r>
        <w:br w:type="page"/>
      </w:r>
    </w:p>
    <w:p>
      <w:pPr>
        <w:pStyle w:val="Heading1"/>
        <w:spacing w:after="200" w:before="400"/>
      </w:pPr>
      <w:r>
        <w:rPr>
          <w:b/>
          <w:bCs/>
          <w:color w:val="1F2937"/>
        </w:rPr>
        <w:t xml:space="preserve">Part 4. Failure Mode 2: Quote Unavailable Bridging RBNT Back to Redbelly Network</w:t>
      </w:r>
    </w:p>
    <w:p>
      <w:pPr>
        <w:pBdr>
          <w:left w:val="single" w:color="B23A2F" w:sz="24" w:space="8"/>
        </w:pBdr>
        <w:shd w:fill="F3F1EA" w:val="clear"/>
        <w:spacing w:after="220" w:before="120"/>
        <w:ind w:left="200"/>
      </w:pPr>
      <w:r>
        <w:rPr>
          <w:b/>
          <w:bCs/>
          <w:sz w:val="22"/>
          <w:szCs w:val="22"/>
        </w:rPr>
        <w:t xml:space="preserve">If you are trying to bridge RBNT or WRBNT from another chain back to Redbelly Network and cannot get a quote, this is almost always a route availability problem specific to your source chain, not a broken bridge.</w:t>
      </w:r>
    </w:p>
    <w:p>
      <w:pPr>
        <w:pStyle w:val="Heading3"/>
        <w:spacing w:after="100" w:before="200"/>
      </w:pPr>
      <w:r>
        <w:rPr>
          <w:b/>
          <w:bCs/>
        </w:rPr>
        <w:t xml:space="preserve">The bridge to use</w:t>
      </w:r>
    </w:p>
    <w:p>
      <w:pPr>
        <w:spacing w:after="160"/>
      </w:pPr>
      <w:r>
        <w:rPr>
          <w:b w:val="false"/>
          <w:bCs w:val="false"/>
          <w:i w:val="false"/>
          <w:iCs w:val="false"/>
          <w:sz w:val="22"/>
          <w:szCs w:val="22"/>
        </w:rPr>
        <w:t xml:space="preserve">Redbelly's own developer docs name Lucid Labs Bridge as the official route for bringing RBNT from a non Redbelly chain back to Redbelly Network. Do not use a different bridge for this direction, even if one appears to work, since it will not be the officially referenced path.</w:t>
      </w:r>
    </w:p>
    <w:p>
      <w:pPr>
        <w:pStyle w:val="Heading3"/>
        <w:spacing w:after="100" w:before="200"/>
      </w:pPr>
      <w:r>
        <w:rPr>
          <w:b/>
          <w:bCs/>
        </w:rPr>
        <w:t xml:space="preserve">Verified routes by source chain</w:t>
      </w:r>
    </w:p>
    <w:p>
      <w:pPr>
        <w:spacing w:after="160"/>
      </w:pPr>
      <w:r>
        <w:rPr>
          <w:b w:val="false"/>
          <w:bCs w:val="false"/>
          <w:i w:val="false"/>
          <w:iCs w:val="false"/>
          <w:sz w:val="22"/>
          <w:szCs w:val="22"/>
        </w:rPr>
        <w:t xml:space="preserve">Checked live, August 2026. Lucid Labs Bridge supports RBNT returning to Redbelly Network from nine chains: Ethereum, Arbitrum, Optimism, Base, Solana, BSC, Polygon, Avalanche, and Sonic.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200"/>
        <w:gridCol w:w="2560"/>
        <w:gridCol w:w="2600"/>
        <w:gridCol w:w="1600"/>
      </w:tblGrid>
      <w:tr>
        <w:trPr>
          <w:tblHeader/>
        </w:trPr>
        <w:tc>
          <w:tcPr>
            <w:tcW w:type="dxa" w:w="14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Source Chain</w:t>
            </w:r>
          </w:p>
        </w:tc>
        <w:tc>
          <w:tcPr>
            <w:tcW w:type="dxa" w:w="12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Asset</w:t>
            </w:r>
          </w:p>
        </w:tc>
        <w:tc>
          <w:tcPr>
            <w:tcW w:type="dxa" w:w="256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Underlying Route</w:t>
            </w:r>
          </w:p>
        </w:tc>
        <w:tc>
          <w:tcPr>
            <w:tcW w:type="dxa" w:w="26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Fee</w:t>
            </w:r>
          </w:p>
        </w:tc>
        <w:tc>
          <w:tcPr>
            <w:tcW w:type="dxa" w:w="16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Time</w:t>
            </w:r>
          </w:p>
        </w:tc>
      </w:tr>
      <w:tr>
        <w:tc>
          <w:tcPr>
            <w:tcW w:type="dxa" w:w="1400"/>
            <w:tcMar>
              <w:top w:type="dxa" w:w="100"/>
              <w:left w:type="dxa" w:w="120"/>
              <w:bottom w:type="dxa" w:w="100"/>
              <w:right w:type="dxa" w:w="120"/>
            </w:tcMar>
          </w:tcPr>
          <w:p>
            <w:r>
              <w:rPr>
                <w:rFonts w:ascii="Calibri" w:cs="Calibri" w:eastAsia="Calibri" w:hAnsi="Calibri"/>
                <w:b w:val="false"/>
                <w:bCs w:val="false"/>
                <w:sz w:val="20"/>
                <w:szCs w:val="20"/>
              </w:rPr>
              <w:t xml:space="preserve">Ethereum</w:t>
            </w:r>
          </w:p>
        </w:tc>
        <w:tc>
          <w:tcPr>
            <w:tcW w:type="dxa" w:w="1200"/>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tcMar>
              <w:top w:type="dxa" w:w="100"/>
              <w:left w:type="dxa" w:w="120"/>
              <w:bottom w:type="dxa" w:w="100"/>
              <w:right w:type="dxa" w:w="120"/>
            </w:tcMar>
          </w:tcPr>
          <w:p>
            <w:r>
              <w:rPr>
                <w:rFonts w:ascii="Calibri" w:cs="Calibri" w:eastAsia="Calibri" w:hAnsi="Calibri"/>
                <w:b w:val="false"/>
                <w:bCs w:val="false"/>
                <w:sz w:val="20"/>
                <w:szCs w:val="20"/>
              </w:rPr>
              <w:t xml:space="preserve">Stargate</w:t>
            </w:r>
          </w:p>
        </w:tc>
        <w:tc>
          <w:tcPr>
            <w:tcW w:type="dxa" w:w="2600"/>
            <w:tcMar>
              <w:top w:type="dxa" w:w="100"/>
              <w:left w:type="dxa" w:w="120"/>
              <w:bottom w:type="dxa" w:w="100"/>
              <w:right w:type="dxa" w:w="120"/>
            </w:tcMar>
          </w:tcPr>
          <w:p>
            <w:r>
              <w:rPr>
                <w:rFonts w:ascii="Calibri" w:cs="Calibri" w:eastAsia="Calibri" w:hAnsi="Calibri"/>
                <w:b w:val="false"/>
                <w:bCs w:val="false"/>
                <w:sz w:val="20"/>
                <w:szCs w:val="20"/>
              </w:rPr>
              <w:t xml:space="preserve">0.00016 ETH</w:t>
            </w:r>
          </w:p>
        </w:tc>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About 109 min</w:t>
            </w:r>
          </w:p>
        </w:tc>
      </w:tr>
      <w:tr>
        <w:tc>
          <w:tcPr>
            <w:tcW w:type="dxa" w:w="1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Ethereum</w:t>
            </w:r>
          </w:p>
        </w:tc>
        <w:tc>
          <w:tcPr>
            <w:tcW w:type="dxa" w:w="12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WRBNT</w:t>
            </w:r>
          </w:p>
        </w:tc>
        <w:tc>
          <w:tcPr>
            <w:tcW w:type="dxa" w:w="25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Polymer</w:t>
            </w:r>
          </w:p>
        </w:tc>
        <w:tc>
          <w:tcPr>
            <w:tcW w:type="dxa" w:w="2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0.000015 ETH plus 10 WRBNT protocol fee</w:t>
            </w:r>
          </w:p>
        </w:tc>
        <w:tc>
          <w:tcPr>
            <w:tcW w:type="dxa" w:w="1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About 2 min</w:t>
            </w:r>
          </w:p>
        </w:tc>
      </w:tr>
      <w:tr>
        <w:tc>
          <w:tcPr>
            <w:tcW w:type="dxa" w:w="1400"/>
            <w:tcMar>
              <w:top w:type="dxa" w:w="100"/>
              <w:left w:type="dxa" w:w="120"/>
              <w:bottom w:type="dxa" w:w="100"/>
              <w:right w:type="dxa" w:w="120"/>
            </w:tcMar>
          </w:tcPr>
          <w:p>
            <w:r>
              <w:rPr>
                <w:rFonts w:ascii="Calibri" w:cs="Calibri" w:eastAsia="Calibri" w:hAnsi="Calibri"/>
                <w:b w:val="false"/>
                <w:bCs w:val="false"/>
                <w:sz w:val="20"/>
                <w:szCs w:val="20"/>
              </w:rPr>
              <w:t xml:space="preserve">Base</w:t>
            </w:r>
          </w:p>
        </w:tc>
        <w:tc>
          <w:tcPr>
            <w:tcW w:type="dxa" w:w="1200"/>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tcMar>
              <w:top w:type="dxa" w:w="100"/>
              <w:left w:type="dxa" w:w="120"/>
              <w:bottom w:type="dxa" w:w="100"/>
              <w:right w:type="dxa" w:w="120"/>
            </w:tcMar>
          </w:tcPr>
          <w:p>
            <w:r>
              <w:rPr>
                <w:rFonts w:ascii="Calibri" w:cs="Calibri" w:eastAsia="Calibri" w:hAnsi="Calibri"/>
                <w:b w:val="false"/>
                <w:bCs w:val="false"/>
                <w:sz w:val="20"/>
                <w:szCs w:val="20"/>
              </w:rPr>
              <w:t xml:space="preserve">Stargate</w:t>
            </w:r>
          </w:p>
        </w:tc>
        <w:tc>
          <w:tcPr>
            <w:tcW w:type="dxa" w:w="2600"/>
            <w:tcMar>
              <w:top w:type="dxa" w:w="100"/>
              <w:left w:type="dxa" w:w="120"/>
              <w:bottom w:type="dxa" w:w="100"/>
              <w:right w:type="dxa" w:w="120"/>
            </w:tcMar>
          </w:tcPr>
          <w:p>
            <w:r>
              <w:rPr>
                <w:rFonts w:ascii="Calibri" w:cs="Calibri" w:eastAsia="Calibri" w:hAnsi="Calibri"/>
                <w:b w:val="false"/>
                <w:bCs w:val="false"/>
                <w:sz w:val="20"/>
                <w:szCs w:val="20"/>
              </w:rPr>
              <w:t xml:space="preserve">0.00016 ETH</w:t>
            </w:r>
          </w:p>
        </w:tc>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About 1 min</w:t>
            </w:r>
          </w:p>
        </w:tc>
      </w:tr>
      <w:tr>
        <w:tc>
          <w:tcPr>
            <w:tcW w:type="dxa" w:w="1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Base</w:t>
            </w:r>
          </w:p>
        </w:tc>
        <w:tc>
          <w:tcPr>
            <w:tcW w:type="dxa" w:w="12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WRBNT</w:t>
            </w:r>
          </w:p>
        </w:tc>
        <w:tc>
          <w:tcPr>
            <w:tcW w:type="dxa" w:w="25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Polymer</w:t>
            </w:r>
          </w:p>
        </w:tc>
        <w:tc>
          <w:tcPr>
            <w:tcW w:type="dxa" w:w="2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0.000015 ETH plus 10 WRBNT protocol fee</w:t>
            </w:r>
          </w:p>
        </w:tc>
        <w:tc>
          <w:tcPr>
            <w:tcW w:type="dxa" w:w="1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About 10 sec</w:t>
            </w:r>
          </w:p>
        </w:tc>
      </w:tr>
      <w:tr>
        <w:tc>
          <w:tcPr>
            <w:tcW w:type="dxa" w:w="1400"/>
            <w:tcMar>
              <w:top w:type="dxa" w:w="100"/>
              <w:left w:type="dxa" w:w="120"/>
              <w:bottom w:type="dxa" w:w="100"/>
              <w:right w:type="dxa" w:w="120"/>
            </w:tcMar>
          </w:tcPr>
          <w:p>
            <w:r>
              <w:rPr>
                <w:rFonts w:ascii="Calibri" w:cs="Calibri" w:eastAsia="Calibri" w:hAnsi="Calibri"/>
                <w:b w:val="false"/>
                <w:bCs w:val="false"/>
                <w:sz w:val="20"/>
                <w:szCs w:val="20"/>
              </w:rPr>
              <w:t xml:space="preserve">BSC</w:t>
            </w:r>
          </w:p>
        </w:tc>
        <w:tc>
          <w:tcPr>
            <w:tcW w:type="dxa" w:w="1200"/>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tcMar>
              <w:top w:type="dxa" w:w="100"/>
              <w:left w:type="dxa" w:w="120"/>
              <w:bottom w:type="dxa" w:w="100"/>
              <w:right w:type="dxa" w:w="120"/>
            </w:tcMar>
          </w:tcPr>
          <w:p>
            <w:r>
              <w:rPr>
                <w:rFonts w:ascii="Calibri" w:cs="Calibri" w:eastAsia="Calibri" w:hAnsi="Calibri"/>
                <w:b w:val="false"/>
                <w:bCs w:val="false"/>
                <w:sz w:val="20"/>
                <w:szCs w:val="20"/>
              </w:rPr>
              <w:t xml:space="preserve">Stargate</w:t>
            </w:r>
          </w:p>
        </w:tc>
        <w:tc>
          <w:tcPr>
            <w:tcW w:type="dxa" w:w="2600"/>
            <w:tcMar>
              <w:top w:type="dxa" w:w="100"/>
              <w:left w:type="dxa" w:w="120"/>
              <w:bottom w:type="dxa" w:w="100"/>
              <w:right w:type="dxa" w:w="120"/>
            </w:tcMar>
          </w:tcPr>
          <w:p>
            <w:r>
              <w:rPr>
                <w:rFonts w:ascii="Calibri" w:cs="Calibri" w:eastAsia="Calibri" w:hAnsi="Calibri"/>
                <w:b w:val="false"/>
                <w:bCs w:val="false"/>
                <w:sz w:val="20"/>
                <w:szCs w:val="20"/>
              </w:rPr>
              <w:t xml:space="preserve">0.0005 BNB</w:t>
            </w:r>
          </w:p>
        </w:tc>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About 124 min</w:t>
            </w:r>
          </w:p>
        </w:tc>
      </w:tr>
      <w:tr>
        <w:tc>
          <w:tcPr>
            <w:tcW w:type="dxa" w:w="1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Arbitrum</w:t>
            </w:r>
          </w:p>
        </w:tc>
        <w:tc>
          <w:tcPr>
            <w:tcW w:type="dxa" w:w="12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Stargate</w:t>
            </w:r>
          </w:p>
        </w:tc>
        <w:tc>
          <w:tcPr>
            <w:tcW w:type="dxa" w:w="2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0.00017 ETH</w:t>
            </w:r>
          </w:p>
        </w:tc>
        <w:tc>
          <w:tcPr>
            <w:tcW w:type="dxa" w:w="1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About 172 min</w:t>
            </w:r>
          </w:p>
        </w:tc>
      </w:tr>
      <w:tr>
        <w:tc>
          <w:tcPr>
            <w:tcW w:type="dxa" w:w="1400"/>
            <w:tcMar>
              <w:top w:type="dxa" w:w="100"/>
              <w:left w:type="dxa" w:w="120"/>
              <w:bottom w:type="dxa" w:w="100"/>
              <w:right w:type="dxa" w:w="120"/>
            </w:tcMar>
          </w:tcPr>
          <w:p>
            <w:r>
              <w:rPr>
                <w:rFonts w:ascii="Calibri" w:cs="Calibri" w:eastAsia="Calibri" w:hAnsi="Calibri"/>
                <w:b w:val="false"/>
                <w:bCs w:val="false"/>
                <w:sz w:val="20"/>
                <w:szCs w:val="20"/>
              </w:rPr>
              <w:t xml:space="preserve">Polygon</w:t>
            </w:r>
          </w:p>
        </w:tc>
        <w:tc>
          <w:tcPr>
            <w:tcW w:type="dxa" w:w="1200"/>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tcMar>
              <w:top w:type="dxa" w:w="100"/>
              <w:left w:type="dxa" w:w="120"/>
              <w:bottom w:type="dxa" w:w="100"/>
              <w:right w:type="dxa" w:w="120"/>
            </w:tcMar>
          </w:tcPr>
          <w:p>
            <w:r>
              <w:rPr>
                <w:rFonts w:ascii="Calibri" w:cs="Calibri" w:eastAsia="Calibri" w:hAnsi="Calibri"/>
                <w:b w:val="false"/>
                <w:bCs w:val="false"/>
                <w:sz w:val="20"/>
                <w:szCs w:val="20"/>
              </w:rPr>
              <w:t xml:space="preserve">Stargate</w:t>
            </w:r>
          </w:p>
        </w:tc>
        <w:tc>
          <w:tcPr>
            <w:tcW w:type="dxa" w:w="2600"/>
            <w:tcMar>
              <w:top w:type="dxa" w:w="100"/>
              <w:left w:type="dxa" w:w="120"/>
              <w:bottom w:type="dxa" w:w="100"/>
              <w:right w:type="dxa" w:w="120"/>
            </w:tcMar>
          </w:tcPr>
          <w:p>
            <w:r>
              <w:rPr>
                <w:rFonts w:ascii="Calibri" w:cs="Calibri" w:eastAsia="Calibri" w:hAnsi="Calibri"/>
                <w:b w:val="false"/>
                <w:bCs w:val="false"/>
                <w:sz w:val="20"/>
                <w:szCs w:val="20"/>
              </w:rPr>
              <w:t xml:space="preserve">4.43 POL</w:t>
            </w:r>
          </w:p>
        </w:tc>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About 190 min</w:t>
            </w:r>
          </w:p>
        </w:tc>
      </w:tr>
      <w:tr>
        <w:tc>
          <w:tcPr>
            <w:tcW w:type="dxa" w:w="1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Avalanche</w:t>
            </w:r>
          </w:p>
        </w:tc>
        <w:tc>
          <w:tcPr>
            <w:tcW w:type="dxa" w:w="12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Stargate</w:t>
            </w:r>
          </w:p>
        </w:tc>
        <w:tc>
          <w:tcPr>
            <w:tcW w:type="dxa" w:w="2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0.05 AVAX</w:t>
            </w:r>
          </w:p>
        </w:tc>
        <w:tc>
          <w:tcPr>
            <w:tcW w:type="dxa" w:w="1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About 62 min</w:t>
            </w:r>
          </w:p>
        </w:tc>
      </w:tr>
      <w:tr>
        <w:tc>
          <w:tcPr>
            <w:tcW w:type="dxa" w:w="1400"/>
            <w:tcMar>
              <w:top w:type="dxa" w:w="100"/>
              <w:left w:type="dxa" w:w="120"/>
              <w:bottom w:type="dxa" w:w="100"/>
              <w:right w:type="dxa" w:w="120"/>
            </w:tcMar>
          </w:tcPr>
          <w:p>
            <w:r>
              <w:rPr>
                <w:rFonts w:ascii="Calibri" w:cs="Calibri" w:eastAsia="Calibri" w:hAnsi="Calibri"/>
                <w:b w:val="false"/>
                <w:bCs w:val="false"/>
                <w:sz w:val="20"/>
                <w:szCs w:val="20"/>
              </w:rPr>
              <w:t xml:space="preserve">Sonic</w:t>
            </w:r>
          </w:p>
        </w:tc>
        <w:tc>
          <w:tcPr>
            <w:tcW w:type="dxa" w:w="1200"/>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tcMar>
              <w:top w:type="dxa" w:w="100"/>
              <w:left w:type="dxa" w:w="120"/>
              <w:bottom w:type="dxa" w:w="100"/>
              <w:right w:type="dxa" w:w="120"/>
            </w:tcMar>
          </w:tcPr>
          <w:p>
            <w:r>
              <w:rPr>
                <w:rFonts w:ascii="Calibri" w:cs="Calibri" w:eastAsia="Calibri" w:hAnsi="Calibri"/>
                <w:b w:val="false"/>
                <w:bCs w:val="false"/>
                <w:sz w:val="20"/>
                <w:szCs w:val="20"/>
              </w:rPr>
              <w:t xml:space="preserve">Stargate</w:t>
            </w:r>
          </w:p>
        </w:tc>
        <w:tc>
          <w:tcPr>
            <w:tcW w:type="dxa" w:w="2600"/>
            <w:tcMar>
              <w:top w:type="dxa" w:w="100"/>
              <w:left w:type="dxa" w:w="120"/>
              <w:bottom w:type="dxa" w:w="100"/>
              <w:right w:type="dxa" w:w="120"/>
            </w:tcMar>
          </w:tcPr>
          <w:p>
            <w:r>
              <w:rPr>
                <w:rFonts w:ascii="Calibri" w:cs="Calibri" w:eastAsia="Calibri" w:hAnsi="Calibri"/>
                <w:b w:val="false"/>
                <w:bCs w:val="false"/>
                <w:sz w:val="20"/>
                <w:szCs w:val="20"/>
              </w:rPr>
              <w:t xml:space="preserve">14.21 S</w:t>
            </w:r>
          </w:p>
        </w:tc>
        <w:tc>
          <w:tcPr>
            <w:tcW w:type="dxa" w:w="1600"/>
            <w:tcMar>
              <w:top w:type="dxa" w:w="100"/>
              <w:left w:type="dxa" w:w="120"/>
              <w:bottom w:type="dxa" w:w="100"/>
              <w:right w:type="dxa" w:w="120"/>
            </w:tcMar>
          </w:tcPr>
          <w:p>
            <w:r>
              <w:rPr>
                <w:rFonts w:ascii="Calibri" w:cs="Calibri" w:eastAsia="Calibri" w:hAnsi="Calibri"/>
                <w:b w:val="false"/>
                <w:bCs w:val="false"/>
                <w:sz w:val="20"/>
                <w:szCs w:val="20"/>
              </w:rPr>
              <w:t xml:space="preserve">About 93 min</w:t>
            </w:r>
          </w:p>
        </w:tc>
      </w:tr>
      <w:tr>
        <w:tc>
          <w:tcPr>
            <w:tcW w:type="dxa" w:w="1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Solana</w:t>
            </w:r>
          </w:p>
        </w:tc>
        <w:tc>
          <w:tcPr>
            <w:tcW w:type="dxa" w:w="12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RBNT</w:t>
            </w:r>
          </w:p>
        </w:tc>
        <w:tc>
          <w:tcPr>
            <w:tcW w:type="dxa" w:w="25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No route found for selected parameters</w:t>
            </w:r>
          </w:p>
        </w:tc>
        <w:tc>
          <w:tcPr>
            <w:tcW w:type="dxa" w:w="2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N/A</w:t>
            </w:r>
          </w:p>
        </w:tc>
        <w:tc>
          <w:tcPr>
            <w:tcW w:type="dxa" w:w="16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N/A</w:t>
            </w:r>
          </w:p>
        </w:tc>
      </w:tr>
    </w:tbl>
    <w:p>
      <w:pPr>
        <w:spacing w:after="160"/>
      </w:pPr>
      <w:r>
        <w:rPr>
          <w:b w:val="false"/>
          <w:bCs w:val="false"/>
          <w:i/>
          <w:iCs/>
          <w:sz w:val="22"/>
          <w:szCs w:val="22"/>
        </w:rPr>
        <w:t xml:space="preserve">WRBNT is not offered as a bridgeable asset from Solana on this bridge at all, only native RBNT appears as an option, and that route currently returns no quote.</w:t>
      </w:r>
    </w:p>
    <w:p>
      <w:pPr>
        <w:pStyle w:val="Heading3"/>
        <w:spacing w:after="100" w:before="200"/>
      </w:pPr>
      <w:r>
        <w:rPr>
          <w:b/>
          <w:bCs/>
        </w:rPr>
        <w:t xml:space="preserve">If you are bridging from Solana specifically</w:t>
      </w:r>
    </w:p>
    <w:p>
      <w:pPr>
        <w:spacing w:after="160"/>
      </w:pPr>
      <w:r>
        <w:rPr>
          <w:b w:val="false"/>
          <w:bCs w:val="false"/>
          <w:i w:val="false"/>
          <w:iCs w:val="false"/>
          <w:sz w:val="22"/>
          <w:szCs w:val="22"/>
        </w:rPr>
        <w:t xml:space="preserve">This is the one confirmed quote unavailable case. If you hold RBNT on Solana and are trying to bridge it back to Redbelly Network through Lucid Labs, the bridge currently cannot route this transfer. This is not something you can fix by adjusting the amount, retrying, or changing wallets, the route itself does not currently exist on this bridge.</w:t>
      </w:r>
    </w:p>
    <w:p>
      <w:pPr>
        <w:pStyle w:val="Heading3"/>
        <w:spacing w:after="100" w:before="200"/>
      </w:pPr>
      <w:r>
        <w:rPr>
          <w:b/>
          <w:bCs/>
        </w:rPr>
        <w:t xml:space="preserve">What to do</w:t>
      </w:r>
    </w:p>
    <w:p>
      <w:pPr>
        <w:pStyle w:val="ListParagraph"/>
        <w:numPr>
          <w:ilvl w:val="0"/>
          <w:numId w:val="5"/>
        </w:numPr>
        <w:spacing w:after="80"/>
      </w:pPr>
      <w:r>
        <w:rPr>
          <w:sz w:val="22"/>
          <w:szCs w:val="22"/>
        </w:rPr>
        <w:t xml:space="preserve">Do not repeatedly retry the same quote. A missing route does not resolve itself by trying again.</w:t>
      </w:r>
    </w:p>
    <w:p>
      <w:pPr>
        <w:pStyle w:val="ListParagraph"/>
        <w:numPr>
          <w:ilvl w:val="0"/>
          <w:numId w:val="5"/>
        </w:numPr>
        <w:spacing w:after="80"/>
      </w:pPr>
      <w:r>
        <w:rPr>
          <w:sz w:val="22"/>
          <w:szCs w:val="22"/>
        </w:rPr>
        <w:t xml:space="preserve">Check Lucid Labs' own site directly for the current list of supported source chains before attempting again later, since route availability can change.</w:t>
      </w:r>
    </w:p>
    <w:p>
      <w:pPr>
        <w:pStyle w:val="ListParagraph"/>
        <w:numPr>
          <w:ilvl w:val="0"/>
          <w:numId w:val="5"/>
        </w:numPr>
        <w:spacing w:after="80"/>
      </w:pPr>
      <w:r>
        <w:rPr>
          <w:sz w:val="22"/>
          <w:szCs w:val="22"/>
        </w:rPr>
        <w:t xml:space="preserve">Consider moving your RBNT to a chain with a confirmed working route first (Ethereum or Base, both of which route through Polymer in under two minutes for WRBNT) if you have a way to do so, rather than waiting on the Solana route.</w:t>
      </w:r>
    </w:p>
    <w:p>
      <w:pPr>
        <w:pStyle w:val="ListParagraph"/>
        <w:numPr>
          <w:ilvl w:val="0"/>
          <w:numId w:val="5"/>
        </w:numPr>
        <w:spacing w:after="80"/>
      </w:pPr>
      <w:r>
        <w:rPr>
          <w:sz w:val="22"/>
          <w:szCs w:val="22"/>
        </w:rPr>
        <w:t xml:space="preserve">Do not use an unofficial or third party bridge to work around this. An unverified route back to Redbelly Network carries far higher risk than waiting for Solana support.</w:t>
      </w:r>
    </w:p>
    <w:p>
      <w:pPr>
        <w:pStyle w:val="Heading3"/>
        <w:spacing w:after="100" w:before="200"/>
      </w:pPr>
      <w:r>
        <w:rPr>
          <w:b/>
          <w:bCs/>
        </w:rPr>
        <w:t xml:space="preserve">If you are bridging from any other supported chain and still see no quote</w:t>
      </w:r>
    </w:p>
    <w:p>
      <w:pPr>
        <w:spacing w:after="160"/>
      </w:pPr>
      <w:r>
        <w:rPr>
          <w:b w:val="false"/>
          <w:bCs w:val="false"/>
          <w:i w:val="false"/>
          <w:iCs w:val="false"/>
          <w:sz w:val="22"/>
          <w:szCs w:val="22"/>
        </w:rPr>
        <w:t xml:space="preserve">For the eight other supported chains, a working route was confirmed at the time of writing. If you see quote unavailable on one of these chains instead of Solana:</w:t>
      </w:r>
    </w:p>
    <w:p>
      <w:pPr>
        <w:pStyle w:val="ListParagraph"/>
        <w:numPr>
          <w:ilvl w:val="0"/>
          <w:numId w:val="6"/>
        </w:numPr>
        <w:spacing w:after="80"/>
      </w:pPr>
      <w:r>
        <w:rPr>
          <w:sz w:val="22"/>
          <w:szCs w:val="22"/>
        </w:rPr>
        <w:t xml:space="preserve">Refresh the page. Route availability is pulled live and can be temporarily affected by liquidity on the underlying bridge (Stargate for RBNT, Polymer for WRBNT).</w:t>
      </w:r>
    </w:p>
    <w:p>
      <w:pPr>
        <w:pStyle w:val="ListParagraph"/>
        <w:numPr>
          <w:ilvl w:val="0"/>
          <w:numId w:val="6"/>
        </w:numPr>
        <w:spacing w:after="80"/>
      </w:pPr>
      <w:r>
        <w:rPr>
          <w:sz w:val="22"/>
          <w:szCs w:val="22"/>
        </w:rPr>
        <w:t xml:space="preserve">Confirm you are bridging the correct asset. RBNT and WRBNT use different underlying bridges (Stargate versus Polymer) with very different fees and times, selecting the wrong one can produce a route failure that looks like a quote problem.</w:t>
      </w:r>
    </w:p>
    <w:p>
      <w:pPr>
        <w:pStyle w:val="ListParagraph"/>
        <w:numPr>
          <w:ilvl w:val="0"/>
          <w:numId w:val="6"/>
        </w:numPr>
        <w:spacing w:after="80"/>
      </w:pPr>
      <w:r>
        <w:rPr>
          <w:sz w:val="22"/>
          <w:szCs w:val="22"/>
        </w:rPr>
        <w:t xml:space="preserve">If the issue persists for more than a short time on a chain listed above as working, treat it as a genuine Lucid Labs issue rather than a user error, and check Lucid Labs' own status channels before assuming your funds are at risk. The funds have not moved yet if you have not signed a transaction, an unavailable quote means nothing has been sent.</w:t>
      </w:r>
    </w:p>
    <w:p>
      <w:r>
        <w:br w:type="page"/>
      </w:r>
    </w:p>
    <w:p>
      <w:pPr>
        <w:pStyle w:val="Heading1"/>
        <w:spacing w:after="200" w:before="400"/>
      </w:pPr>
      <w:r>
        <w:rPr>
          <w:b/>
          <w:bCs/>
          <w:color w:val="1F2937"/>
        </w:rPr>
        <w:t xml:space="preserve">Part 5. Failure Mode 3: Stablecoins Stranded on Ethereum Mainnet</w:t>
      </w:r>
    </w:p>
    <w:p>
      <w:pPr>
        <w:pBdr>
          <w:left w:val="single" w:color="B23A2F" w:sz="24" w:space="8"/>
        </w:pBdr>
        <w:shd w:fill="F3F1EA" w:val="clear"/>
        <w:spacing w:after="220" w:before="120"/>
        <w:ind w:left="200"/>
      </w:pPr>
      <w:r>
        <w:rPr>
          <w:b/>
          <w:bCs/>
          <w:sz w:val="22"/>
          <w:szCs w:val="22"/>
        </w:rPr>
        <w:t xml:space="preserve">If USDC or USDT sent from Ethereum toward Redbelly Network has not arrived, use reddex to check status and complete the transfer. Reddex is Redbelly's own official interface for this route, and it runs on the same underlying bridge infrastructure (Lucid Labs, via Polymer) confirmed elsewhere in this guide for RBNT.</w:t>
      </w:r>
    </w:p>
    <w:p>
      <w:pPr>
        <w:pStyle w:val="Heading3"/>
        <w:spacing w:after="100" w:before="200"/>
      </w:pPr>
      <w:r>
        <w:rPr>
          <w:b/>
          <w:bCs/>
        </w:rPr>
        <w:t xml:space="preserve">Confirmed route and fee</w:t>
      </w:r>
    </w:p>
    <w:p>
      <w:pPr>
        <w:spacing w:after="160"/>
      </w:pPr>
      <w:r>
        <w:rPr>
          <w:b w:val="false"/>
          <w:bCs w:val="false"/>
          <w:i w:val="false"/>
          <w:iCs w:val="false"/>
          <w:sz w:val="22"/>
          <w:szCs w:val="22"/>
        </w:rPr>
        <w:t xml:space="preserve">Verified live, August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3660"/>
        <w:gridCol w:w="1500"/>
      </w:tblGrid>
      <w:tr>
        <w:trPr>
          <w:tblHeader/>
        </w:trPr>
        <w:tc>
          <w:tcPr>
            <w:tcW w:type="dxa" w:w="18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Asset</w:t>
            </w:r>
          </w:p>
        </w:tc>
        <w:tc>
          <w:tcPr>
            <w:tcW w:type="dxa" w:w="24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Route</w:t>
            </w:r>
          </w:p>
        </w:tc>
        <w:tc>
          <w:tcPr>
            <w:tcW w:type="dxa" w:w="366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Fee</w:t>
            </w:r>
          </w:p>
        </w:tc>
        <w:tc>
          <w:tcPr>
            <w:tcW w:type="dxa" w:w="1500"/>
            <w:shd w:fill="1F2937" w:val="clear"/>
            <w:tcMar>
              <w:top w:type="dxa" w:w="100"/>
              <w:left w:type="dxa" w:w="120"/>
              <w:bottom w:type="dxa" w:w="100"/>
              <w:right w:type="dxa" w:w="120"/>
            </w:tcMar>
          </w:tcPr>
          <w:p>
            <w:r>
              <w:rPr>
                <w:rFonts w:ascii="Calibri" w:cs="Calibri" w:eastAsia="Calibri" w:hAnsi="Calibri"/>
                <w:b/>
                <w:bCs/>
                <w:color w:val="FFFFFF"/>
                <w:sz w:val="19"/>
                <w:szCs w:val="19"/>
              </w:rPr>
              <w:t xml:space="preserve">Fee Rate</w:t>
            </w:r>
          </w:p>
        </w:tc>
      </w:tr>
      <w:tr>
        <w:tc>
          <w:tcPr>
            <w:tcW w:type="dxa" w:w="1800"/>
            <w:tcMar>
              <w:top w:type="dxa" w:w="100"/>
              <w:left w:type="dxa" w:w="120"/>
              <w:bottom w:type="dxa" w:w="100"/>
              <w:right w:type="dxa" w:w="120"/>
            </w:tcMar>
          </w:tcPr>
          <w:p>
            <w:r>
              <w:rPr>
                <w:rFonts w:ascii="Calibri" w:cs="Calibri" w:eastAsia="Calibri" w:hAnsi="Calibri"/>
                <w:b w:val="false"/>
                <w:bCs w:val="false"/>
                <w:sz w:val="20"/>
                <w:szCs w:val="20"/>
              </w:rPr>
              <w:t xml:space="preserve">USDT</w:t>
            </w:r>
          </w:p>
        </w:tc>
        <w:tc>
          <w:tcPr>
            <w:tcW w:type="dxa" w:w="2400"/>
            <w:tcMar>
              <w:top w:type="dxa" w:w="100"/>
              <w:left w:type="dxa" w:w="120"/>
              <w:bottom w:type="dxa" w:w="100"/>
              <w:right w:type="dxa" w:w="120"/>
            </w:tcMar>
          </w:tcPr>
          <w:p>
            <w:r>
              <w:rPr>
                <w:rFonts w:ascii="Calibri" w:cs="Calibri" w:eastAsia="Calibri" w:hAnsi="Calibri"/>
                <w:b w:val="false"/>
                <w:bCs w:val="false"/>
                <w:sz w:val="20"/>
                <w:szCs w:val="20"/>
              </w:rPr>
              <w:t xml:space="preserve">Lucid Labs (Polymer)</w:t>
            </w:r>
          </w:p>
        </w:tc>
        <w:tc>
          <w:tcPr>
            <w:tcW w:type="dxa" w:w="3660"/>
            <w:tcMar>
              <w:top w:type="dxa" w:w="100"/>
              <w:left w:type="dxa" w:w="120"/>
              <w:bottom w:type="dxa" w:w="100"/>
              <w:right w:type="dxa" w:w="120"/>
            </w:tcMar>
          </w:tcPr>
          <w:p>
            <w:r>
              <w:rPr>
                <w:rFonts w:ascii="Calibri" w:cs="Calibri" w:eastAsia="Calibri" w:hAnsi="Calibri"/>
                <w:b w:val="false"/>
                <w:bCs w:val="false"/>
                <w:sz w:val="20"/>
                <w:szCs w:val="20"/>
              </w:rPr>
              <w:t xml:space="preserve">10 USDT on a 10,000 USDT transfer</w:t>
            </w:r>
          </w:p>
        </w:tc>
        <w:tc>
          <w:tcPr>
            <w:tcW w:type="dxa" w:w="1500"/>
            <w:tcMar>
              <w:top w:type="dxa" w:w="100"/>
              <w:left w:type="dxa" w:w="120"/>
              <w:bottom w:type="dxa" w:w="100"/>
              <w:right w:type="dxa" w:w="120"/>
            </w:tcMar>
          </w:tcPr>
          <w:p>
            <w:r>
              <w:rPr>
                <w:rFonts w:ascii="Calibri" w:cs="Calibri" w:eastAsia="Calibri" w:hAnsi="Calibri"/>
                <w:b w:val="false"/>
                <w:bCs w:val="false"/>
                <w:sz w:val="20"/>
                <w:szCs w:val="20"/>
              </w:rPr>
              <w:t xml:space="preserve">1%</w:t>
            </w:r>
          </w:p>
        </w:tc>
      </w:tr>
      <w:tr>
        <w:tc>
          <w:tcPr>
            <w:tcW w:type="dxa" w:w="18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USDC</w:t>
            </w:r>
          </w:p>
        </w:tc>
        <w:tc>
          <w:tcPr>
            <w:tcW w:type="dxa" w:w="24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Lucid Labs (Polymer)</w:t>
            </w:r>
          </w:p>
        </w:tc>
        <w:tc>
          <w:tcPr>
            <w:tcW w:type="dxa" w:w="366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10 USDC on a 10,000 USDC transfer</w:t>
            </w:r>
          </w:p>
        </w:tc>
        <w:tc>
          <w:tcPr>
            <w:tcW w:type="dxa" w:w="1500"/>
            <w:shd w:fill="F3F1EA" w:val="clear"/>
            <w:tcMar>
              <w:top w:type="dxa" w:w="100"/>
              <w:left w:type="dxa" w:w="120"/>
              <w:bottom w:type="dxa" w:w="100"/>
              <w:right w:type="dxa" w:w="120"/>
            </w:tcMar>
          </w:tcPr>
          <w:p>
            <w:r>
              <w:rPr>
                <w:rFonts w:ascii="Calibri" w:cs="Calibri" w:eastAsia="Calibri" w:hAnsi="Calibri"/>
                <w:b w:val="false"/>
                <w:bCs w:val="false"/>
                <w:sz w:val="20"/>
                <w:szCs w:val="20"/>
              </w:rPr>
              <w:t xml:space="preserve">1%</w:t>
            </w:r>
          </w:p>
        </w:tc>
      </w:tr>
      <w:tr>
        <w:tc>
          <w:tcPr>
            <w:tcW w:type="dxa" w:w="1800"/>
            <w:tcMar>
              <w:top w:type="dxa" w:w="100"/>
              <w:left w:type="dxa" w:w="120"/>
              <w:bottom w:type="dxa" w:w="100"/>
              <w:right w:type="dxa" w:w="120"/>
            </w:tcMar>
          </w:tcPr>
          <w:p>
            <w:r>
              <w:rPr>
                <w:rFonts w:ascii="Calibri" w:cs="Calibri" w:eastAsia="Calibri" w:hAnsi="Calibri"/>
                <w:b w:val="false"/>
                <w:bCs w:val="false"/>
                <w:sz w:val="20"/>
                <w:szCs w:val="20"/>
              </w:rPr>
              <w:t xml:space="preserve">WRBNT</w:t>
            </w:r>
          </w:p>
        </w:tc>
        <w:tc>
          <w:tcPr>
            <w:tcW w:type="dxa" w:w="2400"/>
            <w:tcMar>
              <w:top w:type="dxa" w:w="100"/>
              <w:left w:type="dxa" w:w="120"/>
              <w:bottom w:type="dxa" w:w="100"/>
              <w:right w:type="dxa" w:w="120"/>
            </w:tcMar>
          </w:tcPr>
          <w:p>
            <w:r>
              <w:rPr>
                <w:rFonts w:ascii="Calibri" w:cs="Calibri" w:eastAsia="Calibri" w:hAnsi="Calibri"/>
                <w:b w:val="false"/>
                <w:bCs w:val="false"/>
                <w:sz w:val="20"/>
                <w:szCs w:val="20"/>
              </w:rPr>
              <w:t xml:space="preserve">Lucid Labs (Polymer)</w:t>
            </w:r>
          </w:p>
        </w:tc>
        <w:tc>
          <w:tcPr>
            <w:tcW w:type="dxa" w:w="3660"/>
            <w:tcMar>
              <w:top w:type="dxa" w:w="100"/>
              <w:left w:type="dxa" w:w="120"/>
              <w:bottom w:type="dxa" w:w="100"/>
              <w:right w:type="dxa" w:w="120"/>
            </w:tcMar>
          </w:tcPr>
          <w:p>
            <w:r>
              <w:rPr>
                <w:rFonts w:ascii="Calibri" w:cs="Calibri" w:eastAsia="Calibri" w:hAnsi="Calibri"/>
                <w:b w:val="false"/>
                <w:bCs w:val="false"/>
                <w:sz w:val="20"/>
                <w:szCs w:val="20"/>
              </w:rPr>
              <w:t xml:space="preserve">10 WRBNT on a 10,000 WRBNT transfer</w:t>
            </w:r>
          </w:p>
        </w:tc>
        <w:tc>
          <w:tcPr>
            <w:tcW w:type="dxa" w:w="1500"/>
            <w:tcMar>
              <w:top w:type="dxa" w:w="100"/>
              <w:left w:type="dxa" w:w="120"/>
              <w:bottom w:type="dxa" w:w="100"/>
              <w:right w:type="dxa" w:w="120"/>
            </w:tcMar>
          </w:tcPr>
          <w:p>
            <w:r>
              <w:rPr>
                <w:rFonts w:ascii="Calibri" w:cs="Calibri" w:eastAsia="Calibri" w:hAnsi="Calibri"/>
                <w:b w:val="false"/>
                <w:bCs w:val="false"/>
                <w:sz w:val="20"/>
                <w:szCs w:val="20"/>
              </w:rPr>
              <w:t xml:space="preserve">1%</w:t>
            </w:r>
          </w:p>
        </w:tc>
      </w:tr>
    </w:tbl>
    <w:p>
      <w:pPr>
        <w:spacing w:after="160"/>
      </w:pPr>
      <w:r>
        <w:rPr>
          <w:b w:val="false"/>
          <w:bCs w:val="false"/>
          <w:i/>
          <w:iCs/>
          <w:sz w:val="22"/>
          <w:szCs w:val="22"/>
        </w:rPr>
        <w:t xml:space="preserve">The fee is a flat 1% regardless of which of these three assets you are moving. If your reddex quote shows a materially different fee, refresh the page before proceeding, since something may have changed on the underlying route.</w:t>
      </w:r>
    </w:p>
    <w:p>
      <w:pPr>
        <w:pStyle w:val="Heading3"/>
        <w:spacing w:after="100" w:before="200"/>
      </w:pPr>
      <w:r>
        <w:rPr>
          <w:b/>
          <w:bCs/>
        </w:rPr>
        <w:t xml:space="preserve">Step 1. Confirm the transfer is actually in progress, not failed at the source</w:t>
      </w:r>
    </w:p>
    <w:p>
      <w:pPr>
        <w:spacing w:after="160"/>
      </w:pPr>
      <w:r>
        <w:rPr>
          <w:b w:val="false"/>
          <w:bCs w:val="false"/>
          <w:i w:val="false"/>
          <w:iCs w:val="false"/>
          <w:sz w:val="22"/>
          <w:szCs w:val="22"/>
        </w:rPr>
        <w:t xml:space="preserve">Before assuming your funds are stuck, check your source transaction on Etherscan. If the transaction shows as failed or reverted on Ethereum itself, your funds never left your wallet and this is not a bridging problem, it is a failed transaction, check your gas settings and retry from Ethereum directly.</w:t>
      </w:r>
    </w:p>
    <w:p>
      <w:pPr>
        <w:spacing w:after="160"/>
      </w:pPr>
      <w:r>
        <w:rPr>
          <w:b w:val="false"/>
          <w:bCs w:val="false"/>
          <w:i w:val="false"/>
          <w:iCs w:val="false"/>
          <w:sz w:val="22"/>
          <w:szCs w:val="22"/>
        </w:rPr>
        <w:t xml:space="preserve">If the source transaction shows as confirmed and successful on Etherscan, your funds have left your wallet and are somewhere in the bridge pipeline. Continue to Step 2.</w:t>
      </w:r>
    </w:p>
    <w:p>
      <w:pPr>
        <w:pStyle w:val="Heading3"/>
        <w:spacing w:after="100" w:before="200"/>
      </w:pPr>
      <w:r>
        <w:rPr>
          <w:b/>
          <w:bCs/>
        </w:rPr>
        <w:t xml:space="preserve">Step 2. Give it time before treating it as stuck</w:t>
      </w:r>
    </w:p>
    <w:p>
      <w:pPr>
        <w:spacing w:after="160"/>
      </w:pPr>
      <w:r>
        <w:rPr>
          <w:b w:val="false"/>
          <w:bCs w:val="false"/>
          <w:i w:val="false"/>
          <w:iCs w:val="false"/>
          <w:sz w:val="22"/>
          <w:szCs w:val="22"/>
        </w:rPr>
        <w:t xml:space="preserve">A confirmed source transaction does not mean instant arrival on Redbelly Network. Bridging through Polymer, as seen in the RBNT return path data in Part 4, has shown times ranging from around 10 seconds to a few minutes under normal conditions. If your transfer has been pending for longer than that, particularly more than 30 minutes, treat it as a genuine delay worth investigating rather than assuming it will resolve on its own.</w:t>
      </w:r>
    </w:p>
    <w:p>
      <w:pPr>
        <w:pStyle w:val="Heading3"/>
        <w:spacing w:after="100" w:before="200"/>
      </w:pPr>
      <w:r>
        <w:rPr>
          <w:b/>
          <w:bCs/>
        </w:rPr>
        <w:t xml:space="preserve">Step 3. Check reddex directly for your transfer status</w:t>
      </w:r>
    </w:p>
    <w:p>
      <w:pPr>
        <w:spacing w:after="160"/>
      </w:pPr>
      <w:r>
        <w:rPr>
          <w:b w:val="false"/>
          <w:bCs w:val="false"/>
          <w:i w:val="false"/>
          <w:iCs w:val="false"/>
          <w:sz w:val="22"/>
          <w:szCs w:val="22"/>
        </w:rPr>
        <w:t xml:space="preserve">Open reddex and select the same asset and direction you used originally, Ethereum to Redbelly Network, for the stranded asset. Confirm the quote and fee shown match what you expect based on the table above. If reddex shows your destination balance has not updated, your funds have not yet completed the bridge.</w:t>
      </w:r>
    </w:p>
    <w:p>
      <w:pPr>
        <w:pStyle w:val="Heading3"/>
        <w:spacing w:after="100" w:before="200"/>
      </w:pPr>
      <w:r>
        <w:rPr>
          <w:b/>
          <w:bCs/>
        </w:rPr>
        <w:t xml:space="preserve">Step 4. If the transfer remains stuck beyond a reasonable delay</w:t>
      </w:r>
    </w:p>
    <w:p>
      <w:pPr>
        <w:spacing w:after="160"/>
      </w:pPr>
      <w:r>
        <w:rPr>
          <w:b w:val="false"/>
          <w:bCs w:val="false"/>
          <w:i w:val="false"/>
          <w:iCs w:val="false"/>
          <w:sz w:val="22"/>
          <w:szCs w:val="22"/>
        </w:rPr>
        <w:t xml:space="preserve">At the time of writing, no dedicated resend or retry self service tool was confirmed within reddex's own interface for a stalled transfer, unlike the standalone Lucid Labs Bridge site which does expose that option for RBNT transfers. If your USDC or USDT transfer through reddex is stuck well beyond the expected time:</w:t>
      </w:r>
    </w:p>
    <w:p>
      <w:pPr>
        <w:pStyle w:val="ListParagraph"/>
        <w:numPr>
          <w:ilvl w:val="0"/>
          <w:numId w:val="7"/>
        </w:numPr>
        <w:spacing w:after="80"/>
      </w:pPr>
      <w:r>
        <w:rPr>
          <w:sz w:val="22"/>
          <w:szCs w:val="22"/>
        </w:rPr>
        <w:t xml:space="preserve">Do not resend the same transfer again to fix it. Sending a second transfer does not cancel or accelerate the first, and doubles your exposure if both eventually complete.</w:t>
      </w:r>
    </w:p>
    <w:p>
      <w:pPr>
        <w:pStyle w:val="ListParagraph"/>
        <w:numPr>
          <w:ilvl w:val="0"/>
          <w:numId w:val="7"/>
        </w:numPr>
        <w:spacing w:after="80"/>
      </w:pPr>
      <w:r>
        <w:rPr>
          <w:sz w:val="22"/>
          <w:szCs w:val="22"/>
        </w:rPr>
        <w:t xml:space="preserve">Collect your evidence before contacting anyone: the source transaction hash from Etherscan, the exact amount and asset, the timestamp, and the destination address you used.</w:t>
      </w:r>
    </w:p>
    <w:p>
      <w:pPr>
        <w:pStyle w:val="ListParagraph"/>
        <w:numPr>
          <w:ilvl w:val="0"/>
          <w:numId w:val="7"/>
        </w:numPr>
        <w:spacing w:after="80"/>
      </w:pPr>
      <w:r>
        <w:rPr>
          <w:sz w:val="22"/>
          <w:szCs w:val="22"/>
        </w:rPr>
        <w:t xml:space="preserve">Contact Redbelly or reddex support directly with this evidence, rather than attempting to resolve it through a third party bridge or an unofficial recovery service. Since reddex is Redbelly's own official route for this transfer, their support team is best positioned to check the underlying Polymer relay status on your behalf.</w:t>
      </w:r>
    </w:p>
    <w:p>
      <w:pPr>
        <w:pStyle w:val="ListParagraph"/>
        <w:numPr>
          <w:ilvl w:val="0"/>
          <w:numId w:val="7"/>
        </w:numPr>
        <w:spacing w:after="80"/>
      </w:pPr>
      <w:r>
        <w:rPr>
          <w:sz w:val="22"/>
          <w:szCs w:val="22"/>
        </w:rPr>
        <w:t xml:space="preserve">Do not click any link sent to you in Discord or a direct message claiming to help track or recover a stuck bridge transaction. This is a common vector for scams targeting exactly this kind of situation.</w:t>
      </w:r>
    </w:p>
    <w:p>
      <w:pPr>
        <w:pStyle w:val="Heading3"/>
        <w:spacing w:after="100" w:before="200"/>
      </w:pPr>
      <w:r>
        <w:rPr>
          <w:b/>
          <w:bCs/>
        </w:rPr>
        <w:t xml:space="preserve">A note on trust for this route</w:t>
      </w:r>
    </w:p>
    <w:p>
      <w:pPr>
        <w:spacing w:after="160"/>
      </w:pPr>
      <w:r>
        <w:rPr>
          <w:b w:val="false"/>
          <w:bCs w:val="false"/>
          <w:i w:val="false"/>
          <w:iCs w:val="false"/>
          <w:sz w:val="22"/>
          <w:szCs w:val="22"/>
        </w:rPr>
        <w:t xml:space="preserve">Because reddex and the standalone Lucid Labs Bridge share the same underlying infrastructure, the reliability data confirmed for RBNT bridging in Part 4 applies here as well. This is one of the few failure modes in this guide where the underlying mechanism has been independently verified working, with real fee and timing data, rather than only referenced from documentation.</w:t>
      </w:r>
    </w:p>
    <w:p>
      <w:r>
        <w:br w:type="page"/>
      </w:r>
    </w:p>
    <w:p>
      <w:pPr>
        <w:pStyle w:val="Heading1"/>
        <w:spacing w:after="200" w:before="400"/>
      </w:pPr>
      <w:r>
        <w:rPr>
          <w:b/>
          <w:bCs/>
          <w:color w:val="1F2937"/>
        </w:rPr>
        <w:t xml:space="preserve">Part 6. Failure Mode 4: Native RBNT Sent to a CEX Deposit Address by Mistake</w:t>
      </w:r>
    </w:p>
    <w:p>
      <w:pPr>
        <w:pBdr>
          <w:left w:val="single" w:color="B23A2F" w:sz="24" w:space="8"/>
        </w:pBdr>
        <w:shd w:fill="F3F1EA" w:val="clear"/>
        <w:spacing w:after="220" w:before="120"/>
        <w:ind w:left="200"/>
      </w:pPr>
      <w:r>
        <w:rPr>
          <w:b/>
          <w:bCs/>
          <w:sz w:val="22"/>
          <w:szCs w:val="22"/>
        </w:rPr>
        <w:t xml:space="preserve">If you sent RBNT directly to a centralized exchange deposit address using the wrong network, or sent an asset the exchange does not support at that address, recovery is possible on some exchanges but never guaranteed. This section covers the four exchanges currently listing RBNT: Gate, MEXC, BYDFi, and WhiteBIT. Read the warning in Part 1 before attempting any of these steps, since prevention is far more reliable than recovery.</w:t>
      </w:r>
    </w:p>
    <w:p>
      <w:pPr>
        <w:pStyle w:val="Heading3"/>
        <w:spacing w:after="100" w:before="200"/>
      </w:pPr>
      <w:r>
        <w:rPr>
          <w:b/>
          <w:bCs/>
        </w:rPr>
        <w:t xml:space="preserve">Before you contact any exchange</w:t>
      </w:r>
    </w:p>
    <w:p>
      <w:pPr>
        <w:spacing w:after="160"/>
      </w:pPr>
      <w:r>
        <w:rPr>
          <w:b w:val="false"/>
          <w:bCs w:val="false"/>
          <w:i w:val="false"/>
          <w:iCs w:val="false"/>
          <w:sz w:val="22"/>
          <w:szCs w:val="22"/>
        </w:rPr>
        <w:t xml:space="preserve">Collect this evidence first. Every recovery process below asks for the same core information, and having it ready before you open a ticket speeds up review.</w:t>
      </w:r>
    </w:p>
    <w:p>
      <w:pPr>
        <w:pStyle w:val="ListParagraph"/>
        <w:numPr>
          <w:ilvl w:val="0"/>
          <w:numId w:val="8"/>
        </w:numPr>
        <w:spacing w:after="80"/>
      </w:pPr>
      <w:r>
        <w:rPr>
          <w:sz w:val="22"/>
          <w:szCs w:val="22"/>
        </w:rPr>
        <w:t xml:space="preserve">The transaction hash (TXID) from a block explorer, not a screenshot of your wallet app.</w:t>
      </w:r>
    </w:p>
    <w:p>
      <w:pPr>
        <w:pStyle w:val="ListParagraph"/>
        <w:numPr>
          <w:ilvl w:val="0"/>
          <w:numId w:val="8"/>
        </w:numPr>
        <w:spacing w:after="80"/>
      </w:pPr>
      <w:r>
        <w:rPr>
          <w:sz w:val="22"/>
          <w:szCs w:val="22"/>
        </w:rPr>
        <w:t xml:space="preserve">The exact deposit address you sent to.</w:t>
      </w:r>
    </w:p>
    <w:p>
      <w:pPr>
        <w:pStyle w:val="ListParagraph"/>
        <w:numPr>
          <w:ilvl w:val="0"/>
          <w:numId w:val="8"/>
        </w:numPr>
        <w:spacing w:after="80"/>
      </w:pPr>
      <w:r>
        <w:rPr>
          <w:sz w:val="22"/>
          <w:szCs w:val="22"/>
        </w:rPr>
        <w:t xml:space="preserve">The exact asset and network you sent on, for example RBNT on Ethereum versus RBNT on Redbelly Network.</w:t>
      </w:r>
    </w:p>
    <w:p>
      <w:pPr>
        <w:pStyle w:val="ListParagraph"/>
        <w:numPr>
          <w:ilvl w:val="0"/>
          <w:numId w:val="8"/>
        </w:numPr>
        <w:spacing w:after="80"/>
      </w:pPr>
      <w:r>
        <w:rPr>
          <w:sz w:val="22"/>
          <w:szCs w:val="22"/>
        </w:rPr>
        <w:t xml:space="preserve">The exact amount and the date and time of the transaction.</w:t>
      </w:r>
    </w:p>
    <w:p>
      <w:pPr>
        <w:pStyle w:val="ListParagraph"/>
        <w:numPr>
          <w:ilvl w:val="0"/>
          <w:numId w:val="8"/>
        </w:numPr>
        <w:spacing w:after="80"/>
      </w:pPr>
      <w:r>
        <w:rPr>
          <w:sz w:val="22"/>
          <w:szCs w:val="22"/>
        </w:rPr>
        <w:t xml:space="preserve">Your exchange account identifier, usually your UID or the email tied to the account.</w:t>
      </w:r>
    </w:p>
    <w:p>
      <w:pPr>
        <w:spacing w:after="160"/>
      </w:pPr>
      <w:r>
        <w:rPr>
          <w:b w:val="false"/>
          <w:bCs w:val="false"/>
          <w:i/>
          <w:iCs/>
          <w:sz w:val="22"/>
          <w:szCs w:val="22"/>
        </w:rPr>
        <w:t xml:space="preserve">Use the correct language when describing this to support. You sent funds from your wallet to the exchange, you did not withdraw from the exchange. Calling it a withdrawal in your support ticket describes the wrong direction of the transfer and can slow down triage.</w:t>
      </w:r>
    </w:p>
    <w:p>
      <w:pPr>
        <w:pStyle w:val="Heading3"/>
        <w:spacing w:after="100" w:before="200"/>
      </w:pPr>
      <w:r>
        <w:rPr>
          <w:b/>
          <w:bCs/>
        </w:rPr>
        <w:t xml:space="preserve">Gate</w:t>
      </w:r>
    </w:p>
    <w:p>
      <w:pPr>
        <w:spacing w:after="160"/>
      </w:pPr>
      <w:r>
        <w:rPr>
          <w:b w:val="false"/>
          <w:bCs w:val="false"/>
          <w:i w:val="false"/>
          <w:iCs w:val="false"/>
          <w:sz w:val="22"/>
          <w:szCs w:val="22"/>
        </w:rPr>
        <w:t xml:space="preserve">Gate has a self service tool called Deposit Not Received, Recovery Request. Submit your transaction details through this tool rather than a general support ticket, it routes directly to the team that handles this. If the asset you sent (for example WRBNT) is not one Gate lists as a supported deposit token, recovery is not guaranteed even through this tool, contact Customer Support directly to confirm whether your specific deposit is recoverable before assuming the self service tool will resolve it.</w:t>
      </w:r>
    </w:p>
    <w:p>
      <w:pPr>
        <w:pStyle w:val="Heading3"/>
        <w:spacing w:after="100" w:before="200"/>
      </w:pPr>
      <w:r>
        <w:rPr>
          <w:b/>
          <w:bCs/>
        </w:rPr>
        <w:t xml:space="preserve">MEXC</w:t>
      </w:r>
    </w:p>
    <w:p>
      <w:pPr>
        <w:spacing w:after="160"/>
      </w:pPr>
      <w:r>
        <w:rPr>
          <w:b w:val="false"/>
          <w:bCs w:val="false"/>
          <w:i w:val="false"/>
          <w:iCs w:val="false"/>
          <w:sz w:val="22"/>
          <w:szCs w:val="22"/>
        </w:rPr>
        <w:t xml:space="preserve">MEXC has a dedicated Wrong Deposit Return Application for deposits sent on an unsupported network or as an unsupported asset. Two things to understand before you submit.</w:t>
      </w:r>
    </w:p>
    <w:p>
      <w:pPr>
        <w:pStyle w:val="ListParagraph"/>
        <w:numPr>
          <w:ilvl w:val="0"/>
          <w:numId w:val="9"/>
        </w:numPr>
        <w:spacing w:after="80"/>
      </w:pPr>
      <w:r>
        <w:rPr>
          <w:sz w:val="22"/>
          <w:szCs w:val="22"/>
        </w:rPr>
        <w:t xml:space="preserve">The outcome is not a credit to your MEXC trading account. Funds are returned to the original sending address, the same wallet you sent from. Do not expect the asset to appear as a tradable balance on MEXC.</w:t>
      </w:r>
    </w:p>
    <w:p>
      <w:pPr>
        <w:pStyle w:val="ListParagraph"/>
        <w:numPr>
          <w:ilvl w:val="0"/>
          <w:numId w:val="9"/>
        </w:numPr>
        <w:spacing w:after="80"/>
      </w:pPr>
      <w:r>
        <w:rPr>
          <w:sz w:val="22"/>
          <w:szCs w:val="22"/>
        </w:rPr>
        <w:t xml:space="preserve">A processing fee applies, and MEXC states plainly that full recovery cannot be guaranteed due to blockchain and network complexity. Submit clear evidence, including a screenshot showing the deposit's source, alongside your transaction hash.</w:t>
      </w:r>
    </w:p>
    <w:p>
      <w:pPr>
        <w:pStyle w:val="Heading3"/>
        <w:spacing w:after="100" w:before="200"/>
      </w:pPr>
      <w:r>
        <w:rPr>
          <w:b/>
          <w:bCs/>
        </w:rPr>
        <w:t xml:space="preserve">BYDFi</w:t>
      </w:r>
    </w:p>
    <w:p>
      <w:pPr>
        <w:spacing w:after="160"/>
      </w:pPr>
      <w:r>
        <w:rPr>
          <w:b w:val="false"/>
          <w:bCs w:val="false"/>
          <w:i w:val="false"/>
          <w:iCs w:val="false"/>
          <w:sz w:val="22"/>
          <w:szCs w:val="22"/>
        </w:rPr>
        <w:t xml:space="preserve">BYDFi does not use a self service form for this. Contact BYDFi Customer Support directly and reference their own help article on depositing unsupported coins. Provide your transaction ID, your BYDFi UID, and the token type and amount. No recovery fee is stated in BYDFi's own documentation, but as with every exchange here, recovery itself is not guaranteed.</w:t>
      </w:r>
    </w:p>
    <w:p>
      <w:pPr>
        <w:pStyle w:val="Heading3"/>
        <w:spacing w:after="100" w:before="200"/>
      </w:pPr>
      <w:r>
        <w:rPr>
          <w:b/>
          <w:bCs/>
        </w:rPr>
        <w:t xml:space="preserve">WhiteBIT</w:t>
      </w:r>
    </w:p>
    <w:p>
      <w:pPr>
        <w:spacing w:after="160"/>
      </w:pPr>
      <w:r>
        <w:rPr>
          <w:b w:val="false"/>
          <w:bCs w:val="false"/>
          <w:i w:val="false"/>
          <w:iCs w:val="false"/>
          <w:sz w:val="22"/>
          <w:szCs w:val="22"/>
        </w:rPr>
        <w:t xml:space="preserve">WhiteBIT has the weakest documented recovery process of the four. Their own help center states that sending funds to an unsupported or incorrect network may result in irreversible loss, and there is no dedicated self service recovery tool comparable to Gate or MEXC. Your only path is a general support ticket, submitted with your transaction hash and full details. Treat a WhiteBIT wrong network deposit as lower odds of recovery than the other three exchanges, and do not assume the same outcome you might expect from Gate or MEXC.</w:t>
      </w:r>
    </w:p>
    <w:p>
      <w:pPr>
        <w:pStyle w:val="Heading3"/>
        <w:spacing w:after="100" w:before="200"/>
      </w:pPr>
      <w:r>
        <w:rPr>
          <w:b/>
          <w:bCs/>
        </w:rPr>
        <w:t xml:space="preserve">What to expect across all four</w:t>
      </w:r>
    </w:p>
    <w:p>
      <w:pPr>
        <w:spacing w:after="160"/>
      </w:pPr>
      <w:r>
        <w:rPr>
          <w:b w:val="false"/>
          <w:bCs w:val="false"/>
          <w:i w:val="false"/>
          <w:iCs w:val="false"/>
          <w:sz w:val="22"/>
          <w:szCs w:val="22"/>
        </w:rPr>
        <w:t xml:space="preserve">None of these exchanges guarantee recovery. Processing can take days, sometimes longer, and where a fee applies it is typically charged whether or not the recovery succeeds. Do not send additional funds to the same address believing it will help resolve the situation, and do not click any link sent to you by someone claiming to expedite recovery in exchange for a fee or your wallet credentials. Legitimate recovery happens only through the official support channel of the exchange itself.</w:t>
      </w:r>
    </w:p>
    <w:p>
      <w:pPr>
        <w:spacing w:before="400"/>
      </w:pPr>
    </w:p>
    <w:p>
      <w:pPr>
        <w:pBdr>
          <w:top w:val="single" w:color="6B7280" w:sz="6" w:space="10"/>
        </w:pBdr>
      </w:pPr>
      <w:r>
        <w:rPr>
          <w:i/>
          <w:iCs/>
          <w:color w:val="6B7280"/>
          <w:sz w:val="20"/>
          <w:szCs w:val="20"/>
        </w:rPr>
        <w:t xml:space="preserve">This guide reflects live, independently verified data as of August 2026. Liquidity, fees, and routing conditions on decentralized exchanges and bridges change frequently, always confirm current quotes before acting on amounts that matter to you.</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r>
    <w:r>
      <w:rPr>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7280"/>
        <w:sz w:val="16"/>
        <w:szCs w:val="16"/>
      </w:rPr>
      <w:t xml:space="preserve">Unstick Your RBNT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abstractNum w:abstractNumId="3" w15:restartNumberingAfterBreak="0">
    <w:multiLevelType w:val="hybridMultilevel"/>
    <w:lvl w:ilvl="0" w15:tentative="1">
      <w:start w:val="1"/>
      <w:numFmt w:val="decimal"/>
      <w:lvlText w:val="%1."/>
      <w:lvlJc w:val="left"/>
      <w:pPr>
        <w:ind w:left="480" w:hanging="240"/>
      </w:pPr>
    </w:lvl>
  </w:abstractNum>
  <w:abstractNum w:abstractNumId="4" w15:restartNumberingAfterBreak="0">
    <w:multiLevelType w:val="hybridMultilevel"/>
    <w:lvl w:ilvl="0" w15:tentative="1">
      <w:start w:val="1"/>
      <w:numFmt w:val="decimal"/>
      <w:lvlText w:val="%1."/>
      <w:lvlJc w:val="left"/>
      <w:pPr>
        <w:ind w:left="480" w:hanging="240"/>
      </w:pPr>
    </w:lvl>
  </w:abstractNum>
  <w:abstractNum w:abstractNumId="5" w15:restartNumberingAfterBreak="0">
    <w:multiLevelType w:val="hybridMultilevel"/>
    <w:lvl w:ilvl="0" w15:tentative="1">
      <w:start w:val="1"/>
      <w:numFmt w:val="decimal"/>
      <w:lvlText w:val="%1."/>
      <w:lvlJc w:val="left"/>
      <w:pPr>
        <w:ind w:left="480" w:hanging="240"/>
      </w:pPr>
    </w:lvl>
  </w:abstractNum>
  <w:abstractNum w:abstractNumId="6" w15:restartNumberingAfterBreak="0">
    <w:multiLevelType w:val="hybridMultilevel"/>
    <w:lvl w:ilvl="0" w15:tentative="1">
      <w:start w:val="1"/>
      <w:numFmt w:val="decimal"/>
      <w:lvlText w:val="%1."/>
      <w:lvlJc w:val="left"/>
      <w:pPr>
        <w:ind w:left="480" w:hanging="240"/>
      </w:pPr>
    </w:lvl>
  </w:abstractNum>
  <w:abstractNum w:abstractNumId="7" w15:restartNumberingAfterBreak="0">
    <w:multiLevelType w:val="hybridMultilevel"/>
    <w:lvl w:ilvl="0" w15:tentative="1">
      <w:start w:val="1"/>
      <w:numFmt w:val="decimal"/>
      <w:lvlText w:val="%1."/>
      <w:lvlJc w:val="left"/>
      <w:pPr>
        <w:ind w:left="480" w:hanging="240"/>
      </w:pPr>
    </w:lvl>
  </w:abstractNum>
  <w:abstractNum w:abstractNumId="8" w15:restartNumberingAfterBreak="0">
    <w:multiLevelType w:val="hybridMultilevel"/>
    <w:lvl w:ilvl="0" w15:tentative="1">
      <w:start w:val="1"/>
      <w:numFmt w:val="decimal"/>
      <w:lvlText w:val="%1."/>
      <w:lvlJc w:val="left"/>
      <w:pPr>
        <w:ind w:left="480" w:hanging="240"/>
      </w:pPr>
    </w:lvl>
  </w:abstractNum>
  <w:abstractNum w:abstractNumId="9" w15:restartNumberingAfterBreak="0">
    <w:multiLevelType w:val="hybridMultilevel"/>
    <w:lvl w:ilvl="0" w15:tentative="1">
      <w:start w:val="1"/>
      <w:numFmt w:val="decimal"/>
      <w:lvlText w:val="%1."/>
      <w:lvlJc w:val="left"/>
      <w:pPr>
        <w:ind w:left="48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2026-08-06T11:57:03.512Z</dcterms:created>
  <dcterms:modified xsi:type="dcterms:W3CDTF">2026-08-06T11:57:03.512Z</dcterms:modified>
</cp:coreProperties>
</file>

<file path=docProps/custom.xml><?xml version="1.0" encoding="utf-8"?>
<Properties xmlns="http://schemas.openxmlformats.org/officeDocument/2006/custom-properties" xmlns:vt="http://schemas.openxmlformats.org/officeDocument/2006/docPropsVTypes"/>
</file>