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0542" w:rsidRPr="00C370F2" w:rsidRDefault="001F4215" w:rsidP="00C370F2">
      <w:pPr>
        <w:rPr>
          <w:b/>
          <w:sz w:val="32"/>
          <w:szCs w:val="32"/>
        </w:rPr>
      </w:pPr>
      <w:r w:rsidRPr="00C370F2">
        <w:rPr>
          <w:b/>
          <w:sz w:val="32"/>
          <w:szCs w:val="32"/>
        </w:rPr>
        <w:t>Assignment for Lecture 4</w:t>
      </w:r>
    </w:p>
    <w:p w:rsidR="001F4215" w:rsidRPr="001F4215" w:rsidRDefault="001F4215">
      <w:pPr>
        <w:rPr>
          <w:b/>
        </w:rPr>
      </w:pPr>
      <w:r w:rsidRPr="001F4215">
        <w:rPr>
          <w:b/>
        </w:rPr>
        <w:t xml:space="preserve">1. Mirror Drawing  </w:t>
      </w:r>
    </w:p>
    <w:p w:rsidR="001F4215" w:rsidRDefault="001F4215">
      <w:r>
        <w:rPr>
          <w:noProof/>
        </w:rPr>
        <w:drawing>
          <wp:anchor distT="0" distB="0" distL="114300" distR="114300" simplePos="0" relativeHeight="251658240" behindDoc="1" locked="0" layoutInCell="1" allowOverlap="0">
            <wp:simplePos x="0" y="0"/>
            <wp:positionH relativeFrom="column">
              <wp:posOffset>4305600</wp:posOffset>
            </wp:positionH>
            <wp:positionV relativeFrom="paragraph">
              <wp:posOffset>-1294430</wp:posOffset>
            </wp:positionV>
            <wp:extent cx="1620000" cy="2296800"/>
            <wp:effectExtent l="0" t="0" r="0" b="0"/>
            <wp:wrapTight wrapText="bothSides">
              <wp:wrapPolygon edited="0">
                <wp:start x="1524" y="537"/>
                <wp:lineTo x="1270" y="11824"/>
                <wp:lineTo x="2032" y="12003"/>
                <wp:lineTo x="10668" y="12003"/>
                <wp:lineTo x="1270" y="12541"/>
                <wp:lineTo x="1270" y="19707"/>
                <wp:lineTo x="20828" y="19707"/>
                <wp:lineTo x="20574" y="17915"/>
                <wp:lineTo x="21082" y="12720"/>
                <wp:lineTo x="19812" y="12003"/>
                <wp:lineTo x="21082" y="11645"/>
                <wp:lineTo x="20574" y="3404"/>
                <wp:lineTo x="20828" y="717"/>
                <wp:lineTo x="20828" y="537"/>
                <wp:lineTo x="1524" y="537"/>
              </wp:wrapPolygon>
            </wp:wrapTight>
            <wp:docPr id="1"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041650" cy="3381375"/>
                      <a:chOff x="6019800" y="3124200"/>
                      <a:chExt cx="3041650" cy="3381375"/>
                    </a:xfrm>
                  </a:grpSpPr>
                  <a:sp>
                    <a:nvSpPr>
                      <a:cNvPr id="488453" name="Text Box 4"/>
                      <a:cNvSpPr txBox="1">
                        <a:spLocks noChangeArrowheads="1"/>
                      </a:cNvSpPr>
                    </a:nvSpPr>
                    <a:spPr bwMode="auto">
                      <a:xfrm>
                        <a:off x="6019800" y="3124200"/>
                        <a:ext cx="3041650" cy="3381375"/>
                      </a:xfrm>
                      <a:prstGeom prst="rect">
                        <a:avLst/>
                      </a:prstGeom>
                      <a:noFill/>
                      <a:ln w="9525">
                        <a:noFill/>
                        <a:miter lim="800000"/>
                        <a:headEnd/>
                        <a:tailEnd/>
                      </a:ln>
                    </a:spPr>
                    <a:txSp>
                      <a:txBody>
                        <a:bodyPr wrap="none">
                          <a:spAutoFit/>
                        </a:bodyPr>
                        <a:lstStyle>
                          <a:defPPr>
                            <a:defRPr lang="en-US"/>
                          </a:defPPr>
                          <a:lvl1pPr algn="l" rtl="0" fontAlgn="base">
                            <a:spcBef>
                              <a:spcPts val="500"/>
                            </a:spcBef>
                            <a:spcAft>
                              <a:spcPct val="0"/>
                            </a:spcAft>
                            <a:buClr>
                              <a:srgbClr val="800080"/>
                            </a:buClr>
                            <a:buSzPct val="55000"/>
                            <a:buFont typeface="Wingdings" pitchFamily="2" charset="2"/>
                            <a:buChar char="n"/>
                            <a:defRPr sz="2000" kern="1200">
                              <a:solidFill>
                                <a:schemeClr val="tx1"/>
                              </a:solidFill>
                              <a:latin typeface="Verdana" pitchFamily="34" charset="0"/>
                              <a:ea typeface="+mn-ea"/>
                              <a:cs typeface="Times New Roman" pitchFamily="18" charset="0"/>
                            </a:defRPr>
                          </a:lvl1pPr>
                          <a:lvl2pPr marL="457200" algn="l" rtl="0" fontAlgn="base">
                            <a:spcBef>
                              <a:spcPts val="500"/>
                            </a:spcBef>
                            <a:spcAft>
                              <a:spcPct val="0"/>
                            </a:spcAft>
                            <a:buClr>
                              <a:srgbClr val="800080"/>
                            </a:buClr>
                            <a:buSzPct val="55000"/>
                            <a:buFont typeface="Wingdings" pitchFamily="2" charset="2"/>
                            <a:buChar char="n"/>
                            <a:defRPr sz="2000" kern="1200">
                              <a:solidFill>
                                <a:schemeClr val="tx1"/>
                              </a:solidFill>
                              <a:latin typeface="Verdana" pitchFamily="34" charset="0"/>
                              <a:ea typeface="+mn-ea"/>
                              <a:cs typeface="Times New Roman" pitchFamily="18" charset="0"/>
                            </a:defRPr>
                          </a:lvl2pPr>
                          <a:lvl3pPr marL="914400" algn="l" rtl="0" fontAlgn="base">
                            <a:spcBef>
                              <a:spcPts val="500"/>
                            </a:spcBef>
                            <a:spcAft>
                              <a:spcPct val="0"/>
                            </a:spcAft>
                            <a:buClr>
                              <a:srgbClr val="800080"/>
                            </a:buClr>
                            <a:buSzPct val="55000"/>
                            <a:buFont typeface="Wingdings" pitchFamily="2" charset="2"/>
                            <a:buChar char="n"/>
                            <a:defRPr sz="2000" kern="1200">
                              <a:solidFill>
                                <a:schemeClr val="tx1"/>
                              </a:solidFill>
                              <a:latin typeface="Verdana" pitchFamily="34" charset="0"/>
                              <a:ea typeface="+mn-ea"/>
                              <a:cs typeface="Times New Roman" pitchFamily="18" charset="0"/>
                            </a:defRPr>
                          </a:lvl3pPr>
                          <a:lvl4pPr marL="1371600" algn="l" rtl="0" fontAlgn="base">
                            <a:spcBef>
                              <a:spcPts val="500"/>
                            </a:spcBef>
                            <a:spcAft>
                              <a:spcPct val="0"/>
                            </a:spcAft>
                            <a:buClr>
                              <a:srgbClr val="800080"/>
                            </a:buClr>
                            <a:buSzPct val="55000"/>
                            <a:buFont typeface="Wingdings" pitchFamily="2" charset="2"/>
                            <a:buChar char="n"/>
                            <a:defRPr sz="2000" kern="1200">
                              <a:solidFill>
                                <a:schemeClr val="tx1"/>
                              </a:solidFill>
                              <a:latin typeface="Verdana" pitchFamily="34" charset="0"/>
                              <a:ea typeface="+mn-ea"/>
                              <a:cs typeface="Times New Roman" pitchFamily="18" charset="0"/>
                            </a:defRPr>
                          </a:lvl4pPr>
                          <a:lvl5pPr marL="1828800" algn="l" rtl="0" fontAlgn="base">
                            <a:spcBef>
                              <a:spcPts val="500"/>
                            </a:spcBef>
                            <a:spcAft>
                              <a:spcPct val="0"/>
                            </a:spcAft>
                            <a:buClr>
                              <a:srgbClr val="800080"/>
                            </a:buClr>
                            <a:buSzPct val="55000"/>
                            <a:buFont typeface="Wingdings" pitchFamily="2" charset="2"/>
                            <a:buChar char="n"/>
                            <a:defRPr sz="2000" kern="1200">
                              <a:solidFill>
                                <a:schemeClr val="tx1"/>
                              </a:solidFill>
                              <a:latin typeface="Verdana" pitchFamily="34" charset="0"/>
                              <a:ea typeface="+mn-ea"/>
                              <a:cs typeface="Times New Roman" pitchFamily="18" charset="0"/>
                            </a:defRPr>
                          </a:lvl5pPr>
                          <a:lvl6pPr marL="2286000" algn="l" defTabSz="914400" rtl="0" eaLnBrk="1" latinLnBrk="0" hangingPunct="1">
                            <a:defRPr sz="2000" kern="1200">
                              <a:solidFill>
                                <a:schemeClr val="tx1"/>
                              </a:solidFill>
                              <a:latin typeface="Verdana" pitchFamily="34" charset="0"/>
                              <a:ea typeface="+mn-ea"/>
                              <a:cs typeface="Times New Roman" pitchFamily="18" charset="0"/>
                            </a:defRPr>
                          </a:lvl6pPr>
                          <a:lvl7pPr marL="2743200" algn="l" defTabSz="914400" rtl="0" eaLnBrk="1" latinLnBrk="0" hangingPunct="1">
                            <a:defRPr sz="2000" kern="1200">
                              <a:solidFill>
                                <a:schemeClr val="tx1"/>
                              </a:solidFill>
                              <a:latin typeface="Verdana" pitchFamily="34" charset="0"/>
                              <a:ea typeface="+mn-ea"/>
                              <a:cs typeface="Times New Roman" pitchFamily="18" charset="0"/>
                            </a:defRPr>
                          </a:lvl7pPr>
                          <a:lvl8pPr marL="3200400" algn="l" defTabSz="914400" rtl="0" eaLnBrk="1" latinLnBrk="0" hangingPunct="1">
                            <a:defRPr sz="2000" kern="1200">
                              <a:solidFill>
                                <a:schemeClr val="tx1"/>
                              </a:solidFill>
                              <a:latin typeface="Verdana" pitchFamily="34" charset="0"/>
                              <a:ea typeface="+mn-ea"/>
                              <a:cs typeface="Times New Roman" pitchFamily="18" charset="0"/>
                            </a:defRPr>
                          </a:lvl8pPr>
                          <a:lvl9pPr marL="3657600" algn="l" defTabSz="914400" rtl="0" eaLnBrk="1" latinLnBrk="0" hangingPunct="1">
                            <a:defRPr sz="2000" kern="1200">
                              <a:solidFill>
                                <a:schemeClr val="tx1"/>
                              </a:solidFill>
                              <a:latin typeface="Verdana" pitchFamily="34" charset="0"/>
                              <a:ea typeface="+mn-ea"/>
                              <a:cs typeface="Times New Roman" pitchFamily="18" charset="0"/>
                            </a:defRPr>
                          </a:lvl9pPr>
                        </a:lstStyle>
                        <a:p>
                          <a:pPr marL="114300" lvl="1">
                            <a:lnSpc>
                              <a:spcPct val="90000"/>
                            </a:lnSpc>
                            <a:spcBef>
                              <a:spcPct val="20000"/>
                            </a:spcBef>
                            <a:buFont typeface="Wingdings" pitchFamily="2" charset="2"/>
                            <a:buNone/>
                          </a:pPr>
                          <a:r>
                            <a:rPr lang="en-US" dirty="0">
                              <a:latin typeface="Courier New" pitchFamily="49" charset="0"/>
                            </a:rPr>
                            <a:t>#================#</a:t>
                          </a:r>
                        </a:p>
                        <a:p>
                          <a:pPr marL="114300" lvl="1">
                            <a:lnSpc>
                              <a:spcPct val="90000"/>
                            </a:lnSpc>
                            <a:spcBef>
                              <a:spcPct val="20000"/>
                            </a:spcBef>
                            <a:buFont typeface="Wingdings" pitchFamily="2" charset="2"/>
                            <a:buNone/>
                          </a:pPr>
                          <a:r>
                            <a:rPr lang="en-US" dirty="0">
                              <a:solidFill>
                                <a:srgbClr val="003399"/>
                              </a:solidFill>
                              <a:latin typeface="Courier New" pitchFamily="49" charset="0"/>
                            </a:rPr>
                            <a:t>|      &lt;&gt;&lt;&gt;      |</a:t>
                          </a:r>
                        </a:p>
                        <a:p>
                          <a:pPr marL="114300" lvl="1">
                            <a:lnSpc>
                              <a:spcPct val="90000"/>
                            </a:lnSpc>
                            <a:spcBef>
                              <a:spcPct val="20000"/>
                            </a:spcBef>
                            <a:buFont typeface="Wingdings" pitchFamily="2" charset="2"/>
                            <a:buNone/>
                          </a:pPr>
                          <a:r>
                            <a:rPr lang="en-US" dirty="0">
                              <a:solidFill>
                                <a:srgbClr val="003399"/>
                              </a:solidFill>
                              <a:latin typeface="Courier New" pitchFamily="49" charset="0"/>
                            </a:rPr>
                            <a:t>|    &lt;&gt;....&lt;&gt;    |</a:t>
                          </a:r>
                        </a:p>
                        <a:p>
                          <a:pPr marL="114300" lvl="1">
                            <a:lnSpc>
                              <a:spcPct val="90000"/>
                            </a:lnSpc>
                            <a:spcBef>
                              <a:spcPct val="20000"/>
                            </a:spcBef>
                            <a:buFont typeface="Wingdings" pitchFamily="2" charset="2"/>
                            <a:buNone/>
                          </a:pPr>
                          <a:r>
                            <a:rPr lang="en-US" dirty="0">
                              <a:solidFill>
                                <a:srgbClr val="003399"/>
                              </a:solidFill>
                              <a:latin typeface="Courier New" pitchFamily="49" charset="0"/>
                            </a:rPr>
                            <a:t>|  &lt;&gt;........&lt;&gt;  |</a:t>
                          </a:r>
                        </a:p>
                        <a:p>
                          <a:pPr marL="114300" lvl="1">
                            <a:lnSpc>
                              <a:spcPct val="90000"/>
                            </a:lnSpc>
                            <a:spcBef>
                              <a:spcPct val="20000"/>
                            </a:spcBef>
                            <a:buFont typeface="Wingdings" pitchFamily="2" charset="2"/>
                            <a:buNone/>
                          </a:pPr>
                          <a:r>
                            <a:rPr lang="en-US" dirty="0">
                              <a:solidFill>
                                <a:srgbClr val="003399"/>
                              </a:solidFill>
                              <a:latin typeface="Courier New" pitchFamily="49" charset="0"/>
                            </a:rPr>
                            <a:t>|&lt;&gt;............&lt;&gt;|</a:t>
                          </a:r>
                        </a:p>
                        <a:p>
                          <a:pPr marL="114300" lvl="1">
                            <a:lnSpc>
                              <a:spcPct val="90000"/>
                            </a:lnSpc>
                            <a:spcBef>
                              <a:spcPct val="20000"/>
                            </a:spcBef>
                            <a:buFont typeface="Wingdings" pitchFamily="2" charset="2"/>
                            <a:buNone/>
                          </a:pPr>
                          <a:r>
                            <a:rPr lang="en-US" dirty="0">
                              <a:latin typeface="Courier New" pitchFamily="49" charset="0"/>
                            </a:rPr>
                            <a:t>|&lt;&gt;............&lt;&gt;|</a:t>
                          </a:r>
                        </a:p>
                        <a:p>
                          <a:pPr marL="114300" lvl="1">
                            <a:lnSpc>
                              <a:spcPct val="90000"/>
                            </a:lnSpc>
                            <a:spcBef>
                              <a:spcPct val="20000"/>
                            </a:spcBef>
                            <a:buFont typeface="Wingdings" pitchFamily="2" charset="2"/>
                            <a:buNone/>
                          </a:pPr>
                          <a:r>
                            <a:rPr lang="en-US" dirty="0">
                              <a:latin typeface="Courier New" pitchFamily="49" charset="0"/>
                            </a:rPr>
                            <a:t>|  &lt;&gt;........&lt;&gt;  |</a:t>
                          </a:r>
                        </a:p>
                        <a:p>
                          <a:pPr marL="114300" lvl="1">
                            <a:lnSpc>
                              <a:spcPct val="90000"/>
                            </a:lnSpc>
                            <a:spcBef>
                              <a:spcPct val="20000"/>
                            </a:spcBef>
                            <a:buFont typeface="Wingdings" pitchFamily="2" charset="2"/>
                            <a:buNone/>
                          </a:pPr>
                          <a:r>
                            <a:rPr lang="en-US" dirty="0">
                              <a:latin typeface="Courier New" pitchFamily="49" charset="0"/>
                            </a:rPr>
                            <a:t>|    &lt;&gt;....&lt;&gt;    |</a:t>
                          </a:r>
                        </a:p>
                        <a:p>
                          <a:pPr marL="114300" lvl="1">
                            <a:lnSpc>
                              <a:spcPct val="90000"/>
                            </a:lnSpc>
                            <a:spcBef>
                              <a:spcPct val="20000"/>
                            </a:spcBef>
                            <a:buFont typeface="Wingdings" pitchFamily="2" charset="2"/>
                            <a:buNone/>
                          </a:pPr>
                          <a:r>
                            <a:rPr lang="en-US" dirty="0">
                              <a:latin typeface="Courier New" pitchFamily="49" charset="0"/>
                            </a:rPr>
                            <a:t>|      &lt;&gt;&lt;&gt;      |</a:t>
                          </a:r>
                        </a:p>
                        <a:p>
                          <a:pPr marL="114300" lvl="1">
                            <a:lnSpc>
                              <a:spcPct val="90000"/>
                            </a:lnSpc>
                            <a:spcBef>
                              <a:spcPct val="20000"/>
                            </a:spcBef>
                            <a:buFont typeface="Wingdings" pitchFamily="2" charset="2"/>
                            <a:buNone/>
                          </a:pPr>
                          <a:r>
                            <a:rPr lang="en-US" dirty="0">
                              <a:latin typeface="Courier New" pitchFamily="49" charset="0"/>
                            </a:rPr>
                            <a:t>#================#</a:t>
                          </a:r>
                        </a:p>
                      </a:txBody>
                      <a:useSpRect/>
                    </a:txSp>
                  </a:sp>
                </lc:lockedCanvas>
              </a:graphicData>
            </a:graphic>
          </wp:anchor>
        </w:drawing>
      </w:r>
      <w:r>
        <w:t>a) Write a program running in Console, that asks user to input the width and the height of the Mirror. They are even numbers.</w:t>
      </w:r>
    </w:p>
    <w:p w:rsidR="001F4215" w:rsidRDefault="001F4215">
      <w:r>
        <w:t>Draw the mirror.</w:t>
      </w:r>
    </w:p>
    <w:p w:rsidR="001F4215" w:rsidRDefault="001F4215">
      <w:r>
        <w:t>b) Write an Applet for doing the same thing.</w:t>
      </w:r>
    </w:p>
    <w:p w:rsidR="001F4215" w:rsidRDefault="00C370F2">
      <w:pPr>
        <w:rPr>
          <w:b/>
        </w:rPr>
      </w:pPr>
      <w:r w:rsidRPr="00C370F2">
        <w:rPr>
          <w:b/>
        </w:rPr>
        <w:t>2. Programming Challenges</w:t>
      </w:r>
    </w:p>
    <w:p w:rsidR="00C370F2" w:rsidRDefault="00C370F2">
      <w:pPr>
        <w:rPr>
          <w:b/>
        </w:rPr>
      </w:pPr>
      <w:r>
        <w:rPr>
          <w:b/>
        </w:rPr>
        <w:t>4.18, 4.19, 4.21 Tony Gaddis Java Textbook.</w:t>
      </w:r>
    </w:p>
    <w:p w:rsidR="00C370F2" w:rsidRPr="00C370F2" w:rsidRDefault="00C370F2" w:rsidP="00C370F2">
      <w:r>
        <w:rPr>
          <w:b/>
        </w:rPr>
        <w:t xml:space="preserve">3. </w:t>
      </w:r>
      <w:r w:rsidRPr="00C370F2">
        <w:t>Write a program that asks the user to enter two numerical values (integers) and then select an operation (addition, subtraction, multiplication and division) then prints the result based on operation selected. The code below shows examples of the output (text shown in boldface is supposed to be user input).</w:t>
      </w:r>
    </w:p>
    <w:p w:rsidR="00C370F2" w:rsidRPr="00C370F2" w:rsidRDefault="00C370F2">
      <w:pPr>
        <w:rPr>
          <w:b/>
        </w:rPr>
      </w:pPr>
      <w:r>
        <w:rPr>
          <w:b/>
          <w:noProof/>
        </w:rPr>
        <w:drawing>
          <wp:inline distT="0" distB="0" distL="0" distR="0">
            <wp:extent cx="4679950" cy="2160270"/>
            <wp:effectExtent l="19050" t="0" r="635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679950" cy="2160270"/>
                    </a:xfrm>
                    <a:prstGeom prst="rect">
                      <a:avLst/>
                    </a:prstGeom>
                    <a:noFill/>
                    <a:ln w="9525">
                      <a:noFill/>
                      <a:miter lim="800000"/>
                      <a:headEnd/>
                      <a:tailEnd/>
                    </a:ln>
                  </pic:spPr>
                </pic:pic>
              </a:graphicData>
            </a:graphic>
          </wp:inline>
        </w:drawing>
      </w:r>
    </w:p>
    <w:sectPr w:rsidR="00C370F2" w:rsidRPr="00C370F2" w:rsidSect="00D905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6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F4215"/>
    <w:rsid w:val="001F4215"/>
    <w:rsid w:val="006F1187"/>
    <w:rsid w:val="00C370F2"/>
    <w:rsid w:val="00CF367E"/>
    <w:rsid w:val="00D90542"/>
    <w:rsid w:val="00E52E97"/>
    <w:rsid w:val="00F93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AF3C91-1411-492C-95BB-47C2B23EF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5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42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42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5E561231560241848A67842BD62A28" ma:contentTypeVersion="4" ma:contentTypeDescription="Create a new document." ma:contentTypeScope="" ma:versionID="60c32330362977c46b0fbdc07db23ab1">
  <xsd:schema xmlns:xsd="http://www.w3.org/2001/XMLSchema" xmlns:xs="http://www.w3.org/2001/XMLSchema" xmlns:p="http://schemas.microsoft.com/office/2006/metadata/properties" xmlns:ns2="0b81aafe-f34e-41e8-bac8-918e25838d0a" targetNamespace="http://schemas.microsoft.com/office/2006/metadata/properties" ma:root="true" ma:fieldsID="84a056ae38171e2183469e4406d4507e" ns2:_="">
    <xsd:import namespace="0b81aafe-f34e-41e8-bac8-918e25838d0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81aafe-f34e-41e8-bac8-918e25838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4ABB6A-9F8E-4051-9442-BC06E1C94C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81aafe-f34e-41e8-bac8-918e25838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08CA9C-55A2-49C9-86C0-8C7C904C6E1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E81DD3-17BB-4482-8F60-C6E2ECC641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Pages>
  <Words>92</Words>
  <Characters>526</Characters>
  <Application>Microsoft Office Word</Application>
  <DocSecurity>2</DocSecurity>
  <Lines>4</Lines>
  <Paragraphs>1</Paragraphs>
  <ScaleCrop>false</ScaleCrop>
  <Company/>
  <LinksUpToDate>false</LinksUpToDate>
  <CharactersWithSpaces>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Tuan-Dung Cao</dc:creator>
  <cp:lastModifiedBy>Dương Tùng</cp:lastModifiedBy>
  <cp:revision>3</cp:revision>
  <dcterms:created xsi:type="dcterms:W3CDTF">2019-03-12T07:47:00Z</dcterms:created>
  <dcterms:modified xsi:type="dcterms:W3CDTF">2025-12-04T07:22:00Z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0x010100885E561231560241848A67842BD62A28</vt:lpwstr>
  </property>
</Properties>
</file>