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ENLIGHTENMENT: REASON, LAW, AND INSTITUTIONAL POWER</w:t>
      </w:r>
    </w:p>
    <w:p>
      <w:pPr>
        <w:pStyle w:val="Subtitle"/>
        <w:jc w:val="center"/>
      </w:pPr>
      <w:r>
        <w:t>Pre-class Reading Handout: Voltaire and Montesquieu</w:t>
      </w:r>
    </w:p>
    <w:tbl>
      <w:tblPr>
        <w:tblW w:type="auto" w:w="0"/>
        <w:jc w:val="center"/>
        <w:tblLayout w:type="fixed"/>
        <w:tblLook w:firstColumn="1" w:firstRow="1" w:lastColumn="0" w:lastRow="0" w:noHBand="0" w:noVBand="1" w:val="04A0"/>
      </w:tblPr>
      <w:tblGrid>
        <w:gridCol w:w="2324"/>
        <w:gridCol w:w="6973"/>
      </w:tblGrid>
      <w:tr>
        <w:tc>
          <w:tcPr>
            <w:tcW w:type="dxa" w:w="2324"/>
            <w:shd w:fill="D9EAF7"/>
            <w:tcMar>
              <w:top w:w="120" w:type="dxa"/>
              <w:start w:w="120" w:type="dxa"/>
              <w:bottom w:w="120" w:type="dxa"/>
              <w:end w:w="120" w:type="dxa"/>
            </w:tcMar>
            <w:vAlign w:val="center"/>
          </w:tcPr>
          <w:p>
            <w:pPr>
              <w:spacing w:after="0"/>
            </w:pPr>
            <w:r>
              <w:rPr>
                <w:b/>
                <w:sz w:val="21"/>
              </w:rPr>
              <w:t>Course</w:t>
            </w:r>
          </w:p>
        </w:tc>
        <w:tc>
          <w:tcPr>
            <w:tcW w:type="dxa" w:w="6973"/>
            <w:tcMar>
              <w:top w:w="120" w:type="dxa"/>
              <w:start w:w="120" w:type="dxa"/>
              <w:bottom w:w="120" w:type="dxa"/>
              <w:end w:w="120" w:type="dxa"/>
            </w:tcMar>
            <w:vAlign w:val="center"/>
          </w:tcPr>
          <w:p>
            <w:pPr>
              <w:spacing w:after="0"/>
            </w:pPr>
            <w:r>
              <w:rPr>
                <w:sz w:val="21"/>
              </w:rPr>
              <w:t>World Literature</w:t>
            </w:r>
          </w:p>
        </w:tc>
      </w:tr>
      <w:tr>
        <w:tc>
          <w:tcPr>
            <w:tcW w:type="dxa" w:w="2324"/>
            <w:shd w:fill="D9EAF7"/>
            <w:tcMar>
              <w:top w:w="120" w:type="dxa"/>
              <w:start w:w="120" w:type="dxa"/>
              <w:bottom w:w="120" w:type="dxa"/>
              <w:end w:w="120" w:type="dxa"/>
            </w:tcMar>
            <w:vAlign w:val="center"/>
          </w:tcPr>
          <w:p>
            <w:pPr>
              <w:spacing w:after="0"/>
            </w:pPr>
            <w:r>
              <w:rPr>
                <w:b/>
                <w:sz w:val="21"/>
              </w:rPr>
              <w:t>Student</w:t>
            </w:r>
          </w:p>
        </w:tc>
        <w:tc>
          <w:tcPr>
            <w:tcW w:type="dxa" w:w="6973"/>
            <w:tcMar>
              <w:top w:w="120" w:type="dxa"/>
              <w:start w:w="120" w:type="dxa"/>
              <w:bottom w:w="120" w:type="dxa"/>
              <w:end w:w="120" w:type="dxa"/>
            </w:tcMar>
            <w:vAlign w:val="center"/>
          </w:tcPr>
          <w:p>
            <w:pPr>
              <w:spacing w:after="0"/>
            </w:pPr>
            <w:r>
              <w:rPr>
                <w:sz w:val="21"/>
              </w:rPr>
              <w:t>________________________________________</w:t>
            </w:r>
          </w:p>
        </w:tc>
      </w:tr>
      <w:tr>
        <w:tc>
          <w:tcPr>
            <w:tcW w:type="dxa" w:w="2324"/>
            <w:shd w:fill="D9EAF7"/>
            <w:tcMar>
              <w:top w:w="120" w:type="dxa"/>
              <w:start w:w="120" w:type="dxa"/>
              <w:bottom w:w="120" w:type="dxa"/>
              <w:end w:w="120" w:type="dxa"/>
            </w:tcMar>
            <w:vAlign w:val="center"/>
          </w:tcPr>
          <w:p>
            <w:pPr>
              <w:spacing w:after="0"/>
            </w:pPr>
            <w:r>
              <w:rPr>
                <w:b/>
                <w:sz w:val="21"/>
              </w:rPr>
              <w:t>Reading due</w:t>
            </w:r>
          </w:p>
        </w:tc>
        <w:tc>
          <w:tcPr>
            <w:tcW w:type="dxa" w:w="6973"/>
            <w:tcMar>
              <w:top w:w="120" w:type="dxa"/>
              <w:start w:w="120" w:type="dxa"/>
              <w:bottom w:w="120" w:type="dxa"/>
              <w:end w:w="120" w:type="dxa"/>
            </w:tcMar>
            <w:vAlign w:val="center"/>
          </w:tcPr>
          <w:p>
            <w:pPr>
              <w:spacing w:after="0"/>
            </w:pPr>
            <w:r>
              <w:rPr>
                <w:sz w:val="21"/>
              </w:rPr>
              <w:t>________________________________________</w:t>
            </w:r>
          </w:p>
        </w:tc>
      </w:tr>
    </w:tbl>
    <w:tbl>
      <w:tblPr>
        <w:tblW w:type="auto" w:w="0"/>
        <w:jc w:val="center"/>
        <w:tblLook w:firstColumn="1" w:firstRow="1" w:lastColumn="0" w:lastRow="0" w:noHBand="0" w:noVBand="1" w:val="04A0"/>
      </w:tblPr>
      <w:tblGrid>
        <w:gridCol w:w="9412"/>
      </w:tblGrid>
      <w:tr>
        <w:tc>
          <w:tcPr>
            <w:tcW w:type="dxa" w:w="9412"/>
            <w:shd w:fill="EEF4F8"/>
            <w:tcMar>
              <w:top w:w="180" w:type="dxa"/>
              <w:start w:w="220" w:type="dxa"/>
              <w:bottom w:w="180" w:type="dxa"/>
              <w:end w:w="220" w:type="dxa"/>
            </w:tcMar>
          </w:tcPr>
          <w:p>
            <w:pPr>
              <w:spacing w:after="80"/>
            </w:pPr>
            <w:r>
              <w:rPr>
                <w:b/>
                <w:color w:val="1F4E79"/>
                <w:sz w:val="22"/>
              </w:rPr>
              <w:t>MỤC ĐÍCH ĐỌC</w:t>
            </w:r>
          </w:p>
          <w:p>
            <w:pPr>
              <w:spacing w:after="0" w:line="264" w:lineRule="auto"/>
            </w:pPr>
            <w:r>
              <w:rPr>
                <w:b w:val="0"/>
              </w:rPr>
              <w:t xml:space="preserve">Đọc hai văn bản như hai hình thức khác nhau của tư tưởng Khai sáng: </w:t>
            </w:r>
            <w:r>
              <w:rPr>
                <w:i/>
              </w:rPr>
              <w:t>Candide</w:t>
            </w:r>
            <w:r>
              <w:t xml:space="preserve"> sử dụng truyện kể và giọng châm biếm để phơi bày sự phi lí của quyền lực; </w:t>
            </w:r>
            <w:r>
              <w:rPr>
                <w:i/>
              </w:rPr>
              <w:t>The Spirit of the Laws</w:t>
            </w:r>
            <w:r>
              <w:t xml:space="preserve"> dùng lập luận chính trị để giải thích cách hạn chế sự lạm quyền và bảo vệ tự do.</w:t>
            </w:r>
          </w:p>
        </w:tc>
      </w:tr>
    </w:tbl>
    <w:p>
      <w:pPr>
        <w:pStyle w:val="Heading1"/>
        <w:pBdr>
          <w:bottom w:val="single" w:sz="6" w:space="2" w:color="9EADBA"/>
        </w:pBdr>
      </w:pPr>
      <w:r>
        <w:t>Before You Read</w:t>
      </w:r>
    </w:p>
    <w:p>
      <w:pPr>
        <w:pStyle w:val="ListBullet"/>
        <w:spacing w:after="40" w:line="264" w:lineRule="auto"/>
      </w:pPr>
      <w:r>
        <w:t>Đọc mỗi văn bản ít nhất hai lần. Lần thứ nhất theo dõi nội dung; lần thứ hai đánh dấu từ ngữ và lập luận quan trọng.</w:t>
      </w:r>
    </w:p>
    <w:p>
      <w:pPr>
        <w:pStyle w:val="ListBullet"/>
        <w:spacing w:after="40" w:line="264" w:lineRule="auto"/>
      </w:pPr>
      <w:r>
        <w:t>Trong Candide, khoanh các từ mang sắc thái trang trọng, đẹp đẽ hoặc hợp lí nhưng được đặt cạnh bạo lực.</w:t>
      </w:r>
    </w:p>
    <w:p>
      <w:pPr>
        <w:pStyle w:val="ListBullet"/>
        <w:spacing w:after="40" w:line="264" w:lineRule="auto"/>
      </w:pPr>
      <w:r>
        <w:t>Trong Montesquieu, gạch dưới các câu định nghĩa liberty, power và sự phân chia legislative–executive–judiciary.</w:t>
      </w:r>
    </w:p>
    <w:p>
      <w:pPr>
        <w:pStyle w:val="ListBullet"/>
        <w:spacing w:after="40" w:line="264" w:lineRule="auto"/>
      </w:pPr>
      <w:r>
        <w:t>Chuẩn bị một nhận xét so sánh dựa trên ít nhất một câu trích từ mỗi văn bản.</w:t>
      </w:r>
    </w:p>
    <w:p>
      <w:pPr>
        <w:pStyle w:val="Heading1"/>
        <w:pBdr>
          <w:bottom w:val="single" w:sz="6" w:space="2" w:color="9EADBA"/>
        </w:pBdr>
      </w:pPr>
      <w:r>
        <w:t>READING 1</w:t>
      </w:r>
    </w:p>
    <w:p>
      <w:pPr>
        <w:pStyle w:val="Heading2"/>
      </w:pPr>
      <w:r>
        <w:t>Voltaire, Candide (1759)</w:t>
      </w:r>
    </w:p>
    <w:p>
      <w:pPr>
        <w:spacing w:after="160"/>
        <w:jc w:val="center"/>
      </w:pPr>
      <w:r>
        <w:rPr>
          <w:b/>
          <w:sz w:val="24"/>
        </w:rPr>
        <w:t>CHAPTER VI</w:t>
        <w:br/>
      </w:r>
      <w:r>
        <w:rPr>
          <w:i/>
          <w:sz w:val="23"/>
        </w:rPr>
        <w:t>How the Portuguese Made a Beautiful Auto-da-Fé, to Prevent Any Further Earthquakes; and How Candide Was Publicly Whipped</w:t>
      </w:r>
    </w:p>
    <w:p>
      <w:pPr>
        <w:pStyle w:val="SourceNote"/>
      </w:pPr>
      <w:r>
        <w:t>Context: After surviving a shipwreck and the Lisbon earthquake, Candide and Pangloss encounter the Portuguese Inquisition. This is the complete text of Chapter VI. English text follows Project Gutenberg eBook #19942 (public-domain edition).</w:t>
      </w:r>
    </w:p>
    <w:p>
      <w:pPr>
        <w:keepLines w:val="0"/>
        <w:spacing w:line="276" w:lineRule="auto" w:after="120"/>
        <w:ind w:firstLine="397"/>
        <w:jc w:val="both"/>
      </w:pPr>
      <w:r>
        <w:rPr>
          <w:i w:val="0"/>
        </w:rPr>
        <w:t>After the earthquake had destroyed three-fourths of Lisbon, the sages of that country could think of no means more effectual to prevent utter ruin than to give the people a beautiful auto-da-fé; for it had been decided by the University of Coimbra, that the burning of a few people alive by a slow fire, and with great ceremony, is an infallible secret to hinder the earth from quaking.</w:t>
      </w:r>
    </w:p>
    <w:p>
      <w:pPr>
        <w:keepLines w:val="0"/>
        <w:spacing w:line="276" w:lineRule="auto" w:after="120"/>
        <w:ind w:firstLine="397"/>
        <w:jc w:val="both"/>
      </w:pPr>
      <w:r>
        <w:rPr>
          <w:i w:val="0"/>
        </w:rPr>
        <w:t>In consequence hereof, they had seized on a Biscayner, convicted of having married his godmother, and on two Portuguese, for rejecting the bacon which larded a chicken they were eating; after dinner, they came and secured Dr. Pangloss, and his disciple Candide, the one for speaking his mind, the other for having listened with an air of approbation. They were conducted to separate apartments, extremely cold, as they were never incommoded by the sun.</w:t>
      </w:r>
    </w:p>
    <w:p>
      <w:pPr>
        <w:keepLines w:val="0"/>
        <w:spacing w:line="276" w:lineRule="auto" w:after="120"/>
        <w:ind w:firstLine="397"/>
        <w:jc w:val="both"/>
      </w:pPr>
      <w:r>
        <w:rPr>
          <w:i w:val="0"/>
        </w:rPr>
        <w:t>Eight days after they were dressed in san-benitos and their heads ornamented with paper mitres. The mitre and san-benito belonging to Candide were painted with reversed flames and with devils that had neither tails nor claws; but Pangloss's devils had claws and tails and the flames were upright. They marched in procession thus habited and heard a very pathetic sermon, followed by fine church music.</w:t>
      </w:r>
    </w:p>
    <w:p>
      <w:pPr>
        <w:keepLines w:val="0"/>
        <w:spacing w:line="276" w:lineRule="auto" w:after="120"/>
        <w:ind w:firstLine="397"/>
        <w:jc w:val="both"/>
      </w:pPr>
      <w:r>
        <w:rPr>
          <w:i w:val="0"/>
        </w:rPr>
        <w:t>Candide was whipped in cadence while they were singing; the Biscayner, and the two men who had refused to eat bacon, were burnt; and Pangloss was hanged, though that was not the custom. The same day the earth sustained a most violent concussion.</w:t>
      </w:r>
    </w:p>
    <w:p>
      <w:pPr>
        <w:keepNext/>
        <w:keepLines w:val="0"/>
        <w:spacing w:line="276" w:lineRule="auto" w:after="120"/>
        <w:ind w:firstLine="397"/>
        <w:jc w:val="both"/>
      </w:pPr>
      <w:r>
        <w:rPr>
          <w:i w:val="0"/>
        </w:rPr>
        <w:t>Candide, terrified, amazed, desperate, all bloody, all palpitating, said to himself:</w:t>
      </w:r>
    </w:p>
    <w:p>
      <w:pPr>
        <w:keepLines w:val="0"/>
        <w:spacing w:line="276" w:lineRule="auto" w:after="120"/>
        <w:ind w:left="397" w:right="283" w:firstLine="0"/>
        <w:jc w:val="both"/>
      </w:pPr>
      <w:r>
        <w:rPr>
          <w:i/>
        </w:rPr>
        <w:t>“If this is the best of possible worlds, what then are the others? Well, if I had been only whipped I could put up with it, for I experienced that among the Bulgarians; but oh, my dear Pangloss! thou greatest of philosophers, that I should have seen you hanged, without knowing for what! Oh, my dear Anabaptist, thou best of men, that thou should'st have been drowned in the very harbour! Oh, Miss Cunegonde, thou pearl of girls! that thou should'st have had thy belly ripped open!”</w:t>
      </w:r>
    </w:p>
    <w:p>
      <w:pPr>
        <w:keepNext/>
        <w:keepLines w:val="0"/>
        <w:spacing w:line="276" w:lineRule="auto" w:after="120"/>
        <w:ind w:firstLine="397"/>
        <w:jc w:val="both"/>
      </w:pPr>
      <w:r>
        <w:rPr>
          <w:i w:val="0"/>
        </w:rPr>
        <w:t>Thus he was musing, scarce able to stand, preached at, whipped, absolved, and blessed, when an old woman accosted him saying:</w:t>
      </w:r>
    </w:p>
    <w:p>
      <w:pPr>
        <w:keepLines w:val="0"/>
        <w:spacing w:line="276" w:lineRule="auto" w:after="120"/>
        <w:ind w:left="397" w:right="283" w:firstLine="0"/>
        <w:jc w:val="both"/>
      </w:pPr>
      <w:r>
        <w:rPr>
          <w:i/>
        </w:rPr>
        <w:t>“My son, take courage and follow me.”</w:t>
      </w:r>
    </w:p>
    <w:p>
      <w:pPr>
        <w:pStyle w:val="SourceNote"/>
      </w:pPr>
      <w:r>
        <w:t>Key terms: auto-da-fé = a public ceremony of judgment and penance associated with the Inquisition; san-benito = a penitential garment worn by the accused or condemned.</w:t>
      </w:r>
    </w:p>
    <w:p>
      <w:r>
        <w:br/>
      </w:r>
    </w:p>
    <w:p>
      <w:pPr>
        <w:pStyle w:val="Heading1"/>
        <w:pBdr>
          <w:bottom w:val="single" w:sz="6" w:space="2" w:color="9EADBA"/>
        </w:pBdr>
      </w:pPr>
      <w:r>
        <w:t>READING 2</w:t>
      </w:r>
    </w:p>
    <w:p>
      <w:pPr>
        <w:pStyle w:val="Heading2"/>
      </w:pPr>
      <w:r>
        <w:t>Montesquieu, The Spirit of the Laws (1748)</w:t>
      </w:r>
    </w:p>
    <w:p>
      <w:pPr>
        <w:spacing w:after="160"/>
        <w:jc w:val="center"/>
      </w:pPr>
      <w:r>
        <w:rPr>
          <w:b/>
          <w:sz w:val="24"/>
        </w:rPr>
        <w:t>BOOK XI, CHAPTER VI (SELECTED OPENING PASSAGE)</w:t>
        <w:br/>
      </w:r>
      <w:r>
        <w:rPr>
          <w:i/>
          <w:sz w:val="23"/>
        </w:rPr>
        <w:t>Of the Constitution of England</w:t>
      </w:r>
    </w:p>
    <w:p>
      <w:pPr>
        <w:pStyle w:val="SourceNote"/>
      </w:pPr>
      <w:r>
        <w:t>Context: In Book XI, Montesquieu examines political liberty and argues that power must be arranged so that no person or institution can exercise unchecked authority. Translation by Thomas Nugent (1750), reproduced in The Founders’ Constitution, University of Chicago Press.</w:t>
      </w:r>
    </w:p>
    <w:p>
      <w:pPr>
        <w:keepLines w:val="0"/>
        <w:spacing w:line="276" w:lineRule="auto" w:after="120"/>
        <w:ind w:firstLine="397"/>
        <w:jc w:val="both"/>
      </w:pPr>
      <w:r>
        <w:rPr>
          <w:i w:val="0"/>
        </w:rPr>
        <w:t>In every government there are three sorts of power: the legislative; the executive in respect to things dependent on the law of nations; and the executive in regard to matters that depend on the civil law.</w:t>
      </w:r>
    </w:p>
    <w:p>
      <w:pPr>
        <w:keepLines w:val="0"/>
        <w:spacing w:line="276" w:lineRule="auto" w:after="120"/>
        <w:ind w:firstLine="397"/>
        <w:jc w:val="both"/>
      </w:pPr>
      <w:r>
        <w:rPr>
          <w:i w:val="0"/>
        </w:rPr>
        <w:t>By virtue of the first, the prince or magistrate enacts temporary or perpetual laws, and amends or abrogates those that have been already enacted. By the second, he makes peace or war, sends or receives embassies, establishes the public security, and provides against invasions. By the third, he punishes criminals, or determines the disputes that arise between individuals. The latter we shall call the judiciary power, and the other simply the executive power of the state.</w:t>
      </w:r>
    </w:p>
    <w:p>
      <w:pPr>
        <w:keepLines w:val="0"/>
        <w:spacing w:line="276" w:lineRule="auto" w:after="120"/>
        <w:ind w:firstLine="397"/>
        <w:jc w:val="both"/>
      </w:pPr>
      <w:r>
        <w:rPr>
          <w:i w:val="0"/>
        </w:rPr>
        <w:t>The political liberty of the subject is a tranquillity of mind arising from the opinion each person has of his safety. In order to have this liberty, it is requisite the government be so constituted as one man need not be afraid of another.</w:t>
      </w:r>
    </w:p>
    <w:p>
      <w:pPr>
        <w:keepLines w:val="0"/>
        <w:spacing w:line="276" w:lineRule="auto" w:after="120"/>
        <w:ind w:firstLine="397"/>
        <w:jc w:val="both"/>
      </w:pPr>
      <w:r>
        <w:rPr>
          <w:i w:val="0"/>
        </w:rPr>
        <w:t>When the legislative and executive powers are united in the same person, or in the same body of magistrates, there can be no liberty; because apprehensions may arise, lest the same monarch or senate should enact tyrannical laws, to execute them in a tyrannical manner.</w:t>
      </w:r>
    </w:p>
    <w:p>
      <w:pPr>
        <w:keepLines w:val="0"/>
        <w:spacing w:line="276" w:lineRule="auto" w:after="120"/>
        <w:ind w:firstLine="397"/>
        <w:jc w:val="both"/>
      </w:pPr>
      <w:r>
        <w:rPr>
          <w:i w:val="0"/>
        </w:rPr>
        <w:t>Again, there is no liberty, if the judiciary power be not separated from the legislative and executive. Were it joined with the legislative, the life and liberty of the subject would be exposed to arbitrary control; for the judge would be then the legislator. Were it joined to the executive power, the judge might behave with violence and oppression.</w:t>
      </w:r>
    </w:p>
    <w:p>
      <w:pPr>
        <w:keepLines w:val="0"/>
        <w:spacing w:line="276" w:lineRule="auto" w:after="120"/>
        <w:ind w:firstLine="397"/>
        <w:jc w:val="both"/>
      </w:pPr>
      <w:r>
        <w:rPr>
          <w:i w:val="0"/>
        </w:rPr>
        <w:t>There would be an end of everything, were the same man or the same body, whether of the nobles or of the people, to exercise those three powers, that of enacting laws, that of executing the public resolutions, and of trying the causes of individuals.</w:t>
      </w:r>
    </w:p>
    <w:p>
      <w:pPr>
        <w:keepLines w:val="0"/>
        <w:spacing w:line="276" w:lineRule="auto" w:after="120"/>
        <w:ind w:firstLine="397"/>
        <w:jc w:val="both"/>
      </w:pPr>
      <w:r>
        <w:rPr>
          <w:i w:val="0"/>
        </w:rPr>
        <w:t>Most kingdoms in Europe enjoy a moderate government because the prince who is invested with the two first powers leaves the third to his subjects. In Turkey, where these three powers are united in the Sultan's person, the subjects groan under the most dreadful oppression.</w:t>
      </w:r>
    </w:p>
    <w:p>
      <w:pPr>
        <w:keepLines w:val="0"/>
        <w:spacing w:line="276" w:lineRule="auto" w:after="120"/>
        <w:ind w:firstLine="397"/>
        <w:jc w:val="both"/>
      </w:pPr>
      <w:r>
        <w:rPr>
          <w:i w:val="0"/>
        </w:rPr>
        <w:t>In the republics of Italy, where these three powers are united, there is less liberty than in our monarchies. Hence their government is obliged to have recourse to as violent methods for its support as even that of the Turks; witness the state inquisitors, and the lion's mouth into which every informer may at all hours throw his written accusations.</w:t>
      </w:r>
    </w:p>
    <w:p>
      <w:pPr>
        <w:keepLines w:val="0"/>
        <w:spacing w:line="276" w:lineRule="auto" w:after="120"/>
        <w:ind w:firstLine="397"/>
        <w:jc w:val="both"/>
      </w:pPr>
      <w:r>
        <w:rPr>
          <w:i w:val="0"/>
        </w:rPr>
        <w:t>In what a situation must the poor subject be in those republics! The same body of magistrates are possessed, as executors of the laws, of the whole power they have given themselves in quality of legislators. They may plunder the state by their general determinations; and as they have likewise the judiciary power in their hands, every private citizen may be ruined by their particular decisions.</w:t>
      </w:r>
    </w:p>
    <w:p>
      <w:pPr>
        <w:keepLines w:val="0"/>
        <w:spacing w:line="276" w:lineRule="auto" w:after="120"/>
        <w:ind w:firstLine="397"/>
        <w:jc w:val="both"/>
      </w:pPr>
      <w:r>
        <w:rPr>
          <w:i w:val="0"/>
        </w:rPr>
        <w:t>The whole power is here united in one body; and though there is no external pomp that indicates a despotic sway, yet the people feel the effects of it every moment.</w:t>
      </w:r>
    </w:p>
    <w:p>
      <w:pPr>
        <w:keepLines w:val="0"/>
        <w:spacing w:line="276" w:lineRule="auto" w:after="120"/>
        <w:ind w:firstLine="397"/>
        <w:jc w:val="both"/>
      </w:pPr>
      <w:r>
        <w:rPr>
          <w:i w:val="0"/>
        </w:rPr>
        <w:t>Hence it is that many of the princes of Europe, whose aim has been levelled at arbitrary power, have constantly set out with uniting in their own persons all the branches of magistracy, and all the great offices of state.</w:t>
      </w:r>
    </w:p>
    <w:p>
      <w:pPr>
        <w:keepLines w:val="0"/>
        <w:spacing w:line="276" w:lineRule="auto" w:after="120"/>
        <w:ind w:firstLine="397"/>
        <w:jc w:val="both"/>
      </w:pPr>
      <w:r>
        <w:rPr>
          <w:i w:val="0"/>
        </w:rPr>
        <w:t>I allow indeed that the mere hereditary aristocracy of the Italian republics does not exactly answer to the despotic power of the Eastern princes. The number of magistrates sometimes moderate the power of the magistracy; the whole body of the nobles do not always concur in the same design; and different tribunals are erected, that temper each other. Thus at Venice the legislative power is in the council, the executive in the pregadi, and the judiciary in the quarantia.</w:t>
      </w:r>
    </w:p>
    <w:p>
      <w:pPr>
        <w:keepLines w:val="0"/>
        <w:spacing w:line="276" w:lineRule="auto" w:after="120"/>
        <w:ind w:firstLine="397"/>
        <w:jc w:val="both"/>
      </w:pPr>
      <w:r>
        <w:rPr>
          <w:i w:val="0"/>
        </w:rPr>
        <w:t>But the mischief is, that these different tribunals are composed of magistrates all belonging to the same body; which constitutes almost one and the same power.</w:t>
      </w:r>
    </w:p>
    <w:p>
      <w:pPr>
        <w:keepLines w:val="0"/>
        <w:spacing w:line="276" w:lineRule="auto" w:after="120"/>
        <w:ind w:firstLine="397"/>
        <w:jc w:val="both"/>
      </w:pPr>
      <w:r>
        <w:rPr>
          <w:i w:val="0"/>
        </w:rPr>
        <w:t>The judiciary power ought not to be given to a standing senate; it should be exercised by persons taken from the body of the people at certain times of the year, and consistently with a form and manner prescribed by law, in order to erect a tribunal that should last only so long as necessity requires.</w:t>
      </w:r>
    </w:p>
    <w:p>
      <w:pPr>
        <w:keepLines w:val="0"/>
        <w:spacing w:line="276" w:lineRule="auto" w:after="120"/>
        <w:ind w:firstLine="397"/>
        <w:jc w:val="both"/>
      </w:pPr>
      <w:r>
        <w:rPr>
          <w:i w:val="0"/>
        </w:rPr>
        <w:t>By this method the judicial power, so terrible to mankind, not being annexed to any particular state or profession, becomes, as it were, invisible. People have not then the judges continually present to their view; they fear the office, but not the magistrate.</w:t>
      </w:r>
    </w:p>
    <w:p>
      <w:pPr>
        <w:keepLines w:val="0"/>
        <w:spacing w:line="276" w:lineRule="auto" w:after="120"/>
        <w:ind w:firstLine="397"/>
        <w:jc w:val="both"/>
      </w:pPr>
      <w:r>
        <w:rPr>
          <w:i w:val="0"/>
        </w:rPr>
        <w:t>In accusations of a deep and criminal nature, it is proper the person accused should have the privilege of choosing, in some measure, his judges, in concurrence with the law; or at least he should have a right to except against so great a number that the remaining part may be deemed his own choice.</w:t>
      </w:r>
    </w:p>
    <w:p>
      <w:pPr>
        <w:keepLines w:val="0"/>
        <w:spacing w:line="276" w:lineRule="auto" w:after="120"/>
        <w:ind w:firstLine="397"/>
        <w:jc w:val="both"/>
      </w:pPr>
      <w:r>
        <w:rPr>
          <w:i w:val="0"/>
        </w:rPr>
        <w:t>The other two powers may be given rather to magistrates or permanent bodies, because they are not exercised on any private subject; one being no more than the general will of the state, and the other the execution of that general will.</w:t>
      </w:r>
    </w:p>
    <w:p>
      <w:pPr>
        <w:keepLines w:val="0"/>
        <w:spacing w:line="276" w:lineRule="auto" w:after="120"/>
        <w:ind w:firstLine="397"/>
        <w:jc w:val="both"/>
      </w:pPr>
      <w:r>
        <w:rPr>
          <w:i w:val="0"/>
        </w:rPr>
        <w:t>But though the tribunals ought not to be fixed, the judgments ought; and to such a degree as to be ever conformable to the letter of the law. Were they to be the private opinion of the judge, people would then live in society, without exactly knowing the nature of their obligations.</w:t>
      </w:r>
    </w:p>
    <w:p>
      <w:pPr>
        <w:keepLines w:val="0"/>
        <w:spacing w:line="276" w:lineRule="auto" w:after="120"/>
        <w:ind w:firstLine="397"/>
        <w:jc w:val="both"/>
      </w:pPr>
      <w:r>
        <w:rPr>
          <w:i w:val="0"/>
        </w:rPr>
        <w:t>The judges ought likewise to be of the same rank as the accused, or, in other words, his peers; to the end that he may not imagine he is fallen into the hands of persons inclined to treat him with rigor.</w:t>
      </w:r>
    </w:p>
    <w:p>
      <w:pPr>
        <w:keepLines w:val="0"/>
        <w:spacing w:line="276" w:lineRule="auto" w:after="120"/>
        <w:ind w:firstLine="397"/>
        <w:jc w:val="both"/>
      </w:pPr>
      <w:r>
        <w:rPr>
          <w:i w:val="0"/>
        </w:rPr>
        <w:t>If the legislature leaves the executive power in possession of a right to imprison those subjects who can give security for their good behavior, there is an end of liberty; unless they are taken up, in order to answer without delay to a capital crime, in which case they are really free, being subject only to the power of the law.</w:t>
      </w:r>
    </w:p>
    <w:p>
      <w:pPr>
        <w:keepLines w:val="0"/>
        <w:spacing w:line="276" w:lineRule="auto" w:after="120"/>
        <w:ind w:firstLine="397"/>
        <w:jc w:val="both"/>
      </w:pPr>
      <w:r>
        <w:rPr>
          <w:i w:val="0"/>
        </w:rPr>
        <w:t>But should the legislature think itself in danger by some secret conspiracy against the state, or by a correspondence with a foreign enemy, it might authorize the executive power, for a short and limited time, to imprison suspected persons, who in that case would lose their liberty only for a while, to preserve it forever.</w:t>
      </w:r>
    </w:p>
    <w:p>
      <w:pPr>
        <w:pStyle w:val="SourceNote"/>
      </w:pPr>
      <w:r>
        <w:t>Key terms: legislative power = power to make laws; executive power = power to carry out public decisions and conduct affairs of state; judiciary power = power to judge crimes and disputes; arbitrary = based on uncontrolled personal will rather than stable law.</w:t>
      </w:r>
    </w:p>
    <w:p>
      <w:pPr>
        <w:pStyle w:val="Heading1"/>
        <w:pBdr>
          <w:bottom w:val="single" w:sz="6" w:space="2" w:color="9EADBA"/>
        </w:pBdr>
      </w:pPr>
      <w:r>
        <w:t>Questions for Close Reading and Comparison</w:t>
      </w:r>
    </w:p>
    <w:p>
      <w:pPr>
        <w:spacing w:after="100" w:line="264" w:lineRule="auto"/>
        <w:ind w:left="170" w:hanging="170"/>
      </w:pPr>
      <w:r>
        <w:rPr>
          <w:b/>
          <w:color w:val="1F4E79"/>
        </w:rPr>
        <w:t xml:space="preserve">1. </w:t>
      </w:r>
      <w:r>
        <w:t>In Candide, why does Voltaire repeatedly place words such as “beautiful,” “great ceremony,” “pathetic sermon,” and “fine church music” beside punishment and death?</w:t>
      </w:r>
    </w:p>
    <w:p>
      <w:pPr>
        <w:spacing w:after="100" w:line="264" w:lineRule="auto"/>
        <w:ind w:left="170" w:hanging="170"/>
      </w:pPr>
      <w:r>
        <w:rPr>
          <w:b/>
          <w:color w:val="1F4E79"/>
        </w:rPr>
        <w:t xml:space="preserve">2. </w:t>
      </w:r>
      <w:r>
        <w:t>What distinction does Montesquieu make between the existence of laws and genuine political liberty?</w:t>
      </w:r>
    </w:p>
    <w:p>
      <w:pPr>
        <w:spacing w:after="100" w:line="264" w:lineRule="auto"/>
        <w:ind w:left="170" w:hanging="170"/>
      </w:pPr>
      <w:r>
        <w:rPr>
          <w:b/>
          <w:color w:val="1F4E79"/>
        </w:rPr>
        <w:t xml:space="preserve">3. </w:t>
      </w:r>
      <w:r>
        <w:t>Identify the authorities involved in the auto-da-fé. Which powers—legislative, executive, or judiciary—appear to be combined?</w:t>
      </w:r>
    </w:p>
    <w:p>
      <w:pPr>
        <w:spacing w:after="100" w:line="264" w:lineRule="auto"/>
        <w:ind w:left="170" w:hanging="170"/>
      </w:pPr>
      <w:r>
        <w:rPr>
          <w:b/>
          <w:color w:val="1F4E79"/>
        </w:rPr>
        <w:t xml:space="preserve">4. </w:t>
      </w:r>
      <w:r>
        <w:t>Compare Candide’s question, “If this is the best of possible worlds, what then are the others?” with Montesquieu’s claim that concentrated power produces fear. What different kinds of argument do fiction and political philosophy make?</w:t>
      </w:r>
    </w:p>
    <w:p>
      <w:pPr>
        <w:spacing w:after="100" w:line="264" w:lineRule="auto"/>
        <w:ind w:left="170" w:hanging="170"/>
      </w:pPr>
      <w:r>
        <w:rPr>
          <w:b/>
          <w:color w:val="1F4E79"/>
        </w:rPr>
        <w:t xml:space="preserve">5. </w:t>
      </w:r>
      <w:r>
        <w:t>Write one comparative thesis (2–3 sentences): How do the two authors expose the danger of institutions that call their own actions rational, lawful, or necessary?</w:t>
      </w:r>
    </w:p>
    <w:tbl>
      <w:tblPr>
        <w:tblW w:type="auto" w:w="0"/>
        <w:tblLook w:firstColumn="1" w:firstRow="1" w:lastColumn="0" w:lastRow="0" w:noHBand="0" w:noVBand="1" w:val="04A0"/>
      </w:tblPr>
      <w:tblGrid>
        <w:gridCol w:w="9412"/>
      </w:tblGrid>
      <w:tr>
        <w:tc>
          <w:tcPr>
            <w:tcW w:type="dxa" w:w="9412"/>
            <w:shd w:fill="FFF2CC"/>
            <w:tcMar>
              <w:top w:w="160" w:type="dxa"/>
              <w:start w:w="200" w:type="dxa"/>
              <w:bottom w:w="160" w:type="dxa"/>
              <w:end w:w="200" w:type="dxa"/>
            </w:tcMar>
          </w:tcPr>
          <w:p>
            <w:pPr>
              <w:spacing w:after="0"/>
            </w:pPr>
            <w:r>
              <w:rPr>
                <w:b/>
              </w:rPr>
              <w:t xml:space="preserve">YÊU CẦU MANG ĐẾN LỚP: </w:t>
            </w:r>
            <w:r>
              <w:t>Bản handout đã chú thích, câu trả lời ngắn cho câu 1–4, và một comparative thesis cho câu 5.</w:t>
            </w:r>
          </w:p>
        </w:tc>
      </w:tr>
    </w:tbl>
    <w:p>
      <w:pPr>
        <w:pStyle w:val="Heading1"/>
        <w:pBdr>
          <w:bottom w:val="single" w:sz="6" w:space="2" w:color="9EADBA"/>
        </w:pBdr>
      </w:pPr>
      <w:r>
        <w:t>Textual Sources</w:t>
      </w:r>
    </w:p>
    <w:p>
      <w:pPr>
        <w:pStyle w:val="SourceNote"/>
      </w:pPr>
      <w:r>
        <w:t>Voltaire. Candide. Project Gutenberg eBook #19942: https://www.gutenberg.org/files/19942/19942-h/19942-h.htm</w:t>
      </w:r>
    </w:p>
    <w:p>
      <w:pPr>
        <w:pStyle w:val="SourceNote"/>
      </w:pPr>
      <w:r>
        <w:t>Montesquieu. The Spirit of the Laws. Book XI, Chapter VI. Translated by Thomas Nugent. The Founders’ Constitution, University of Chicago Press: https://press-pubs.uchicago.edu/founders/documents/v1ch17s9.html</w:t>
      </w:r>
    </w:p>
    <w:sectPr w:rsidR="00FC693F" w:rsidRPr="0006063C" w:rsidSect="00034616">
      <w:headerReference w:type="default" r:id="rId9"/>
      <w:footerReference w:type="default" r:id="rId10"/>
      <w:pgSz w:w="11906" w:h="16838"/>
      <w:pgMar w:top="1020" w:right="1247" w:bottom="964" w:left="124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Arial" w:hAnsi="Arial"/>
        <w:color w:val="646464"/>
        <w:sz w:val="16"/>
      </w:rPr>
      <w:fldChar w:fldCharType="begin"/>
      <w:instrText xml:space="preserve"> PAGE </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center"/>
    </w:pPr>
    <w:r>
      <w:rPr>
        <w:rFonts w:ascii="Arial" w:hAnsi="Arial"/>
        <w:b/>
        <w:color w:val="646464"/>
        <w:sz w:val="16"/>
      </w:rPr>
      <w:t>WORLD LITERATURE  |  ENLIGHTENMENT READING HANDOUT</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sz w:val="23"/>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200" w:after="100"/>
      <w:outlineLvl w:val="0"/>
    </w:pPr>
    <w:rPr>
      <w:rFonts w:asciiTheme="majorHAnsi" w:eastAsiaTheme="majorEastAsia" w:hAnsiTheme="majorHAnsi" w:cstheme="majorBidi" w:ascii="Times New Roman" w:hAnsi="Times New Roman" w:eastAsia="Times New Roman"/>
      <w:b/>
      <w:bCs/>
      <w:color w:val="1F4E79"/>
      <w:sz w:val="30"/>
      <w:szCs w:val="28"/>
    </w:rPr>
  </w:style>
  <w:style w:type="paragraph" w:styleId="Heading2">
    <w:name w:val="heading 2"/>
    <w:basedOn w:val="Normal"/>
    <w:next w:val="Normal"/>
    <w:link w:val="Heading2Char"/>
    <w:uiPriority w:val="9"/>
    <w:unhideWhenUsed/>
    <w:qFormat/>
    <w:rsid w:val="00FC693F"/>
    <w:pPr>
      <w:keepNext/>
      <w:keepLines/>
      <w:spacing w:before="160" w:after="80"/>
      <w:outlineLvl w:val="1"/>
    </w:pPr>
    <w:rPr>
      <w:rFonts w:asciiTheme="majorHAnsi" w:eastAsiaTheme="majorEastAsia" w:hAnsiTheme="majorHAnsi" w:cstheme="majorBidi" w:ascii="Times New Roman" w:hAnsi="Times New Roman" w:eastAsia="Times New Roman"/>
      <w:b/>
      <w:bCs/>
      <w:color w:val="375F91"/>
      <w:sz w:val="25"/>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Times New Roman" w:hAnsi="Times New Roman" w:eastAsia="Times New Roman"/>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Times New Roman" w:hAnsi="Times New Roman" w:eastAsia="Times New Roman"/>
      <w:b/>
      <w:color w:val="1F4E79"/>
      <w:spacing w:val="5"/>
      <w:kern w:val="28"/>
      <w:sz w:val="36"/>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Times New Roman" w:hAnsi="Times New Roman" w:eastAsia="Times New Roman"/>
      <w:i/>
      <w:iCs/>
      <w:color w:val="595959"/>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SourceNote">
    <w:name w:val="Source Note"/>
    <w:pPr>
      <w:spacing w:after="100"/>
    </w:pPr>
    <w:rPr>
      <w:rFonts w:ascii="Times New Roman" w:hAnsi="Times New Roman" w:eastAsia="Times New Roman"/>
      <w:i/>
      <w:color w:val="595959"/>
      <w:sz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Enlightenment Reading Handout: Voltaire and Montesquieu</dc:title>
  <dc:subject>World Literature pre-class reading</dc:subject>
  <dc:creator>OpenAI</dc:creator>
  <cp:keywords>Voltaire, Candide, Montesquieu, Spirit of the Laws, Enlightenment, world literature</cp:keywords>
  <dc:description>generated by python-docx</dc:description>
  <cp:lastModifiedBy/>
  <cp:revision>1</cp:revision>
  <dcterms:created xsi:type="dcterms:W3CDTF">2013-12-23T23:15:00Z</dcterms:created>
  <dcterms:modified xsi:type="dcterms:W3CDTF">2013-12-23T23:15:00Z</dcterms:modified>
  <cp:category/>
</cp:coreProperties>
</file>