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181FA8" w:rsidRDefault="00181FA8"/>
    <w:p w14:paraId="59622E38" w14:textId="5205B92B" w:rsidR="0291B893" w:rsidRDefault="0291B893" w:rsidP="0291B893">
      <w:pPr>
        <w:pStyle w:val="Title"/>
      </w:pPr>
      <w:r>
        <w:t>Customer Support Themes and Improvement Plan</w:t>
      </w:r>
    </w:p>
    <w:p w14:paraId="28B4FD98" w14:textId="15DA0842" w:rsidR="0291B893" w:rsidRDefault="0291B893">
      <w:r w:rsidRPr="0291B893">
        <w:rPr>
          <w:i/>
          <w:iCs/>
          <w:color w:val="5A5A5A"/>
          <w:sz w:val="24"/>
          <w:szCs w:val="24"/>
        </w:rPr>
        <w:t>Evidence review of 9 June to 7 September 2026, with external service benchmarks</w:t>
      </w:r>
    </w:p>
    <w:p w14:paraId="48547E6D" w14:textId="4DC9729C" w:rsidR="0291B893" w:rsidRDefault="0291B893">
      <w:r w:rsidRPr="0291B893">
        <w:rPr>
          <w:color w:val="5A5A5A"/>
          <w:sz w:val="20"/>
          <w:szCs w:val="20"/>
        </w:rPr>
        <w:t>Prepared for Corey Gray, Marketing, Paris. 7 September 2026.</w:t>
      </w:r>
    </w:p>
    <w:p w14:paraId="7D640653" w14:textId="2620752B" w:rsidR="0291B893" w:rsidRDefault="0291B893" w:rsidP="0291B893">
      <w:pPr>
        <w:pStyle w:val="Heading1"/>
      </w:pPr>
      <w:r w:rsidRPr="0291B893">
        <w:rPr>
          <w:color w:val="794E1F"/>
        </w:rPr>
        <w:t>Executive summary</w:t>
      </w:r>
    </w:p>
    <w:p w14:paraId="71E825BD" w14:textId="209D0E9E" w:rsidR="0291B893" w:rsidRDefault="0291B893">
      <w:r>
        <w:t xml:space="preserve">A search of the mailbox, Teams chats, calendar and OneDrive and SharePoint files across the ninety days from 9 June to 7 September 2026 returned no customer escalations, no customer complaints and no meeting discussion of support quality. The mailbox in that window is composed almost entirely of automated notifications: Power Automate failure alerts, Microsoft Entra ID Protection digests, Planner task reminders and Jira weekly updates. The calendar holds no events in the </w:t>
      </w:r>
      <w:proofErr w:type="gramStart"/>
      <w:r>
        <w:t>window</w:t>
      </w:r>
      <w:proofErr w:type="gramEnd"/>
      <w:r>
        <w:t xml:space="preserve"> and no meeting transcripts exist for it. That is a coverage finding rather than a clean bill of health, and this document states it plainly instead of manufacturing themes the evidence does not carry.</w:t>
      </w:r>
    </w:p>
    <w:p w14:paraId="5C7392EA" w14:textId="203A09DE" w:rsidR="0291B893" w:rsidRDefault="0291B893">
      <w:r>
        <w:t xml:space="preserve">What the search did surface is a picture of the support tooling around this workspace, and that picture is not in good order. Two Copilot data connections to the ticketing systems failed inside a fortnight, four separate weekly notices report failed automation flows, one flow was disabled outright for consistent failure, and the ServiceNow virtual agent declines to help because no account has been provisioned. Four different support and ordering bots each answered a greeting in the </w:t>
      </w:r>
      <w:proofErr w:type="gramStart"/>
      <w:r>
        <w:t>window</w:t>
      </w:r>
      <w:proofErr w:type="gramEnd"/>
      <w:r>
        <w:t xml:space="preserve"> and none carried a conversation to a resolved outcome. These are the recurring issues the evidence </w:t>
      </w:r>
      <w:proofErr w:type="gramStart"/>
      <w:r>
        <w:t>actually supports</w:t>
      </w:r>
      <w:proofErr w:type="gramEnd"/>
      <w:r>
        <w:t>, and they are the reason no complaint or escalation data reached this mailbox in the first place.</w:t>
      </w:r>
    </w:p>
    <w:p w14:paraId="1E6F198F" w14:textId="53BB2F0D" w:rsidR="0291B893" w:rsidRDefault="0291B893">
      <w:r>
        <w:t>Against that, the external benchmark picture is well documented. Cross-industry customer satisfaction sits near 78 out of 100 in 2026 and first contact resolution near 70 to 75 per cent, with top performers above 85 per cent. No internal figure exists to place beside either number. The improvement plan therefore begins with restoring the data path, not with tuning a metric that is not yet being collected.</w:t>
      </w:r>
    </w:p>
    <w:p w14:paraId="7FCEB477" w14:textId="5142FBDB" w:rsidR="0291B893" w:rsidRDefault="0291B893" w:rsidP="0291B893">
      <w:pPr>
        <w:pStyle w:val="Heading1"/>
      </w:pPr>
      <w:r w:rsidRPr="0291B893">
        <w:rPr>
          <w:color w:val="794E1F"/>
        </w:rPr>
        <w:t>Scope of the evidence</w:t>
      </w:r>
    </w:p>
    <w:p w14:paraId="13C33798" w14:textId="3842AC1A" w:rsidR="0291B893" w:rsidRDefault="0291B893">
      <w:r>
        <w:t xml:space="preserve">The internal review covered Outlook messages received between 9 June and 7 September 2026, Teams one-to-one and group chats, the calendar for the same window, and a semantic search of OneDrive and SharePoint for escalation, complaint, service level, satisfaction survey, helpdesk and ticket resolution language. Keyword searches for escalation, complaint, service level breach, outage, </w:t>
      </w:r>
      <w:r>
        <w:lastRenderedPageBreak/>
        <w:t xml:space="preserve">refund and unhappy </w:t>
      </w:r>
      <w:proofErr w:type="gramStart"/>
      <w:r>
        <w:t>customer</w:t>
      </w:r>
      <w:proofErr w:type="gramEnd"/>
      <w:r>
        <w:t xml:space="preserve"> returned nothing in email or Teams. The file results that did return were procurement, sustainability and AI governance documents unrelated to customer support.</w:t>
      </w:r>
    </w:p>
    <w:p w14:paraId="544398C8" w14:textId="470F63A2" w:rsidR="0291B893" w:rsidRDefault="0291B893">
      <w:r>
        <w:t>Two limits should be read alongside every finding below. The review saw one person's mailbox and chats, not a shared support mailbox, a support Teams channel or a ticketing queue, and customer contact for this organisation is very unlikely to land in a marketing mailbox. The calendar returned no meetings at all in the ninety days, so the requested review of meeting discussion about support quality could not be performed rather than being performed and found empty.</w:t>
      </w:r>
    </w:p>
    <w:p w14:paraId="68DB090C" w14:textId="10C8C4C8" w:rsidR="0291B893" w:rsidRDefault="0291B893" w:rsidP="0291B893">
      <w:pPr>
        <w:pStyle w:val="Heading1"/>
      </w:pPr>
      <w:r w:rsidRPr="0291B893">
        <w:rPr>
          <w:color w:val="794E1F"/>
        </w:rPr>
        <w:t>Top themes, with evidence</w:t>
      </w:r>
    </w:p>
    <w:p w14:paraId="611661E0" w14:textId="3EBAC55F" w:rsidR="0291B893" w:rsidRDefault="0291B893" w:rsidP="0291B893">
      <w:pPr>
        <w:pStyle w:val="Heading2"/>
      </w:pPr>
      <w:r w:rsidRPr="0291B893">
        <w:rPr>
          <w:color w:val="794E1F"/>
        </w:rPr>
        <w:t>Theme one: the ticket data pipeline is broken</w:t>
      </w:r>
    </w:p>
    <w:p w14:paraId="3054DF70" w14:textId="1137DEC5" w:rsidR="0291B893" w:rsidRDefault="0291B893">
      <w:r>
        <w:t xml:space="preserve">Two Microsoft 365 notices arrived ten days </w:t>
      </w:r>
      <w:proofErr w:type="gramStart"/>
      <w:r>
        <w:t>apart</w:t>
      </w:r>
      <w:proofErr w:type="gramEnd"/>
      <w:r>
        <w:t xml:space="preserve"> reporting connection failures on the ticketing data sources. On 12 August 2026 the message "Your Copilot connection Jira2606051042 needs immediate attention" stated that a connection failure had been detected and asked for the connection status to be reviewed in the admin centre. On 22 August 2026 the identical notice arrived for the connection named ServiceNowTickets2607141032. Both remained in the mailbox as read items with no reply or follow-up thread in the window. While those two connections are down, ticket volumes, resolution times and escalation counts cannot be read from either system, which is the most direct explanation for why a ninety-day support search returns nothing.</w:t>
      </w:r>
    </w:p>
    <w:p w14:paraId="412D0244" w14:textId="74F9252A" w:rsidR="0291B893" w:rsidRDefault="0291B893" w:rsidP="0291B893">
      <w:pPr>
        <w:pStyle w:val="Heading2"/>
      </w:pPr>
      <w:r w:rsidRPr="0291B893">
        <w:rPr>
          <w:color w:val="794E1F"/>
        </w:rPr>
        <w:t>Theme two: support automation is failing weekly and going unremediated</w:t>
      </w:r>
    </w:p>
    <w:p w14:paraId="7AE36122" w14:textId="78B16509" w:rsidR="0291B893" w:rsidRDefault="0291B893">
      <w:r>
        <w:t>Power Automate reported failures in three consecutive weeks: four flows on 15 August 2026, two flows on 22 August 2026 and one flow on 31 August 2026. Between the first two of those, on 24 August 2026, a separate alert stated that a flow had been disabled after failing consistently, naming it as "When agent is added or updated". Alongside these, Planner sent late-task notices on 19 and 25 August 2026. The pattern is a set of background processes degrading steadily with no visible remediation thread. Where those flows carry routing, assignment or notification steps, every failure is a request that quietly did not move.</w:t>
      </w:r>
    </w:p>
    <w:p w14:paraId="12371BFD" w14:textId="60CD01A9" w:rsidR="0291B893" w:rsidRDefault="0291B893" w:rsidP="0291B893">
      <w:pPr>
        <w:pStyle w:val="Heading2"/>
      </w:pPr>
      <w:r w:rsidRPr="0291B893">
        <w:rPr>
          <w:color w:val="794E1F"/>
        </w:rPr>
        <w:t>Theme three: self-service intake is unprovisioned</w:t>
      </w:r>
    </w:p>
    <w:p w14:paraId="5DEA9D51" w14:textId="7A997A8E" w:rsidR="0291B893" w:rsidRDefault="0291B893">
      <w:r>
        <w:t xml:space="preserve">On 5 June 2026 the ServiceNow virtual agent opened with an offer to find answers, file requests and complete routine tasks, then immediately qualified it: an active ServiceNow account is required, and the administrator must set the services up. No account was provisioned and the conversation ended </w:t>
      </w:r>
      <w:proofErr w:type="gramStart"/>
      <w:r>
        <w:t>at</w:t>
      </w:r>
      <w:proofErr w:type="gramEnd"/>
      <w:r>
        <w:t xml:space="preserve"> that single message. A self-service channel that refuses service at the first turn deflects nothing, so every request it might have absorbed falls back to a human or is abandoned. This matters against the benchmark evidence, which attributes a fifteen to twenty-five per cent lift in first contact resolution to AI-assisted handling.</w:t>
      </w:r>
    </w:p>
    <w:p w14:paraId="47F3BE57" w14:textId="43CA07DA" w:rsidR="0291B893" w:rsidRDefault="0291B893" w:rsidP="0291B893">
      <w:pPr>
        <w:pStyle w:val="Heading2"/>
      </w:pPr>
      <w:r w:rsidRPr="0291B893">
        <w:rPr>
          <w:color w:val="794E1F"/>
        </w:rPr>
        <w:t>Theme four: intake is fragmented across four competing agents</w:t>
      </w:r>
    </w:p>
    <w:p w14:paraId="3296A46A" w14:textId="7F878FAD" w:rsidR="0291B893" w:rsidRDefault="0291B893">
      <w:r>
        <w:t xml:space="preserve">Four distinct bots appear in the chat list, each with </w:t>
      </w:r>
      <w:proofErr w:type="gramStart"/>
      <w:r>
        <w:t>its</w:t>
      </w:r>
      <w:proofErr w:type="gramEnd"/>
      <w:r>
        <w:t xml:space="preserve"> own greeting and </w:t>
      </w:r>
      <w:proofErr w:type="gramStart"/>
      <w:r>
        <w:t>its</w:t>
      </w:r>
      <w:proofErr w:type="gramEnd"/>
      <w:r>
        <w:t xml:space="preserve"> own scope. ZAVA Orders answered on 10 March and again on 18 June 2026 with "Hello, I'm ZAVA Orders. How can I help?" and went no further. A separate agent introduced itself on 4 June 2026 as "ZAVA support v2", </w:t>
      </w:r>
      <w:r>
        <w:lastRenderedPageBreak/>
        <w:t xml:space="preserve">suggesting a parallel version already exists. The ServiceNow agent covers a third scope, and the ZAVA Medical Service Agent a fourth. Nobody approaching this </w:t>
      </w:r>
      <w:proofErr w:type="gramStart"/>
      <w:r>
        <w:t>estate</w:t>
      </w:r>
      <w:proofErr w:type="gramEnd"/>
      <w:r>
        <w:t xml:space="preserve"> can tell which route is authoritative, and no single one of them holds a complete picture of a customer's history.</w:t>
      </w:r>
    </w:p>
    <w:p w14:paraId="405BB274" w14:textId="442F13F2" w:rsidR="0291B893" w:rsidRDefault="0291B893" w:rsidP="0291B893">
      <w:pPr>
        <w:pStyle w:val="Heading2"/>
      </w:pPr>
      <w:r w:rsidRPr="0291B893">
        <w:rPr>
          <w:color w:val="794E1F"/>
        </w:rPr>
        <w:t>Theme five: the one real support interaction stalled before a ticket existed</w:t>
      </w:r>
    </w:p>
    <w:p w14:paraId="607068FD" w14:textId="7A4CD202" w:rsidR="0291B893" w:rsidRDefault="0291B893">
      <w:r>
        <w:t xml:space="preserve">The window contains exactly one first-hand support exchange. On 18 June 2026 the message "I want to create support ticket on medical equipment issue" was sent to the ZAVA Medical Service Agent. The agent replied that it could help schedule service but needed a few details, and returned a ticket form asking for a title, hospital identifier, equipment type from a nine-item list covering pumps, respiratory, monitoring, support surfaces, humidifiers, oximetry, therapy, imaging and miscellaneous, an urgency level and a description. The thread ends there. No submitted ticket, no acknowledgement and no resolution </w:t>
      </w:r>
      <w:proofErr w:type="gramStart"/>
      <w:r>
        <w:t>follows</w:t>
      </w:r>
      <w:proofErr w:type="gramEnd"/>
      <w:r>
        <w:t xml:space="preserve"> it. A single case proves nothing on its own, but it is consistent with the connection and flow failures above: the intake surface renders, and the path behind it does not complete.</w:t>
      </w:r>
    </w:p>
    <w:p w14:paraId="12D3DD9C" w14:textId="4FD9D9BD" w:rsidR="0291B893" w:rsidRDefault="0291B893" w:rsidP="0291B893">
      <w:pPr>
        <w:pStyle w:val="Heading1"/>
      </w:pPr>
      <w:r w:rsidRPr="0291B893">
        <w:rPr>
          <w:color w:val="794E1F"/>
        </w:rPr>
        <w:t>Root causes</w:t>
      </w:r>
    </w:p>
    <w:p w14:paraId="678C300B" w14:textId="70E6E68B" w:rsidR="0291B893" w:rsidRDefault="0291B893">
      <w:r>
        <w:t>The first cause is that no system of record for customer contact is reachable from this workspace. Both connections that would have carried ticket data were failing during the review window, and nothing replaced them. Every downstream symptom, including the empty search result that prompted this document, follows from that single gap.</w:t>
      </w:r>
    </w:p>
    <w:p w14:paraId="38EA57C1" w14:textId="58CCBBCE" w:rsidR="0291B893" w:rsidRDefault="0291B893">
      <w:r>
        <w:t>The second is that the integration layer has no owner. Connection failures, flow failures and a disabled flow all generated notices addressed to an individual rather than to a queue, and all were read and left. Alerting that lands in a personal mailbox with no rota behind it produces exactly this pattern: visible, repeated, unactioned.</w:t>
      </w:r>
    </w:p>
    <w:p w14:paraId="145F721C" w14:textId="4D32A4C9" w:rsidR="0291B893" w:rsidRDefault="0291B893">
      <w:r>
        <w:t>The third is incomplete provisioning treated as complete. The ServiceNow agent was deployed into Teams without the account setup it depends on, so the deployment looks finished from the outside and delivers nothing. The fourth is the absence of a governing design for intake, which is how four agents with overlapping scopes came to sit side by side without one of them being the front door.</w:t>
      </w:r>
    </w:p>
    <w:p w14:paraId="1544B450" w14:textId="7DC9FA02" w:rsidR="0291B893" w:rsidRDefault="0291B893">
      <w:r>
        <w:t>The fifth and most consequential is that nothing is being measured. There is no satisfaction score, no first contact resolution rate and no response time figure anywhere in the reviewed material. Without those, the failures above cannot be sized, prioritised against each other, or shown to have been fixed.</w:t>
      </w:r>
    </w:p>
    <w:p w14:paraId="7FCBA335" w14:textId="58FC2F4D" w:rsidR="0291B893" w:rsidRDefault="0291B893" w:rsidP="0291B893">
      <w:pPr>
        <w:pStyle w:val="Heading1"/>
      </w:pPr>
      <w:r w:rsidRPr="0291B893">
        <w:rPr>
          <w:color w:val="794E1F"/>
        </w:rPr>
        <w:t>Benchmark comparison</w:t>
      </w:r>
    </w:p>
    <w:p w14:paraId="6DD6376F" w14:textId="64D66E5C" w:rsidR="0291B893" w:rsidRDefault="0291B893">
      <w:r>
        <w:t>The external figures below are published 2026 benchmarks. The final column is deliberately honest: no internal equivalent was found in the reviewed material, so no comparison can be drawn yet. Establishing those figures is the fifth action in the plan that follows.</w:t>
      </w:r>
    </w:p>
    <w:tbl>
      <w:tblPr>
        <w:tblStyle w:val="TableGrid"/>
        <w:tblW w:w="0" w:type="auto"/>
        <w:tblLook w:val="0000" w:firstRow="0" w:lastRow="0" w:firstColumn="0" w:lastColumn="0" w:noHBand="0" w:noVBand="0"/>
      </w:tblPr>
      <w:tblGrid>
        <w:gridCol w:w="2000"/>
        <w:gridCol w:w="3200"/>
        <w:gridCol w:w="2700"/>
        <w:gridCol w:w="1587"/>
      </w:tblGrid>
      <w:tr w:rsidR="0291B893" w14:paraId="6294C5FA" w14:textId="77777777" w:rsidTr="0291B893">
        <w:tc>
          <w:tcPr>
            <w:tcW w:w="2000" w:type="dxa"/>
          </w:tcPr>
          <w:p w14:paraId="64B98443" w14:textId="1A0DC3BF" w:rsidR="0291B893" w:rsidRDefault="0291B893">
            <w:r w:rsidRPr="0291B893">
              <w:rPr>
                <w:b/>
                <w:bCs/>
              </w:rPr>
              <w:t>Metric</w:t>
            </w:r>
          </w:p>
        </w:tc>
        <w:tc>
          <w:tcPr>
            <w:tcW w:w="3200" w:type="dxa"/>
          </w:tcPr>
          <w:p w14:paraId="136882F2" w14:textId="12EBAA83" w:rsidR="0291B893" w:rsidRDefault="0291B893">
            <w:r w:rsidRPr="0291B893">
              <w:rPr>
                <w:b/>
                <w:bCs/>
              </w:rPr>
              <w:t>Published 2026 benchmark</w:t>
            </w:r>
          </w:p>
        </w:tc>
        <w:tc>
          <w:tcPr>
            <w:tcW w:w="2700" w:type="dxa"/>
          </w:tcPr>
          <w:p w14:paraId="2197DFE3" w14:textId="0BC99147" w:rsidR="0291B893" w:rsidRDefault="0291B893">
            <w:r w:rsidRPr="0291B893">
              <w:rPr>
                <w:b/>
                <w:bCs/>
              </w:rPr>
              <w:t>Source</w:t>
            </w:r>
          </w:p>
        </w:tc>
        <w:tc>
          <w:tcPr>
            <w:tcW w:w="1500" w:type="dxa"/>
          </w:tcPr>
          <w:p w14:paraId="65E7F1C8" w14:textId="04A7780B" w:rsidR="0291B893" w:rsidRDefault="0291B893">
            <w:r w:rsidRPr="0291B893">
              <w:rPr>
                <w:b/>
                <w:bCs/>
              </w:rPr>
              <w:t>Internal position</w:t>
            </w:r>
          </w:p>
        </w:tc>
      </w:tr>
      <w:tr w:rsidR="0291B893" w14:paraId="21FFA508" w14:textId="77777777" w:rsidTr="0291B893">
        <w:tc>
          <w:tcPr>
            <w:tcW w:w="2000" w:type="dxa"/>
          </w:tcPr>
          <w:p w14:paraId="37644C65" w14:textId="1BBCD880" w:rsidR="0291B893" w:rsidRDefault="0291B893">
            <w:r>
              <w:lastRenderedPageBreak/>
              <w:t>Cross-industry CSAT</w:t>
            </w:r>
          </w:p>
        </w:tc>
        <w:tc>
          <w:tcPr>
            <w:tcW w:w="3200" w:type="dxa"/>
          </w:tcPr>
          <w:p w14:paraId="185D0AFB" w14:textId="149ABF44" w:rsidR="0291B893" w:rsidRDefault="0291B893">
            <w:r>
              <w:t xml:space="preserve">78 out of 100 </w:t>
            </w:r>
            <w:proofErr w:type="gramStart"/>
            <w:r>
              <w:t>average</w:t>
            </w:r>
            <w:proofErr w:type="gramEnd"/>
            <w:r>
              <w:t>. Financial services 83, software and SaaS 80, airlines 72, cable and telecom 62</w:t>
            </w:r>
          </w:p>
        </w:tc>
        <w:tc>
          <w:tcPr>
            <w:tcW w:w="2700" w:type="dxa"/>
          </w:tcPr>
          <w:p w14:paraId="3D7F6A13" w14:textId="0D78A608" w:rsidR="0291B893" w:rsidRDefault="0291B893">
            <w:r>
              <w:t>Stealth Agents, CSAT Score Benchmarks by Industry 2026, 23 May 2026</w:t>
            </w:r>
          </w:p>
        </w:tc>
        <w:tc>
          <w:tcPr>
            <w:tcW w:w="1500" w:type="dxa"/>
          </w:tcPr>
          <w:p w14:paraId="43C8660F" w14:textId="06568CCC" w:rsidR="0291B893" w:rsidRDefault="0291B893">
            <w:r>
              <w:t>Not measured</w:t>
            </w:r>
          </w:p>
        </w:tc>
      </w:tr>
      <w:tr w:rsidR="0291B893" w14:paraId="1D915CF9" w14:textId="77777777" w:rsidTr="0291B893">
        <w:tc>
          <w:tcPr>
            <w:tcW w:w="2000" w:type="dxa"/>
          </w:tcPr>
          <w:p w14:paraId="1AD2DE25" w14:textId="1D6BED41" w:rsidR="0291B893" w:rsidRDefault="0291B893">
            <w:r>
              <w:t>Live chat CSAT</w:t>
            </w:r>
          </w:p>
        </w:tc>
        <w:tc>
          <w:tcPr>
            <w:tcW w:w="3200" w:type="dxa"/>
          </w:tcPr>
          <w:p w14:paraId="149E4B9E" w14:textId="1649D405" w:rsidR="0291B893" w:rsidRDefault="0291B893">
            <w:r>
              <w:t xml:space="preserve">85 out of 100 </w:t>
            </w:r>
            <w:proofErr w:type="gramStart"/>
            <w:r>
              <w:t>average</w:t>
            </w:r>
            <w:proofErr w:type="gramEnd"/>
          </w:p>
        </w:tc>
        <w:tc>
          <w:tcPr>
            <w:tcW w:w="2700" w:type="dxa"/>
          </w:tcPr>
          <w:p w14:paraId="2D4BA409" w14:textId="0F27BAC9" w:rsidR="0291B893" w:rsidRDefault="0291B893">
            <w:r>
              <w:t>Stealth Agents, CSAT Score Benchmarks by Industry 2026</w:t>
            </w:r>
          </w:p>
        </w:tc>
        <w:tc>
          <w:tcPr>
            <w:tcW w:w="1500" w:type="dxa"/>
          </w:tcPr>
          <w:p w14:paraId="44A57080" w14:textId="0805A18D" w:rsidR="0291B893" w:rsidRDefault="0291B893">
            <w:r>
              <w:t>Not measured</w:t>
            </w:r>
          </w:p>
        </w:tc>
      </w:tr>
      <w:tr w:rsidR="0291B893" w14:paraId="6966CFCB" w14:textId="77777777" w:rsidTr="0291B893">
        <w:tc>
          <w:tcPr>
            <w:tcW w:w="2000" w:type="dxa"/>
          </w:tcPr>
          <w:p w14:paraId="25D17749" w14:textId="1F1B0202" w:rsidR="0291B893" w:rsidRDefault="0291B893">
            <w:r>
              <w:t>Effect of first response time on CSAT</w:t>
            </w:r>
          </w:p>
        </w:tc>
        <w:tc>
          <w:tcPr>
            <w:tcW w:w="3200" w:type="dxa"/>
          </w:tcPr>
          <w:p w14:paraId="77107DCE" w14:textId="17F8E8C6" w:rsidR="0291B893" w:rsidRDefault="0291B893">
            <w:proofErr w:type="gramStart"/>
            <w:r>
              <w:t>12 to 18 point</w:t>
            </w:r>
            <w:proofErr w:type="gramEnd"/>
            <w:r>
              <w:t xml:space="preserve"> gap between a reply under one hour and one over 24 hours</w:t>
            </w:r>
          </w:p>
        </w:tc>
        <w:tc>
          <w:tcPr>
            <w:tcW w:w="2700" w:type="dxa"/>
          </w:tcPr>
          <w:p w14:paraId="78728A44" w14:textId="10D6CF8A" w:rsidR="0291B893" w:rsidRDefault="0291B893">
            <w:r>
              <w:t>Stealth Agents, CSAT Score Benchmarks by Industry 2026</w:t>
            </w:r>
          </w:p>
        </w:tc>
        <w:tc>
          <w:tcPr>
            <w:tcW w:w="1500" w:type="dxa"/>
          </w:tcPr>
          <w:p w14:paraId="67C9D342" w14:textId="09B4B64E" w:rsidR="0291B893" w:rsidRDefault="0291B893">
            <w:r>
              <w:t>Not measured</w:t>
            </w:r>
          </w:p>
        </w:tc>
      </w:tr>
      <w:tr w:rsidR="0291B893" w14:paraId="3CDA89A3" w14:textId="77777777" w:rsidTr="0291B893">
        <w:tc>
          <w:tcPr>
            <w:tcW w:w="2000" w:type="dxa"/>
          </w:tcPr>
          <w:p w14:paraId="4773C818" w14:textId="20CA16C3" w:rsidR="0291B893" w:rsidRDefault="0291B893">
            <w:r>
              <w:t>First contact resolution</w:t>
            </w:r>
          </w:p>
        </w:tc>
        <w:tc>
          <w:tcPr>
            <w:tcW w:w="3200" w:type="dxa"/>
          </w:tcPr>
          <w:p w14:paraId="7EF4FD6A" w14:textId="19A7FD87" w:rsidR="0291B893" w:rsidRDefault="0291B893">
            <w:r>
              <w:t xml:space="preserve">70 to 75 per cent global average across industries. Top </w:t>
            </w:r>
            <w:proofErr w:type="gramStart"/>
            <w:r>
              <w:t>quartile</w:t>
            </w:r>
            <w:proofErr w:type="gramEnd"/>
            <w:r>
              <w:t xml:space="preserve"> above 85 per cent</w:t>
            </w:r>
          </w:p>
        </w:tc>
        <w:tc>
          <w:tcPr>
            <w:tcW w:w="2700" w:type="dxa"/>
          </w:tcPr>
          <w:p w14:paraId="33DCC260" w14:textId="1285E44B" w:rsidR="0291B893" w:rsidRDefault="0291B893">
            <w:r>
              <w:t>Stealth Agents, First Contact Resolution Statistics 2026, 11 June 2026, citing SQM Group 2024</w:t>
            </w:r>
          </w:p>
        </w:tc>
        <w:tc>
          <w:tcPr>
            <w:tcW w:w="1500" w:type="dxa"/>
          </w:tcPr>
          <w:p w14:paraId="7524C5E7" w14:textId="0B63CB0F" w:rsidR="0291B893" w:rsidRDefault="0291B893">
            <w:r>
              <w:t>Not measured</w:t>
            </w:r>
          </w:p>
        </w:tc>
      </w:tr>
      <w:tr w:rsidR="0291B893" w14:paraId="2685127F" w14:textId="77777777" w:rsidTr="0291B893">
        <w:tc>
          <w:tcPr>
            <w:tcW w:w="2000" w:type="dxa"/>
          </w:tcPr>
          <w:p w14:paraId="495FF6F8" w14:textId="22792B84" w:rsidR="0291B893" w:rsidRDefault="0291B893">
            <w:r>
              <w:t>Lowest reported sector FCR</w:t>
            </w:r>
          </w:p>
        </w:tc>
        <w:tc>
          <w:tcPr>
            <w:tcW w:w="3200" w:type="dxa"/>
          </w:tcPr>
          <w:p w14:paraId="6EBD6187" w14:textId="1B571248" w:rsidR="0291B893" w:rsidRDefault="0291B893">
            <w:r>
              <w:t>Telecom at 52 to 58 per cent</w:t>
            </w:r>
          </w:p>
        </w:tc>
        <w:tc>
          <w:tcPr>
            <w:tcW w:w="2700" w:type="dxa"/>
          </w:tcPr>
          <w:p w14:paraId="6B3AE240" w14:textId="1434F90C" w:rsidR="0291B893" w:rsidRDefault="0291B893">
            <w:r>
              <w:t>Stealth Agents, First Contact Resolution Statistics 2026</w:t>
            </w:r>
          </w:p>
        </w:tc>
        <w:tc>
          <w:tcPr>
            <w:tcW w:w="1500" w:type="dxa"/>
          </w:tcPr>
          <w:p w14:paraId="2B9CF923" w14:textId="0D12DFD0" w:rsidR="0291B893" w:rsidRDefault="0291B893">
            <w:r>
              <w:t>Not applicable</w:t>
            </w:r>
          </w:p>
        </w:tc>
      </w:tr>
      <w:tr w:rsidR="0291B893" w14:paraId="1324EB3E" w14:textId="77777777" w:rsidTr="0291B893">
        <w:tc>
          <w:tcPr>
            <w:tcW w:w="2000" w:type="dxa"/>
          </w:tcPr>
          <w:p w14:paraId="4ABF6AD1" w14:textId="24284045" w:rsidR="0291B893" w:rsidRDefault="0291B893">
            <w:r>
              <w:t>Satisfaction when FCR is achieved</w:t>
            </w:r>
          </w:p>
        </w:tc>
        <w:tc>
          <w:tcPr>
            <w:tcW w:w="3200" w:type="dxa"/>
          </w:tcPr>
          <w:p w14:paraId="5AAB82E8" w14:textId="1D062709" w:rsidR="0291B893" w:rsidRDefault="0291B893">
            <w:r>
              <w:t>86 per cent of customers report being satisfied</w:t>
            </w:r>
          </w:p>
        </w:tc>
        <w:tc>
          <w:tcPr>
            <w:tcW w:w="2700" w:type="dxa"/>
          </w:tcPr>
          <w:p w14:paraId="79E223C9" w14:textId="15E40DCD" w:rsidR="0291B893" w:rsidRDefault="0291B893">
            <w:r>
              <w:t>Stealth Agents, First Contact Resolution Statistics 2026</w:t>
            </w:r>
          </w:p>
        </w:tc>
        <w:tc>
          <w:tcPr>
            <w:tcW w:w="1500" w:type="dxa"/>
          </w:tcPr>
          <w:p w14:paraId="4D4B1350" w14:textId="0EC1F491" w:rsidR="0291B893" w:rsidRDefault="0291B893">
            <w:r>
              <w:t>Not applicable</w:t>
            </w:r>
          </w:p>
        </w:tc>
      </w:tr>
      <w:tr w:rsidR="0291B893" w14:paraId="70F478DB" w14:textId="77777777" w:rsidTr="0291B893">
        <w:tc>
          <w:tcPr>
            <w:tcW w:w="2000" w:type="dxa"/>
          </w:tcPr>
          <w:p w14:paraId="5BA97E2B" w14:textId="25D75506" w:rsidR="0291B893" w:rsidRDefault="0291B893">
            <w:r>
              <w:t>Cost effect of FCR</w:t>
            </w:r>
          </w:p>
        </w:tc>
        <w:tc>
          <w:tcPr>
            <w:tcW w:w="3200" w:type="dxa"/>
          </w:tcPr>
          <w:p w14:paraId="4FDE5652" w14:textId="1EB53BCA" w:rsidR="0291B893" w:rsidRDefault="0291B893">
            <w:r>
              <w:t>A one per cent gain in FCR equates to about a one per cent reduction in operating cost</w:t>
            </w:r>
          </w:p>
        </w:tc>
        <w:tc>
          <w:tcPr>
            <w:tcW w:w="2700" w:type="dxa"/>
          </w:tcPr>
          <w:p w14:paraId="1AE1C953" w14:textId="1793228E" w:rsidR="0291B893" w:rsidRDefault="0291B893">
            <w:r>
              <w:t>Stealth Agents, First Contact Resolution Statistics 2026</w:t>
            </w:r>
          </w:p>
        </w:tc>
        <w:tc>
          <w:tcPr>
            <w:tcW w:w="1500" w:type="dxa"/>
          </w:tcPr>
          <w:p w14:paraId="3D8D9B0F" w14:textId="10710952" w:rsidR="0291B893" w:rsidRDefault="0291B893">
            <w:r>
              <w:t>Not applicable</w:t>
            </w:r>
          </w:p>
        </w:tc>
      </w:tr>
      <w:tr w:rsidR="0291B893" w14:paraId="61883E52" w14:textId="77777777" w:rsidTr="0291B893">
        <w:tc>
          <w:tcPr>
            <w:tcW w:w="2000" w:type="dxa"/>
          </w:tcPr>
          <w:p w14:paraId="247686A5" w14:textId="278669C7" w:rsidR="0291B893" w:rsidRDefault="0291B893">
            <w:r>
              <w:t>FCR lift from AI-assisted agents</w:t>
            </w:r>
          </w:p>
        </w:tc>
        <w:tc>
          <w:tcPr>
            <w:tcW w:w="3200" w:type="dxa"/>
          </w:tcPr>
          <w:p w14:paraId="7D1BAB20" w14:textId="2064508B" w:rsidR="0291B893" w:rsidRDefault="0291B893">
            <w:r>
              <w:t>15 to 25 per cent</w:t>
            </w:r>
          </w:p>
        </w:tc>
        <w:tc>
          <w:tcPr>
            <w:tcW w:w="2700" w:type="dxa"/>
          </w:tcPr>
          <w:p w14:paraId="5E7194F3" w14:textId="1942374F" w:rsidR="0291B893" w:rsidRDefault="0291B893">
            <w:r>
              <w:t>Stealth Agents, First Contact Resolution Statistics 2026</w:t>
            </w:r>
          </w:p>
        </w:tc>
        <w:tc>
          <w:tcPr>
            <w:tcW w:w="1500" w:type="dxa"/>
          </w:tcPr>
          <w:p w14:paraId="371924B2" w14:textId="12201E13" w:rsidR="0291B893" w:rsidRDefault="0291B893">
            <w:r>
              <w:t>Effectively zero. The self-service agent is unprovisioned</w:t>
            </w:r>
          </w:p>
        </w:tc>
      </w:tr>
      <w:tr w:rsidR="0291B893" w14:paraId="781FE524" w14:textId="77777777" w:rsidTr="0291B893">
        <w:tc>
          <w:tcPr>
            <w:tcW w:w="2000" w:type="dxa"/>
          </w:tcPr>
          <w:p w14:paraId="12CDEBB0" w14:textId="29357E88" w:rsidR="0291B893" w:rsidRDefault="0291B893">
            <w:r>
              <w:t>National customer satisfaction, United States, all industries</w:t>
            </w:r>
          </w:p>
        </w:tc>
        <w:tc>
          <w:tcPr>
            <w:tcW w:w="3200" w:type="dxa"/>
          </w:tcPr>
          <w:p w14:paraId="10F3F0B5" w14:textId="2213654C" w:rsidR="0291B893" w:rsidRDefault="0291B893">
            <w:r>
              <w:t>76.9 out of 100, unchanged across the third and fourth quarters of 2025</w:t>
            </w:r>
          </w:p>
        </w:tc>
        <w:tc>
          <w:tcPr>
            <w:tcW w:w="2700" w:type="dxa"/>
          </w:tcPr>
          <w:p w14:paraId="63793FDC" w14:textId="1AF14C10" w:rsidR="0291B893" w:rsidRDefault="0291B893">
            <w:r>
              <w:t>American Customer Satisfaction Index, reported by Business Wire, 13 November 2025 and 10 February 2026</w:t>
            </w:r>
          </w:p>
        </w:tc>
        <w:tc>
          <w:tcPr>
            <w:tcW w:w="1500" w:type="dxa"/>
          </w:tcPr>
          <w:p w14:paraId="6618F4D3" w14:textId="13CF32D4" w:rsidR="0291B893" w:rsidRDefault="0291B893">
            <w:r>
              <w:t>Not applicable</w:t>
            </w:r>
          </w:p>
        </w:tc>
      </w:tr>
    </w:tbl>
    <w:p w14:paraId="5411C752" w14:textId="35A730DB" w:rsidR="0291B893" w:rsidRDefault="0291B893" w:rsidP="0291B893">
      <w:pPr>
        <w:pStyle w:val="Heading1"/>
      </w:pPr>
      <w:r w:rsidRPr="0291B893">
        <w:rPr>
          <w:color w:val="794E1F"/>
        </w:rPr>
        <w:t>Prioritised improvement plan</w:t>
      </w:r>
    </w:p>
    <w:p w14:paraId="5052D4D9" w14:textId="2B3E16C4" w:rsidR="0291B893" w:rsidRDefault="0291B893">
      <w:r>
        <w:t xml:space="preserve">The </w:t>
      </w:r>
      <w:proofErr w:type="gramStart"/>
      <w:r>
        <w:t>ordering</w:t>
      </w:r>
      <w:proofErr w:type="gramEnd"/>
      <w:r>
        <w:t xml:space="preserve"> below is deliberate. The first three actions restore the plumbing, because none of the later work can be measured or verified while the ticket connections are down and the flows are failing. Owners and dates are left for the operational team to set, since the reviewed material identifies no support owner and inventing one would put a name in this document that the evidence does not support.</w:t>
      </w:r>
    </w:p>
    <w:tbl>
      <w:tblPr>
        <w:tblStyle w:val="TableGrid"/>
        <w:tblW w:w="0" w:type="auto"/>
        <w:tblLook w:val="0000" w:firstRow="0" w:lastRow="0" w:firstColumn="0" w:lastColumn="0" w:noHBand="0" w:noVBand="0"/>
      </w:tblPr>
      <w:tblGrid>
        <w:gridCol w:w="1015"/>
        <w:gridCol w:w="3235"/>
        <w:gridCol w:w="2715"/>
        <w:gridCol w:w="2611"/>
      </w:tblGrid>
      <w:tr w:rsidR="0291B893" w14:paraId="27C72559" w14:textId="77777777" w:rsidTr="0291B893">
        <w:tc>
          <w:tcPr>
            <w:tcW w:w="800" w:type="dxa"/>
          </w:tcPr>
          <w:p w14:paraId="11F5AC22" w14:textId="33B5C146" w:rsidR="0291B893" w:rsidRDefault="0291B893">
            <w:r w:rsidRPr="0291B893">
              <w:rPr>
                <w:b/>
                <w:bCs/>
              </w:rPr>
              <w:t>Priority</w:t>
            </w:r>
          </w:p>
        </w:tc>
        <w:tc>
          <w:tcPr>
            <w:tcW w:w="3100" w:type="dxa"/>
          </w:tcPr>
          <w:p w14:paraId="28B13316" w14:textId="2C93A80A" w:rsidR="0291B893" w:rsidRDefault="0291B893">
            <w:r w:rsidRPr="0291B893">
              <w:rPr>
                <w:b/>
                <w:bCs/>
              </w:rPr>
              <w:t>Action</w:t>
            </w:r>
          </w:p>
        </w:tc>
        <w:tc>
          <w:tcPr>
            <w:tcW w:w="2800" w:type="dxa"/>
          </w:tcPr>
          <w:p w14:paraId="70AE1625" w14:textId="25718ECE" w:rsidR="0291B893" w:rsidRDefault="0291B893">
            <w:r w:rsidRPr="0291B893">
              <w:rPr>
                <w:b/>
                <w:bCs/>
              </w:rPr>
              <w:t>Why it sits here</w:t>
            </w:r>
          </w:p>
        </w:tc>
        <w:tc>
          <w:tcPr>
            <w:tcW w:w="2700" w:type="dxa"/>
          </w:tcPr>
          <w:p w14:paraId="5BDAB20D" w14:textId="1E4F7592" w:rsidR="0291B893" w:rsidRDefault="0291B893">
            <w:r w:rsidRPr="0291B893">
              <w:rPr>
                <w:b/>
                <w:bCs/>
              </w:rPr>
              <w:t>Success measure</w:t>
            </w:r>
          </w:p>
        </w:tc>
      </w:tr>
      <w:tr w:rsidR="0291B893" w14:paraId="36E4D25F" w14:textId="77777777" w:rsidTr="0291B893">
        <w:tc>
          <w:tcPr>
            <w:tcW w:w="800" w:type="dxa"/>
          </w:tcPr>
          <w:p w14:paraId="3207AFF6" w14:textId="3564D607" w:rsidR="0291B893" w:rsidRDefault="0291B893">
            <w:r>
              <w:t>1</w:t>
            </w:r>
          </w:p>
        </w:tc>
        <w:tc>
          <w:tcPr>
            <w:tcW w:w="3100" w:type="dxa"/>
          </w:tcPr>
          <w:p w14:paraId="567F92F7" w14:textId="2E42BCCB" w:rsidR="0291B893" w:rsidRDefault="0291B893">
            <w:r>
              <w:t xml:space="preserve">Restore the two failed Copilot data connections, ServiceNowTickets2607141032 and Jira2606051042, and put a </w:t>
            </w:r>
            <w:r>
              <w:lastRenderedPageBreak/>
              <w:t>named owner and a shared alert mailbox behind connection health</w:t>
            </w:r>
          </w:p>
        </w:tc>
        <w:tc>
          <w:tcPr>
            <w:tcW w:w="2800" w:type="dxa"/>
          </w:tcPr>
          <w:p w14:paraId="66A0C0C9" w14:textId="2720A38F" w:rsidR="0291B893" w:rsidRDefault="0291B893">
            <w:r>
              <w:lastRenderedPageBreak/>
              <w:t xml:space="preserve">Nothing downstream can be counted while the ticket sources are disconnected. Both </w:t>
            </w:r>
            <w:r>
              <w:lastRenderedPageBreak/>
              <w:t>failures were reported and left unactioned in August</w:t>
            </w:r>
          </w:p>
        </w:tc>
        <w:tc>
          <w:tcPr>
            <w:tcW w:w="2700" w:type="dxa"/>
          </w:tcPr>
          <w:p w14:paraId="6B6A94F8" w14:textId="1FFE8A53" w:rsidR="0291B893" w:rsidRDefault="0291B893">
            <w:r>
              <w:lastRenderedPageBreak/>
              <w:t xml:space="preserve">Both connections report healthy in the Microsoft 365 admin centre for fourteen consecutive </w:t>
            </w:r>
            <w:r>
              <w:lastRenderedPageBreak/>
              <w:t>days, and health alerts route to a monitored queue</w:t>
            </w:r>
          </w:p>
        </w:tc>
      </w:tr>
      <w:tr w:rsidR="0291B893" w14:paraId="7B83FA0A" w14:textId="77777777" w:rsidTr="0291B893">
        <w:tc>
          <w:tcPr>
            <w:tcW w:w="800" w:type="dxa"/>
          </w:tcPr>
          <w:p w14:paraId="54D9AB6A" w14:textId="3713EAC8" w:rsidR="0291B893" w:rsidRDefault="0291B893">
            <w:r>
              <w:lastRenderedPageBreak/>
              <w:t>2</w:t>
            </w:r>
          </w:p>
        </w:tc>
        <w:tc>
          <w:tcPr>
            <w:tcW w:w="3100" w:type="dxa"/>
          </w:tcPr>
          <w:p w14:paraId="79975C03" w14:textId="2FF1D18C" w:rsidR="0291B893" w:rsidRDefault="0291B893">
            <w:r>
              <w:t>Triage every failing Power Automate flow, and re-enable or formally retire the disabled flow named When agent is added or updated</w:t>
            </w:r>
          </w:p>
        </w:tc>
        <w:tc>
          <w:tcPr>
            <w:tcW w:w="2800" w:type="dxa"/>
          </w:tcPr>
          <w:p w14:paraId="698E246D" w14:textId="28CFB850" w:rsidR="0291B893" w:rsidRDefault="0291B893">
            <w:r>
              <w:t>Failures in three consecutive weeks and one flow disabled outright mean routing and assignment steps are silently dropping requests</w:t>
            </w:r>
          </w:p>
        </w:tc>
        <w:tc>
          <w:tcPr>
            <w:tcW w:w="2700" w:type="dxa"/>
          </w:tcPr>
          <w:p w14:paraId="19AA970C" w14:textId="21AD9F14" w:rsidR="0291B893" w:rsidRDefault="0291B893">
            <w:r>
              <w:t>No flow failure notices for four consecutive weeks, and a written decision recorded for each flow that is retired</w:t>
            </w:r>
          </w:p>
        </w:tc>
      </w:tr>
      <w:tr w:rsidR="0291B893" w14:paraId="34595AC1" w14:textId="77777777" w:rsidTr="0291B893">
        <w:tc>
          <w:tcPr>
            <w:tcW w:w="800" w:type="dxa"/>
          </w:tcPr>
          <w:p w14:paraId="1CC345A1" w14:textId="38C2FF89" w:rsidR="0291B893" w:rsidRDefault="0291B893">
            <w:r>
              <w:t>3</w:t>
            </w:r>
          </w:p>
        </w:tc>
        <w:tc>
          <w:tcPr>
            <w:tcW w:w="3100" w:type="dxa"/>
          </w:tcPr>
          <w:p w14:paraId="763D69D4" w14:textId="31A0E64D" w:rsidR="0291B893" w:rsidRDefault="0291B893">
            <w:r>
              <w:t>Provision ServiceNow accounts and complete the virtual agent setup the agent itself says is missing</w:t>
            </w:r>
          </w:p>
        </w:tc>
        <w:tc>
          <w:tcPr>
            <w:tcW w:w="2800" w:type="dxa"/>
          </w:tcPr>
          <w:p w14:paraId="368CE498" w14:textId="2A7ECD11" w:rsidR="0291B893" w:rsidRDefault="0291B893">
            <w:r>
              <w:t>A self-service channel that refuses at the first turn deflects nothing. Published benchmarks put the FCR lift from AI-assisted handling at 15 to 25 per cent</w:t>
            </w:r>
          </w:p>
        </w:tc>
        <w:tc>
          <w:tcPr>
            <w:tcW w:w="2700" w:type="dxa"/>
          </w:tcPr>
          <w:p w14:paraId="2BF195DA" w14:textId="235CB3D5" w:rsidR="0291B893" w:rsidRDefault="0291B893">
            <w:r>
              <w:t>A ticket can be raised, tracked and closed end to end from Teams without leaving the channel</w:t>
            </w:r>
          </w:p>
        </w:tc>
      </w:tr>
      <w:tr w:rsidR="0291B893" w14:paraId="2A9C0AC1" w14:textId="77777777" w:rsidTr="0291B893">
        <w:tc>
          <w:tcPr>
            <w:tcW w:w="800" w:type="dxa"/>
          </w:tcPr>
          <w:p w14:paraId="732A1D76" w14:textId="3A72144A" w:rsidR="0291B893" w:rsidRDefault="0291B893">
            <w:r>
              <w:t>4</w:t>
            </w:r>
          </w:p>
        </w:tc>
        <w:tc>
          <w:tcPr>
            <w:tcW w:w="3100" w:type="dxa"/>
          </w:tcPr>
          <w:p w14:paraId="1BBEB286" w14:textId="334FFB0E" w:rsidR="0291B893" w:rsidRDefault="0291B893">
            <w:r>
              <w:t>Consolidate intake behind one front door and document the scope of every remaining agent</w:t>
            </w:r>
          </w:p>
        </w:tc>
        <w:tc>
          <w:tcPr>
            <w:tcW w:w="2800" w:type="dxa"/>
          </w:tcPr>
          <w:p w14:paraId="26B437D0" w14:textId="2C2DE1D2" w:rsidR="0291B893" w:rsidRDefault="0291B893">
            <w:r>
              <w:t>Four agents with overlapping scopes answered greetings in the window and none holds a complete customer history</w:t>
            </w:r>
          </w:p>
        </w:tc>
        <w:tc>
          <w:tcPr>
            <w:tcW w:w="2700" w:type="dxa"/>
          </w:tcPr>
          <w:p w14:paraId="6B6DE2DC" w14:textId="250BC896" w:rsidR="0291B893" w:rsidRDefault="0291B893">
            <w:r>
              <w:t>One published intake route, and each retained agent has a written scope and a handover path to a human</w:t>
            </w:r>
          </w:p>
        </w:tc>
      </w:tr>
      <w:tr w:rsidR="0291B893" w14:paraId="3D57BEE6" w14:textId="77777777" w:rsidTr="0291B893">
        <w:tc>
          <w:tcPr>
            <w:tcW w:w="800" w:type="dxa"/>
          </w:tcPr>
          <w:p w14:paraId="1486F19B" w14:textId="3C21290B" w:rsidR="0291B893" w:rsidRDefault="0291B893">
            <w:r>
              <w:t>5</w:t>
            </w:r>
          </w:p>
        </w:tc>
        <w:tc>
          <w:tcPr>
            <w:tcW w:w="3100" w:type="dxa"/>
          </w:tcPr>
          <w:p w14:paraId="56800BC2" w14:textId="34FF0FCF" w:rsidR="0291B893" w:rsidRDefault="0291B893">
            <w:r>
              <w:t>Stand up CSAT and first contact resolution measurement, with a post-contact survey and a monthly report</w:t>
            </w:r>
          </w:p>
        </w:tc>
        <w:tc>
          <w:tcPr>
            <w:tcW w:w="2800" w:type="dxa"/>
          </w:tcPr>
          <w:p w14:paraId="7CF281A8" w14:textId="2DDCF693" w:rsidR="0291B893" w:rsidRDefault="0291B893">
            <w:r>
              <w:t>No internal figure exists to place against any benchmark in this document. Unmeasured, none of the fixes above can be shown to have worked</w:t>
            </w:r>
          </w:p>
        </w:tc>
        <w:tc>
          <w:tcPr>
            <w:tcW w:w="2700" w:type="dxa"/>
          </w:tcPr>
          <w:p w14:paraId="34DFF14D" w14:textId="26BADD57" w:rsidR="0291B893" w:rsidRDefault="0291B893">
            <w:r>
              <w:t xml:space="preserve">A monthly CSAT and FCR figure </w:t>
            </w:r>
            <w:proofErr w:type="gramStart"/>
            <w:r>
              <w:t>exists</w:t>
            </w:r>
            <w:proofErr w:type="gramEnd"/>
            <w:r>
              <w:t xml:space="preserve"> from the first full month after connection restoration, with a stated target drawn from the benchmark table</w:t>
            </w:r>
          </w:p>
        </w:tc>
      </w:tr>
      <w:tr w:rsidR="0291B893" w14:paraId="384AC868" w14:textId="77777777" w:rsidTr="0291B893">
        <w:tc>
          <w:tcPr>
            <w:tcW w:w="800" w:type="dxa"/>
          </w:tcPr>
          <w:p w14:paraId="2E1358CF" w14:textId="3DD03DCC" w:rsidR="0291B893" w:rsidRDefault="0291B893">
            <w:r>
              <w:t>6</w:t>
            </w:r>
          </w:p>
        </w:tc>
        <w:tc>
          <w:tcPr>
            <w:tcW w:w="3100" w:type="dxa"/>
          </w:tcPr>
          <w:p w14:paraId="2697F7DF" w14:textId="36AE2490" w:rsidR="0291B893" w:rsidRDefault="0291B893">
            <w:r>
              <w:t>Re-run this review with the shared support mailbox, the support Teams channel and the ticket queue in scope</w:t>
            </w:r>
          </w:p>
        </w:tc>
        <w:tc>
          <w:tcPr>
            <w:tcW w:w="2800" w:type="dxa"/>
          </w:tcPr>
          <w:p w14:paraId="6A636EDE" w14:textId="2F8C0B54" w:rsidR="0291B893" w:rsidRDefault="0291B893">
            <w:r>
              <w:t>This review saw one marketing mailbox, which is not where customer complaints land. The empty result reflects scope, not health</w:t>
            </w:r>
          </w:p>
        </w:tc>
        <w:tc>
          <w:tcPr>
            <w:tcW w:w="2700" w:type="dxa"/>
          </w:tcPr>
          <w:p w14:paraId="68B7C89F" w14:textId="2869F218" w:rsidR="0291B893" w:rsidRDefault="0291B893">
            <w:r>
              <w:t>A repeat review returns customer-originated escalations and complaints, and the themes above can be tested against real contact volume</w:t>
            </w:r>
          </w:p>
        </w:tc>
      </w:tr>
    </w:tbl>
    <w:p w14:paraId="4AA5F02D" w14:textId="61297863" w:rsidR="0291B893" w:rsidRDefault="0291B893" w:rsidP="0291B893">
      <w:pPr>
        <w:pStyle w:val="Heading1"/>
      </w:pPr>
      <w:r w:rsidRPr="0291B893">
        <w:rPr>
          <w:color w:val="794E1F"/>
        </w:rPr>
        <w:t>Sources</w:t>
      </w:r>
    </w:p>
    <w:p w14:paraId="1C8564A2" w14:textId="6DDC7321" w:rsidR="0291B893" w:rsidRDefault="0291B893">
      <w:r>
        <w:t>Internal evidence, all drawn from the reviewed Microsoft 365 material for 9 June to 7 September 2026: the Microsoft 365 connection notices of 12 and 22 August 2026; the Power Automate failure notices of 15, 22 and 31 August 2026 and the flow-disabled alert of 24 August 2026; the Planner late-task notices of 19 and 25 August 2026; the ServiceNow virtual agent message of 5 June 2026; the ZAVA support v2 message of 4 June 2026; the ZAVA Orders exchanges of 10 March and 18 June 2026; and the ZAVA Medical Service Agent exchange of 18 June 2026.</w:t>
      </w:r>
    </w:p>
    <w:p w14:paraId="63A2739D" w14:textId="6B18DFA7" w:rsidR="0291B893" w:rsidRDefault="0291B893">
      <w:r>
        <w:t xml:space="preserve">External benchmarks. Stealth Agents, CSAT Score Benchmarks by Industry 2026, published 23 May 2026, at stealthagents.com/research/csat-score-benchmarks-by-industry-2026. Stealth Agents, </w:t>
      </w:r>
      <w:r>
        <w:lastRenderedPageBreak/>
        <w:t>First Contact Resolution Statistics 2026, published 11 June 2026, citing SQM Group 2024, at stealthagents.com/research/</w:t>
      </w:r>
      <w:proofErr w:type="gramStart"/>
      <w:r>
        <w:t>first-contact</w:t>
      </w:r>
      <w:proofErr w:type="gramEnd"/>
      <w:r>
        <w:t>-resolution-statistics-2026. American Customer Satisfaction Index quarterly results for the third and fourth quarters of 2025, reported by Business Wire on 13 November 2025 and 10 February 2026, and the ACSI benchmark library at theacsi.com.</w:t>
      </w:r>
    </w:p>
    <w:p w14:paraId="324606F0" w14:textId="654BB9FC" w:rsidR="0291B893" w:rsidRDefault="0291B893">
      <w:r w:rsidRPr="0291B893">
        <w:rPr>
          <w:i/>
          <w:iCs/>
          <w:color w:val="5A5A5A"/>
          <w:sz w:val="20"/>
          <w:szCs w:val="20"/>
        </w:rPr>
        <w:t xml:space="preserve">The external benchmark figures are drawn from published aggregator research rather than from audited primary </w:t>
      </w:r>
      <w:proofErr w:type="gramStart"/>
      <w:r w:rsidRPr="0291B893">
        <w:rPr>
          <w:i/>
          <w:iCs/>
          <w:color w:val="5A5A5A"/>
          <w:sz w:val="20"/>
          <w:szCs w:val="20"/>
        </w:rPr>
        <w:t>datasets, and</w:t>
      </w:r>
      <w:proofErr w:type="gramEnd"/>
      <w:r w:rsidRPr="0291B893">
        <w:rPr>
          <w:i/>
          <w:iCs/>
          <w:color w:val="5A5A5A"/>
          <w:sz w:val="20"/>
          <w:szCs w:val="20"/>
        </w:rPr>
        <w:t xml:space="preserve"> should be treated as directional. Where a decision turns on a precise threshold, the underlying source cited in each row is worth reading in full.</w:t>
      </w:r>
    </w:p>
    <w:sectPr w:rsidR="0291B893"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15827867">
    <w:abstractNumId w:val="8"/>
  </w:num>
  <w:num w:numId="2" w16cid:durableId="877930857">
    <w:abstractNumId w:val="6"/>
  </w:num>
  <w:num w:numId="3" w16cid:durableId="803158372">
    <w:abstractNumId w:val="5"/>
  </w:num>
  <w:num w:numId="4" w16cid:durableId="1619602387">
    <w:abstractNumId w:val="4"/>
  </w:num>
  <w:num w:numId="5" w16cid:durableId="202596685">
    <w:abstractNumId w:val="7"/>
  </w:num>
  <w:num w:numId="6" w16cid:durableId="188227754">
    <w:abstractNumId w:val="3"/>
  </w:num>
  <w:num w:numId="7" w16cid:durableId="387345182">
    <w:abstractNumId w:val="2"/>
  </w:num>
  <w:num w:numId="8" w16cid:durableId="220408178">
    <w:abstractNumId w:val="1"/>
  </w:num>
  <w:num w:numId="9" w16cid:durableId="4877934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6B17"/>
    <w:rsid w:val="000B02E4"/>
    <w:rsid w:val="0015074B"/>
    <w:rsid w:val="00181FA8"/>
    <w:rsid w:val="0029639D"/>
    <w:rsid w:val="00326F90"/>
    <w:rsid w:val="00AA1D8D"/>
    <w:rsid w:val="00B47730"/>
    <w:rsid w:val="00CB0664"/>
    <w:rsid w:val="00FC693F"/>
    <w:rsid w:val="0291B893"/>
    <w:rsid w:val="046FE285"/>
    <w:rsid w:val="05F1F12C"/>
    <w:rsid w:val="0970F390"/>
    <w:rsid w:val="0C14BC4D"/>
    <w:rsid w:val="0DFE76E3"/>
    <w:rsid w:val="1AE6B96A"/>
    <w:rsid w:val="1C6F7261"/>
    <w:rsid w:val="1D9B8C18"/>
    <w:rsid w:val="214331B3"/>
    <w:rsid w:val="219EFED8"/>
    <w:rsid w:val="241E05F9"/>
    <w:rsid w:val="2538C88E"/>
    <w:rsid w:val="26A2D3A4"/>
    <w:rsid w:val="26DA69F7"/>
    <w:rsid w:val="27363899"/>
    <w:rsid w:val="283B97C3"/>
    <w:rsid w:val="2A2D5EAC"/>
    <w:rsid w:val="2B659DE8"/>
    <w:rsid w:val="2C92C417"/>
    <w:rsid w:val="2CF0EFA3"/>
    <w:rsid w:val="2D8CF980"/>
    <w:rsid w:val="35A6B5C3"/>
    <w:rsid w:val="3A9C73B4"/>
    <w:rsid w:val="458B03EC"/>
    <w:rsid w:val="461A8CF0"/>
    <w:rsid w:val="4DEFAAE1"/>
    <w:rsid w:val="500BAA22"/>
    <w:rsid w:val="50E86B79"/>
    <w:rsid w:val="59FE3632"/>
    <w:rsid w:val="5A1BF216"/>
    <w:rsid w:val="6476B043"/>
    <w:rsid w:val="6679E7B9"/>
    <w:rsid w:val="6C0B6824"/>
    <w:rsid w:val="6DFB5CD0"/>
    <w:rsid w:val="6E79B309"/>
    <w:rsid w:val="6E9A5870"/>
    <w:rsid w:val="70893325"/>
    <w:rsid w:val="749B1F27"/>
    <w:rsid w:val="7DD1FA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555F74B6-84BE-4C01-8B77-F48FADC9C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2410C10365B41458A488A2E06A7CDDA" ma:contentTypeVersion="16" ma:contentTypeDescription="Create a new document." ma:contentTypeScope="" ma:versionID="8fc8c9c986ff763fb0d30ebcc45645fb">
  <xsd:schema xmlns:xsd="http://www.w3.org/2001/XMLSchema" xmlns:xs="http://www.w3.org/2001/XMLSchema" xmlns:p="http://schemas.microsoft.com/office/2006/metadata/properties" xmlns:ns1="http://schemas.microsoft.com/sharepoint/v3" xmlns:ns2="debf2d1a-3119-443f-9311-2f3fb0fd7de8" xmlns:ns3="9ece1660-89e4-4efe-8613-f619625afc8d" targetNamespace="http://schemas.microsoft.com/office/2006/metadata/properties" ma:root="true" ma:fieldsID="8a6a739d9051ad82eb6b3b4cb1429ef8" ns1:_="" ns2:_="" ns3:_="">
    <xsd:import namespace="http://schemas.microsoft.com/sharepoint/v3"/>
    <xsd:import namespace="debf2d1a-3119-443f-9311-2f3fb0fd7de8"/>
    <xsd:import namespace="9ece1660-89e4-4efe-8613-f619625afc8d"/>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HasDigitalSignature" minOccurs="0"/>
                <xsd:element ref="ns2:DigitalSignatureProvider"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bf2d1a-3119-443f-9311-2f3fb0fd7de8"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HasDigitalSignature" ma:index="14" nillable="true" ma:displayName="Signed electronically" ma:internalName="HasDigitalSignature" ma:readOnly="true">
      <xsd:simpleType>
        <xsd:restriction base="dms:Boolean"/>
      </xsd:simpleType>
    </xsd:element>
    <xsd:element name="DigitalSignatureProvider" ma:index="15" nillable="true" ma:displayName="Signature provider" ma:internalName="DigitalSignatureProvider"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ece1660-89e4-4efe-8613-f619625afc8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f42c6ae-3fbc-4b15-b29b-26f803fb8319}" ma:internalName="TaxCatchAll" ma:showField="CatchAllData" ma:web="9ece1660-89e4-4efe-8613-f619625afc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ebf2d1a-3119-443f-9311-2f3fb0fd7de8">
      <Terms xmlns="http://schemas.microsoft.com/office/infopath/2007/PartnerControls"/>
    </lcf76f155ced4ddcb4097134ff3c332f>
    <TaxCatchAll xmlns="9ece1660-89e4-4efe-8613-f619625afc8d"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5F075F2F-4C8F-47CD-BBA0-92F625869B77}"/>
</file>

<file path=customXml/itemProps3.xml><?xml version="1.0" encoding="utf-8"?>
<ds:datastoreItem xmlns:ds="http://schemas.openxmlformats.org/officeDocument/2006/customXml" ds:itemID="{A04962BF-2DB7-4E00-8905-03ACA32B6CFF}"/>
</file>

<file path=customXml/itemProps4.xml><?xml version="1.0" encoding="utf-8"?>
<ds:datastoreItem xmlns:ds="http://schemas.openxmlformats.org/officeDocument/2006/customXml" ds:itemID="{0D19F96B-1A5B-4EA0-A06B-9FAB01A6959E}"/>
</file>

<file path=docMetadata/LabelInfo.xml><?xml version="1.0" encoding="utf-8"?>
<clbl:labelList xmlns:clbl="http://schemas.microsoft.com/office/2020/mipLabelMetadata">
  <clbl:label id="{87867195-f2b8-4ac2-b0b6-6bb73cb33afc}" enabled="1" method="Privileged" siteId="{72f988bf-86f1-41af-91ab-2d7cd011db47}" removed="0"/>
  <clbl:label id="{defa4170-0d19-0005-0004-bc88714345d2}" enabled="1" method="Standard" siteId="{3b9917a3-e84c-4503-9de4-49e31e5f2dc2}"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6</Pages>
  <Words>2123</Words>
  <Characters>12102</Characters>
  <Application>Microsoft Office Word</Application>
  <DocSecurity>0</DocSecurity>
  <Lines>100</Lines>
  <Paragraphs>28</Paragraphs>
  <ScaleCrop>false</ScaleCrop>
  <Manager/>
  <Company/>
  <LinksUpToDate>false</LinksUpToDate>
  <CharactersWithSpaces>14197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Bojan Buhac</cp:lastModifiedBy>
  <cp:revision>3</cp:revision>
  <dcterms:created xsi:type="dcterms:W3CDTF">2026-09-07T08:41:00Z</dcterms:created>
  <dcterms:modified xsi:type="dcterms:W3CDTF">2026-09-07T08:57:00Z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0x01010042410C10365B41458A488A2E06A7CDDA</vt:lpwstr>
  </property>
  <property fmtid="{D5CDD505-2E9C-101B-9397-08002B2CF9AE}" pid="4" name="docLang">
    <vt:lpwstr>en</vt:lpwstr>
  </property>
</Properties>
</file>