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7F8E1" w14:textId="5C20F0A5" w:rsidR="5F5AF01D" w:rsidRDefault="5F5AF01D" w:rsidP="5F5AF01D">
      <w:pPr>
        <w:pStyle w:val="Title"/>
      </w:pPr>
      <w:r w:rsidRPr="5F5AF01D">
        <w:rPr>
          <w:b/>
          <w:bCs/>
          <w:color w:val="794E1F"/>
        </w:rPr>
        <w:t>Account Plan: U.S. Bank (U.S. Bancorp)</w:t>
      </w:r>
    </w:p>
    <w:p w14:paraId="74952533" w14:textId="26A478D5" w:rsidR="5F5AF01D" w:rsidRDefault="5F5AF01D">
      <w:r w:rsidRPr="5F5AF01D">
        <w:rPr>
          <w:i/>
          <w:iCs/>
          <w:color w:val="7A7A7A"/>
          <w:sz w:val="20"/>
          <w:szCs w:val="20"/>
        </w:rPr>
        <w:t>Prepared for Bojan Buhac, How2Demos — 3 September 2026</w:t>
      </w:r>
    </w:p>
    <w:p w14:paraId="577D790D" w14:textId="652EFE46" w:rsidR="5F5AF01D" w:rsidRDefault="5F5AF01D" w:rsidP="5F5AF01D">
      <w:pPr>
        <w:pStyle w:val="Heading2"/>
      </w:pPr>
      <w:r w:rsidRPr="5F5AF01D">
        <w:rPr>
          <w:color w:val="794E1F"/>
        </w:rPr>
        <w:t>About this plan and its sources</w:t>
      </w:r>
    </w:p>
    <w:p w14:paraId="68CFA4AE" w14:textId="330A6D35" w:rsidR="5F5AF01D" w:rsidRDefault="5F5AF01D">
      <w:r>
        <w:t>This plan was built from public sources only. A search across your Outlook mail, Teams chats, calendar and SharePoint/OneDrive returned no active banking engagement for the current quarter: your calendar held no events between 1 July and 30 September 2026, your recent mail is almost entirely system and administrative notifications, and the only banking reference in your content was a passing "Customer demo prep - US Bank" line in a June 2026 message subject. Because the internal record is empty, the relationship map and pipeline sections below are deliberately left as a structure for you to populate rather than filled with invented names, deal values or dates.</w:t>
      </w:r>
    </w:p>
    <w:p w14:paraId="5BF37B96" w14:textId="1ED09F6F" w:rsidR="5F5AF01D" w:rsidRDefault="5F5AF01D">
      <w:r w:rsidRPr="5F5AF01D">
        <w:rPr>
          <w:i/>
          <w:iCs/>
          <w:color w:val="7A7A7A"/>
          <w:sz w:val="20"/>
          <w:szCs w:val="20"/>
        </w:rPr>
        <w:t>Every external fact is attributed inline to a named public source, listed in full at the end.</w:t>
      </w:r>
    </w:p>
    <w:p w14:paraId="450461D8" w14:textId="46BBFFBE" w:rsidR="5F5AF01D" w:rsidRDefault="5F5AF01D" w:rsidP="5F5AF01D">
      <w:pPr>
        <w:pStyle w:val="Heading1"/>
      </w:pPr>
      <w:r w:rsidRPr="5F5AF01D">
        <w:rPr>
          <w:color w:val="794E1F"/>
        </w:rPr>
        <w:t>Executive summary</w:t>
      </w:r>
    </w:p>
    <w:p w14:paraId="7599719B" w14:textId="6BBF7153" w:rsidR="5F5AF01D" w:rsidRDefault="5F5AF01D">
      <w:r>
        <w:t>U.S. Bancorp enters the second half of 2026 with the strongest operating momentum of Gunjan Kedia's tenure. The company's Q2 2026 release (16 July 2026) reports record net revenue of $7,712 million, net income of $2,177 million and diluted EPS of $1.35, up 22 percent year over year, with 400 basis points of positive operating leverage and a return on tangible common equity of 18.7 percent. Net interest margin reached 2.79 percent, average loans grew 7.1 percent and the CET1 ratio stood at 10.8 percent at 30 June 2026.</w:t>
      </w:r>
    </w:p>
    <w:p w14:paraId="4B6A0077" w14:textId="6B4925B3" w:rsidR="5F5AF01D" w:rsidRDefault="5F5AF01D">
      <w:r>
        <w:t>Two structural moves define the account's near-term agenda. The BTIG acquisition closed effective 1 June 2026, adding institutional equity sales and trading, equity capital markets, electronic trading and M&amp;A advisory, and contributing roughly $98 million of fee revenue against $84 million of expense in its first partial quarter (Q2 2026 release). Separately, Elavon expanded its All-In-One payments platform across North America, unifying payment acceptance, point-of-sale software and business operations on Android-based devices for hospitality, healthcare and retail merchants.</w:t>
      </w:r>
    </w:p>
    <w:p w14:paraId="2430B4C7" w14:textId="2618CC29" w:rsidR="5F5AF01D" w:rsidRDefault="5F5AF01D">
      <w:r>
        <w:t>The strategic thesis Kedia set out at the Morgan Stanley investor conference (reported by Banking Dive, 12 June 2025) has not changed and remains the best guide to where budget will move: stabilise expenses, fund growth from AI automation and real estate savings, deepen relationships across a base where only about 41 percent of 15 million clients hold more than one product, and transform merchant acquiring from a commodity business into a software-led one. Each of those four is a buying centre.</w:t>
      </w:r>
    </w:p>
    <w:p w14:paraId="4ADBDE60" w14:textId="3C0E352E" w:rsidR="5F5AF01D" w:rsidRDefault="5F5AF01D" w:rsidP="5F5AF01D">
      <w:pPr>
        <w:pStyle w:val="Heading2"/>
      </w:pPr>
      <w:r w:rsidRPr="5F5AF01D">
        <w:rPr>
          <w:color w:val="794E1F"/>
        </w:rPr>
        <w:t>Q2 2026 performance at a glance</w:t>
      </w:r>
    </w:p>
    <w:tbl>
      <w:tblPr>
        <w:tblStyle w:val="TableGrid"/>
        <w:tblW w:w="0" w:type="auto"/>
        <w:tblLook w:val="0000" w:firstRow="0" w:lastRow="0" w:firstColumn="0" w:lastColumn="0" w:noHBand="0" w:noVBand="0"/>
      </w:tblPr>
      <w:tblGrid>
        <w:gridCol w:w="2954"/>
        <w:gridCol w:w="2943"/>
        <w:gridCol w:w="2959"/>
      </w:tblGrid>
      <w:tr w:rsidR="5F5AF01D" w14:paraId="551F1A1D" w14:textId="77777777" w:rsidTr="5F5AF01D">
        <w:tc>
          <w:tcPr>
            <w:tcW w:w="3120" w:type="dxa"/>
          </w:tcPr>
          <w:p w14:paraId="23A045B1" w14:textId="050D3E43" w:rsidR="5F5AF01D" w:rsidRDefault="5F5AF01D">
            <w:r w:rsidRPr="5F5AF01D">
              <w:rPr>
                <w:b/>
                <w:bCs/>
                <w:color w:val="794E1F"/>
              </w:rPr>
              <w:t>Measure</w:t>
            </w:r>
          </w:p>
        </w:tc>
        <w:tc>
          <w:tcPr>
            <w:tcW w:w="3120" w:type="dxa"/>
          </w:tcPr>
          <w:p w14:paraId="2E77D7C5" w14:textId="7DEB2507" w:rsidR="5F5AF01D" w:rsidRDefault="5F5AF01D">
            <w:r w:rsidRPr="5F5AF01D">
              <w:rPr>
                <w:b/>
                <w:bCs/>
                <w:color w:val="794E1F"/>
              </w:rPr>
              <w:t>Q2 2026</w:t>
            </w:r>
          </w:p>
        </w:tc>
        <w:tc>
          <w:tcPr>
            <w:tcW w:w="3120" w:type="dxa"/>
          </w:tcPr>
          <w:p w14:paraId="532E0CEB" w14:textId="76C90BCB" w:rsidR="5F5AF01D" w:rsidRDefault="5F5AF01D">
            <w:r w:rsidRPr="5F5AF01D">
              <w:rPr>
                <w:b/>
                <w:bCs/>
                <w:color w:val="794E1F"/>
              </w:rPr>
              <w:t>Year-over-year</w:t>
            </w:r>
          </w:p>
        </w:tc>
      </w:tr>
      <w:tr w:rsidR="5F5AF01D" w14:paraId="788BF376" w14:textId="77777777" w:rsidTr="5F5AF01D">
        <w:tc>
          <w:tcPr>
            <w:tcW w:w="3120" w:type="dxa"/>
          </w:tcPr>
          <w:p w14:paraId="730E8861" w14:textId="0DDE6C40" w:rsidR="5F5AF01D" w:rsidRDefault="5F5AF01D">
            <w:r>
              <w:t>Net revenue</w:t>
            </w:r>
          </w:p>
        </w:tc>
        <w:tc>
          <w:tcPr>
            <w:tcW w:w="3120" w:type="dxa"/>
          </w:tcPr>
          <w:p w14:paraId="4D61208C" w14:textId="06BC5304" w:rsidR="5F5AF01D" w:rsidRDefault="5F5AF01D">
            <w:r>
              <w:t>$7,712 million (record)</w:t>
            </w:r>
          </w:p>
        </w:tc>
        <w:tc>
          <w:tcPr>
            <w:tcW w:w="3120" w:type="dxa"/>
          </w:tcPr>
          <w:p w14:paraId="344DDBE4" w14:textId="7F9A39C8" w:rsidR="5F5AF01D" w:rsidRDefault="5F5AF01D">
            <w:r>
              <w:t>NII +7.5%, fee revenue +13.2%</w:t>
            </w:r>
          </w:p>
        </w:tc>
      </w:tr>
      <w:tr w:rsidR="5F5AF01D" w14:paraId="3E403372" w14:textId="77777777" w:rsidTr="5F5AF01D">
        <w:tc>
          <w:tcPr>
            <w:tcW w:w="3120" w:type="dxa"/>
          </w:tcPr>
          <w:p w14:paraId="5813F5B6" w14:textId="16AF9A3D" w:rsidR="5F5AF01D" w:rsidRDefault="5F5AF01D">
            <w:r>
              <w:t>Net income</w:t>
            </w:r>
          </w:p>
        </w:tc>
        <w:tc>
          <w:tcPr>
            <w:tcW w:w="3120" w:type="dxa"/>
          </w:tcPr>
          <w:p w14:paraId="34A778AE" w14:textId="0F8D8101" w:rsidR="5F5AF01D" w:rsidRDefault="5F5AF01D">
            <w:r>
              <w:t>$2,177 million</w:t>
            </w:r>
          </w:p>
        </w:tc>
        <w:tc>
          <w:tcPr>
            <w:tcW w:w="3120" w:type="dxa"/>
          </w:tcPr>
          <w:p w14:paraId="4B180DFA" w14:textId="086B67C5" w:rsidR="5F5AF01D" w:rsidRDefault="5F5AF01D">
            <w:r>
              <w:t>+20%</w:t>
            </w:r>
          </w:p>
        </w:tc>
      </w:tr>
      <w:tr w:rsidR="5F5AF01D" w14:paraId="71C8A17B" w14:textId="77777777" w:rsidTr="5F5AF01D">
        <w:tc>
          <w:tcPr>
            <w:tcW w:w="3120" w:type="dxa"/>
          </w:tcPr>
          <w:p w14:paraId="6023A01A" w14:textId="1F80C83A" w:rsidR="5F5AF01D" w:rsidRDefault="5F5AF01D">
            <w:r>
              <w:t>Diluted EPS</w:t>
            </w:r>
          </w:p>
        </w:tc>
        <w:tc>
          <w:tcPr>
            <w:tcW w:w="3120" w:type="dxa"/>
          </w:tcPr>
          <w:p w14:paraId="27F7BEC9" w14:textId="185EAEFE" w:rsidR="5F5AF01D" w:rsidRDefault="5F5AF01D">
            <w:r>
              <w:t>$1.35</w:t>
            </w:r>
          </w:p>
        </w:tc>
        <w:tc>
          <w:tcPr>
            <w:tcW w:w="3120" w:type="dxa"/>
          </w:tcPr>
          <w:p w14:paraId="78FB8316" w14:textId="113C95C2" w:rsidR="5F5AF01D" w:rsidRDefault="5F5AF01D">
            <w:r>
              <w:t>+22%</w:t>
            </w:r>
          </w:p>
        </w:tc>
      </w:tr>
      <w:tr w:rsidR="5F5AF01D" w14:paraId="12512139" w14:textId="77777777" w:rsidTr="5F5AF01D">
        <w:tc>
          <w:tcPr>
            <w:tcW w:w="3120" w:type="dxa"/>
          </w:tcPr>
          <w:p w14:paraId="59292A8D" w14:textId="2851F637" w:rsidR="5F5AF01D" w:rsidRDefault="5F5AF01D">
            <w:r>
              <w:t>Return on tangible common equity</w:t>
            </w:r>
          </w:p>
        </w:tc>
        <w:tc>
          <w:tcPr>
            <w:tcW w:w="3120" w:type="dxa"/>
          </w:tcPr>
          <w:p w14:paraId="7DF07A30" w14:textId="212FDCFB" w:rsidR="5F5AF01D" w:rsidRDefault="5F5AF01D">
            <w:r>
              <w:t>18.7%</w:t>
            </w:r>
          </w:p>
        </w:tc>
        <w:tc>
          <w:tcPr>
            <w:tcW w:w="3120" w:type="dxa"/>
          </w:tcPr>
          <w:p w14:paraId="3B04509D" w14:textId="1A0DC3BF" w:rsidR="5F5AF01D" w:rsidRDefault="5F5AF01D">
            <w:r>
              <w:t>Cited by CEO as strong</w:t>
            </w:r>
          </w:p>
        </w:tc>
      </w:tr>
      <w:tr w:rsidR="5F5AF01D" w14:paraId="739F2780" w14:textId="77777777" w:rsidTr="5F5AF01D">
        <w:tc>
          <w:tcPr>
            <w:tcW w:w="3120" w:type="dxa"/>
          </w:tcPr>
          <w:p w14:paraId="7D74CD8E" w14:textId="31232434" w:rsidR="5F5AF01D" w:rsidRDefault="5F5AF01D">
            <w:r>
              <w:t>Return on average assets</w:t>
            </w:r>
          </w:p>
        </w:tc>
        <w:tc>
          <w:tcPr>
            <w:tcW w:w="3120" w:type="dxa"/>
          </w:tcPr>
          <w:p w14:paraId="5DB04AD0" w14:textId="2A010AF8" w:rsidR="5F5AF01D" w:rsidRDefault="5F5AF01D">
            <w:r>
              <w:t>1.26%</w:t>
            </w:r>
          </w:p>
        </w:tc>
        <w:tc>
          <w:tcPr>
            <w:tcW w:w="3120" w:type="dxa"/>
          </w:tcPr>
          <w:p w14:paraId="5FE95531" w14:textId="22DEF1BC" w:rsidR="5F5AF01D" w:rsidRDefault="5F5AF01D">
            <w:r>
              <w:t>Improved YoY and vs Q1</w:t>
            </w:r>
          </w:p>
        </w:tc>
      </w:tr>
      <w:tr w:rsidR="5F5AF01D" w14:paraId="74FDFDCE" w14:textId="77777777" w:rsidTr="5F5AF01D">
        <w:tc>
          <w:tcPr>
            <w:tcW w:w="3120" w:type="dxa"/>
          </w:tcPr>
          <w:p w14:paraId="72CBA4E0" w14:textId="39F45231" w:rsidR="5F5AF01D" w:rsidRDefault="5F5AF01D">
            <w:r>
              <w:t>Efficiency ratio</w:t>
            </w:r>
          </w:p>
        </w:tc>
        <w:tc>
          <w:tcPr>
            <w:tcW w:w="3120" w:type="dxa"/>
          </w:tcPr>
          <w:p w14:paraId="7F6959D0" w14:textId="32D238F5" w:rsidR="5F5AF01D" w:rsidRDefault="5F5AF01D">
            <w:r>
              <w:t>57.1%</w:t>
            </w:r>
          </w:p>
        </w:tc>
        <w:tc>
          <w:tcPr>
            <w:tcW w:w="3120" w:type="dxa"/>
          </w:tcPr>
          <w:p w14:paraId="77549E24" w14:textId="2BB01FB9" w:rsidR="5F5AF01D" w:rsidRDefault="5F5AF01D">
            <w:r>
              <w:t>Improved YoY and vs Q1</w:t>
            </w:r>
          </w:p>
        </w:tc>
      </w:tr>
      <w:tr w:rsidR="5F5AF01D" w14:paraId="20DF1547" w14:textId="77777777" w:rsidTr="5F5AF01D">
        <w:tc>
          <w:tcPr>
            <w:tcW w:w="3120" w:type="dxa"/>
          </w:tcPr>
          <w:p w14:paraId="20D43180" w14:textId="42C5802E" w:rsidR="5F5AF01D" w:rsidRDefault="5F5AF01D">
            <w:r>
              <w:t>Net interest margin</w:t>
            </w:r>
          </w:p>
        </w:tc>
        <w:tc>
          <w:tcPr>
            <w:tcW w:w="3120" w:type="dxa"/>
          </w:tcPr>
          <w:p w14:paraId="2219C772" w14:textId="3BA366F2" w:rsidR="5F5AF01D" w:rsidRDefault="5F5AF01D">
            <w:r>
              <w:t>2.79%</w:t>
            </w:r>
          </w:p>
        </w:tc>
        <w:tc>
          <w:tcPr>
            <w:tcW w:w="3120" w:type="dxa"/>
          </w:tcPr>
          <w:p w14:paraId="2EF63842" w14:textId="34814DB6" w:rsidR="5F5AF01D" w:rsidRDefault="5F5AF01D">
            <w:r>
              <w:t>+13 basis points</w:t>
            </w:r>
          </w:p>
        </w:tc>
      </w:tr>
      <w:tr w:rsidR="5F5AF01D" w14:paraId="2561A0AF" w14:textId="77777777" w:rsidTr="5F5AF01D">
        <w:tc>
          <w:tcPr>
            <w:tcW w:w="3120" w:type="dxa"/>
          </w:tcPr>
          <w:p w14:paraId="704A0F55" w14:textId="4B96AE2B" w:rsidR="5F5AF01D" w:rsidRDefault="5F5AF01D">
            <w:r>
              <w:t>CET1 capital ratio</w:t>
            </w:r>
          </w:p>
        </w:tc>
        <w:tc>
          <w:tcPr>
            <w:tcW w:w="3120" w:type="dxa"/>
          </w:tcPr>
          <w:p w14:paraId="5B6E358E" w14:textId="447494EF" w:rsidR="5F5AF01D" w:rsidRDefault="5F5AF01D">
            <w:r>
              <w:t>10.8% at 30 June 2026</w:t>
            </w:r>
          </w:p>
        </w:tc>
        <w:tc>
          <w:tcPr>
            <w:tcW w:w="3120" w:type="dxa"/>
          </w:tcPr>
          <w:p w14:paraId="67DE72BC" w14:textId="3D527BB3" w:rsidR="5F5AF01D" w:rsidRDefault="5F5AF01D">
            <w:r>
              <w:t>Above regulatory minimum</w:t>
            </w:r>
          </w:p>
        </w:tc>
      </w:tr>
    </w:tbl>
    <w:p w14:paraId="7B7E570F" w14:textId="581E613B" w:rsidR="5F5AF01D" w:rsidRDefault="5F5AF01D">
      <w:r w:rsidRPr="5F5AF01D">
        <w:rPr>
          <w:i/>
          <w:iCs/>
          <w:color w:val="7A7A7A"/>
          <w:sz w:val="18"/>
          <w:szCs w:val="18"/>
        </w:rPr>
        <w:t>Source: U.S. Bancorp second quarter 2026 results, 16 July 2026.</w:t>
      </w:r>
    </w:p>
    <w:p w14:paraId="62A1676D" w14:textId="65A4452E" w:rsidR="5F5AF01D" w:rsidRDefault="5F5AF01D" w:rsidP="5F5AF01D">
      <w:pPr>
        <w:pStyle w:val="Heading1"/>
      </w:pPr>
      <w:r w:rsidRPr="5F5AF01D">
        <w:rPr>
          <w:color w:val="794E1F"/>
        </w:rPr>
        <w:t>Relationship map</w:t>
      </w:r>
    </w:p>
    <w:p w14:paraId="3E0B8B16" w14:textId="1ED35AEE" w:rsidR="5F5AF01D" w:rsidRDefault="5F5AF01D">
      <w:r>
        <w:t>No U.S. Bank contacts, meeting attendees or shared files appear anywhere in your mail, chats, calendar or document libraries, so this section names only the roles that are a matter of public record and leaves your own coverage blank for you to complete. Treat the second table as the working artefact: once you fill in who on your side owns each relationship and when it was last touched, the gaps in coverage become the agenda for the 90-day plan.</w:t>
      </w:r>
    </w:p>
    <w:p w14:paraId="69AB7389" w14:textId="1978A216" w:rsidR="5F5AF01D" w:rsidRDefault="5F5AF01D" w:rsidP="5F5AF01D">
      <w:pPr>
        <w:pStyle w:val="Heading2"/>
      </w:pPr>
      <w:r w:rsidRPr="5F5AF01D">
        <w:rPr>
          <w:color w:val="794E1F"/>
        </w:rPr>
        <w:t>Publicly identified U.S. Bancorp roles</w:t>
      </w:r>
    </w:p>
    <w:tbl>
      <w:tblPr>
        <w:tblStyle w:val="TableGrid"/>
        <w:tblW w:w="0" w:type="auto"/>
        <w:tblLook w:val="0000" w:firstRow="0" w:lastRow="0" w:firstColumn="0" w:lastColumn="0" w:noHBand="0" w:noVBand="0"/>
      </w:tblPr>
      <w:tblGrid>
        <w:gridCol w:w="2948"/>
        <w:gridCol w:w="2980"/>
        <w:gridCol w:w="2928"/>
      </w:tblGrid>
      <w:tr w:rsidR="5F5AF01D" w14:paraId="4DEEDEF1" w14:textId="77777777" w:rsidTr="5F5AF01D">
        <w:tc>
          <w:tcPr>
            <w:tcW w:w="3120" w:type="dxa"/>
          </w:tcPr>
          <w:p w14:paraId="5DA36F1C" w14:textId="30BD5DFC" w:rsidR="5F5AF01D" w:rsidRDefault="5F5AF01D">
            <w:r w:rsidRPr="5F5AF01D">
              <w:rPr>
                <w:b/>
                <w:bCs/>
                <w:color w:val="794E1F"/>
              </w:rPr>
              <w:t>Name and role</w:t>
            </w:r>
          </w:p>
        </w:tc>
        <w:tc>
          <w:tcPr>
            <w:tcW w:w="3120" w:type="dxa"/>
          </w:tcPr>
          <w:p w14:paraId="582BCCFA" w14:textId="299B44C0" w:rsidR="5F5AF01D" w:rsidRDefault="5F5AF01D">
            <w:r w:rsidRPr="5F5AF01D">
              <w:rPr>
                <w:b/>
                <w:bCs/>
                <w:color w:val="794E1F"/>
              </w:rPr>
              <w:t>Why they matter</w:t>
            </w:r>
          </w:p>
        </w:tc>
        <w:tc>
          <w:tcPr>
            <w:tcW w:w="3120" w:type="dxa"/>
          </w:tcPr>
          <w:p w14:paraId="51E52807" w14:textId="22792B84" w:rsidR="5F5AF01D" w:rsidRDefault="5F5AF01D">
            <w:r w:rsidRPr="5F5AF01D">
              <w:rPr>
                <w:b/>
                <w:bCs/>
                <w:color w:val="794E1F"/>
              </w:rPr>
              <w:t>Public source</w:t>
            </w:r>
          </w:p>
        </w:tc>
      </w:tr>
      <w:tr w:rsidR="5F5AF01D" w14:paraId="1E27060F" w14:textId="77777777" w:rsidTr="5F5AF01D">
        <w:tc>
          <w:tcPr>
            <w:tcW w:w="3120" w:type="dxa"/>
          </w:tcPr>
          <w:p w14:paraId="176CBCEE" w14:textId="398E8BF9" w:rsidR="5F5AF01D" w:rsidRDefault="5F5AF01D">
            <w:r>
              <w:t>Gunjan Kedia, Chief Executive Officer; named Chairman in 2026</w:t>
            </w:r>
          </w:p>
        </w:tc>
        <w:tc>
          <w:tcPr>
            <w:tcW w:w="3120" w:type="dxa"/>
          </w:tcPr>
          <w:p w14:paraId="6E4D6997" w14:textId="326C72BD" w:rsidR="5F5AF01D" w:rsidRDefault="5F5AF01D">
            <w:r>
              <w:t>Owns the growth agenda: expense discipline, payments transformation, relationship deepening. Sets the tone every proposal must answer to.</w:t>
            </w:r>
          </w:p>
        </w:tc>
        <w:tc>
          <w:tcPr>
            <w:tcW w:w="3120" w:type="dxa"/>
          </w:tcPr>
          <w:p w14:paraId="48A6C0E7" w14:textId="2B4A5981" w:rsidR="5F5AF01D" w:rsidRDefault="5F5AF01D">
            <w:r>
              <w:t>Q2 2026 results; 2026 proxy statement</w:t>
            </w:r>
          </w:p>
        </w:tc>
      </w:tr>
      <w:tr w:rsidR="5F5AF01D" w14:paraId="744E5894" w14:textId="77777777" w:rsidTr="5F5AF01D">
        <w:tc>
          <w:tcPr>
            <w:tcW w:w="3120" w:type="dxa"/>
          </w:tcPr>
          <w:p w14:paraId="54C882BC" w14:textId="425FB9F6" w:rsidR="5F5AF01D" w:rsidRDefault="5F5AF01D">
            <w:r>
              <w:t>John Stern, Chief Financial Officer</w:t>
            </w:r>
          </w:p>
        </w:tc>
        <w:tc>
          <w:tcPr>
            <w:tcW w:w="3120" w:type="dxa"/>
          </w:tcPr>
          <w:p w14:paraId="6A4E5A69" w14:textId="3B3DA0BA" w:rsidR="5F5AF01D" w:rsidRDefault="5F5AF01D">
            <w:r>
              <w:t>Stated that savings from AI automation, real estate and organisational simplicity are recycled into payments transformation — the funding mechanism for new spend.</w:t>
            </w:r>
          </w:p>
        </w:tc>
        <w:tc>
          <w:tcPr>
            <w:tcW w:w="3120" w:type="dxa"/>
          </w:tcPr>
          <w:p w14:paraId="39A63350" w14:textId="341B877E" w:rsidR="5F5AF01D" w:rsidRDefault="5F5AF01D">
            <w:r>
              <w:t>Banking Dive, 12 June 2025</w:t>
            </w:r>
          </w:p>
        </w:tc>
      </w:tr>
      <w:tr w:rsidR="5F5AF01D" w14:paraId="6251AF4C" w14:textId="77777777" w:rsidTr="5F5AF01D">
        <w:tc>
          <w:tcPr>
            <w:tcW w:w="3120" w:type="dxa"/>
          </w:tcPr>
          <w:p w14:paraId="48E2D0CE" w14:textId="4B30E7F3" w:rsidR="5F5AF01D" w:rsidRDefault="5F5AF01D">
            <w:r>
              <w:t>Board Technology Committee (newly constituted)</w:t>
            </w:r>
          </w:p>
        </w:tc>
        <w:tc>
          <w:tcPr>
            <w:tcW w:w="3120" w:type="dxa"/>
          </w:tcPr>
          <w:p w14:paraId="3256464F" w14:textId="440ECEB7" w:rsidR="5F5AF01D" w:rsidRDefault="5F5AF01D">
            <w:r>
              <w:t>A standing board-level committee for technology signals executive-level scrutiny of major technology commitments.</w:t>
            </w:r>
          </w:p>
        </w:tc>
        <w:tc>
          <w:tcPr>
            <w:tcW w:w="3120" w:type="dxa"/>
          </w:tcPr>
          <w:p w14:paraId="5B65169B" w14:textId="3CECB57B" w:rsidR="5F5AF01D" w:rsidRDefault="5F5AF01D">
            <w:r>
              <w:t>2026 proxy statement summary</w:t>
            </w:r>
          </w:p>
        </w:tc>
      </w:tr>
      <w:tr w:rsidR="5F5AF01D" w14:paraId="6A651CBA" w14:textId="77777777" w:rsidTr="5F5AF01D">
        <w:tc>
          <w:tcPr>
            <w:tcW w:w="3120" w:type="dxa"/>
          </w:tcPr>
          <w:p w14:paraId="42D8A933" w14:textId="540215F0" w:rsidR="5F5AF01D" w:rsidRDefault="5F5AF01D">
            <w:r>
              <w:t>Elavon leadership (merchant services subsidiary)</w:t>
            </w:r>
          </w:p>
        </w:tc>
        <w:tc>
          <w:tcPr>
            <w:tcW w:w="3120" w:type="dxa"/>
          </w:tcPr>
          <w:p w14:paraId="5E8398CF" w14:textId="4CDFFCB4" w:rsidR="5F5AF01D" w:rsidRDefault="5F5AF01D">
            <w:r>
              <w:t>Owns the All-In-One platform and its technology-partner ecosystem across hospitality, healthcare and retail.</w:t>
            </w:r>
          </w:p>
        </w:tc>
        <w:tc>
          <w:tcPr>
            <w:tcW w:w="3120" w:type="dxa"/>
          </w:tcPr>
          <w:p w14:paraId="7237E63E" w14:textId="45BDE378" w:rsidR="5F5AF01D" w:rsidRDefault="5F5AF01D">
            <w:r>
              <w:t>Q2 2026 results</w:t>
            </w:r>
          </w:p>
        </w:tc>
      </w:tr>
      <w:tr w:rsidR="5F5AF01D" w14:paraId="4497DA0F" w14:textId="77777777" w:rsidTr="5F5AF01D">
        <w:tc>
          <w:tcPr>
            <w:tcW w:w="3120" w:type="dxa"/>
          </w:tcPr>
          <w:p w14:paraId="49F0CB4C" w14:textId="5CD343ED" w:rsidR="5F5AF01D" w:rsidRDefault="5F5AF01D">
            <w:r>
              <w:t>BTIG leadership (joined 1 June 2026)</w:t>
            </w:r>
          </w:p>
        </w:tc>
        <w:tc>
          <w:tcPr>
            <w:tcW w:w="3120" w:type="dxa"/>
          </w:tcPr>
          <w:p w14:paraId="40B064C9" w14:textId="55B12AB1" w:rsidR="5F5AF01D" w:rsidRDefault="5F5AF01D">
            <w:r>
              <w:t>New capital markets organisation being integrated; integration work is the freshest budget line in the company.</w:t>
            </w:r>
          </w:p>
        </w:tc>
        <w:tc>
          <w:tcPr>
            <w:tcW w:w="3120" w:type="dxa"/>
          </w:tcPr>
          <w:p w14:paraId="75DD279F" w14:textId="4E8F1175" w:rsidR="5F5AF01D" w:rsidRDefault="5F5AF01D">
            <w:r>
              <w:t>Q2 2026 results</w:t>
            </w:r>
          </w:p>
        </w:tc>
      </w:tr>
    </w:tbl>
    <w:p w14:paraId="72261358" w14:textId="5E3F1527" w:rsidR="5F5AF01D" w:rsidRDefault="5F5AF01D" w:rsidP="5F5AF01D">
      <w:pPr>
        <w:pStyle w:val="Heading2"/>
      </w:pPr>
      <w:r w:rsidRPr="5F5AF01D">
        <w:rPr>
          <w:color w:val="794E1F"/>
        </w:rPr>
        <w:t>Your coverage — to be completed</w:t>
      </w:r>
    </w:p>
    <w:tbl>
      <w:tblPr>
        <w:tblStyle w:val="TableGrid"/>
        <w:tblW w:w="0" w:type="auto"/>
        <w:tblLook w:val="0000" w:firstRow="0" w:lastRow="0" w:firstColumn="0" w:lastColumn="0" w:noHBand="0" w:noVBand="0"/>
      </w:tblPr>
      <w:tblGrid>
        <w:gridCol w:w="2242"/>
        <w:gridCol w:w="2200"/>
        <w:gridCol w:w="2181"/>
        <w:gridCol w:w="2233"/>
      </w:tblGrid>
      <w:tr w:rsidR="5F5AF01D" w14:paraId="35C6FA4A" w14:textId="77777777" w:rsidTr="5F5AF01D">
        <w:tc>
          <w:tcPr>
            <w:tcW w:w="2340" w:type="dxa"/>
          </w:tcPr>
          <w:p w14:paraId="15D61851" w14:textId="7597B923" w:rsidR="5F5AF01D" w:rsidRDefault="5F5AF01D">
            <w:r w:rsidRPr="5F5AF01D">
              <w:rPr>
                <w:b/>
                <w:bCs/>
                <w:color w:val="794E1F"/>
              </w:rPr>
              <w:t>Buying centre</w:t>
            </w:r>
          </w:p>
        </w:tc>
        <w:tc>
          <w:tcPr>
            <w:tcW w:w="2340" w:type="dxa"/>
          </w:tcPr>
          <w:p w14:paraId="3122344F" w14:textId="6E759FE7" w:rsidR="5F5AF01D" w:rsidRDefault="5F5AF01D">
            <w:r w:rsidRPr="5F5AF01D">
              <w:rPr>
                <w:b/>
                <w:bCs/>
                <w:color w:val="794E1F"/>
              </w:rPr>
              <w:t>Their decision maker</w:t>
            </w:r>
          </w:p>
        </w:tc>
        <w:tc>
          <w:tcPr>
            <w:tcW w:w="2340" w:type="dxa"/>
          </w:tcPr>
          <w:p w14:paraId="1BEE8C78" w14:textId="675386AB" w:rsidR="5F5AF01D" w:rsidRDefault="5F5AF01D">
            <w:r w:rsidRPr="5F5AF01D">
              <w:rPr>
                <w:b/>
                <w:bCs/>
                <w:color w:val="794E1F"/>
              </w:rPr>
              <w:t>Owner on your side</w:t>
            </w:r>
          </w:p>
        </w:tc>
        <w:tc>
          <w:tcPr>
            <w:tcW w:w="2340" w:type="dxa"/>
          </w:tcPr>
          <w:p w14:paraId="5D3B52A1" w14:textId="60316D6F" w:rsidR="5F5AF01D" w:rsidRDefault="5F5AF01D">
            <w:r w:rsidRPr="5F5AF01D">
              <w:rPr>
                <w:b/>
                <w:bCs/>
                <w:color w:val="794E1F"/>
              </w:rPr>
              <w:t>Last meaningful contact</w:t>
            </w:r>
          </w:p>
        </w:tc>
      </w:tr>
      <w:tr w:rsidR="5F5AF01D" w14:paraId="4D4CD191" w14:textId="77777777" w:rsidTr="5F5AF01D">
        <w:tc>
          <w:tcPr>
            <w:tcW w:w="2340" w:type="dxa"/>
          </w:tcPr>
          <w:p w14:paraId="1D351891" w14:textId="7746CDE4" w:rsidR="5F5AF01D" w:rsidRDefault="5F5AF01D">
            <w:r>
              <w:t>Payments and card issuing</w:t>
            </w:r>
          </w:p>
        </w:tc>
        <w:tc>
          <w:tcPr>
            <w:tcW w:w="2340" w:type="dxa"/>
          </w:tcPr>
          <w:p w14:paraId="58DD4E0C" w14:textId="7024B4A8" w:rsidR="5F5AF01D" w:rsidRDefault="5F5AF01D">
            <w:r>
              <w:t xml:space="preserve"> </w:t>
            </w:r>
          </w:p>
        </w:tc>
        <w:tc>
          <w:tcPr>
            <w:tcW w:w="2340" w:type="dxa"/>
          </w:tcPr>
          <w:p w14:paraId="66A48FD2" w14:textId="69029B6C" w:rsidR="5F5AF01D" w:rsidRDefault="5F5AF01D">
            <w:r>
              <w:t xml:space="preserve"> </w:t>
            </w:r>
          </w:p>
        </w:tc>
        <w:tc>
          <w:tcPr>
            <w:tcW w:w="2340" w:type="dxa"/>
          </w:tcPr>
          <w:p w14:paraId="4379084B" w14:textId="61E08230" w:rsidR="5F5AF01D" w:rsidRDefault="5F5AF01D">
            <w:r>
              <w:t xml:space="preserve"> </w:t>
            </w:r>
          </w:p>
        </w:tc>
      </w:tr>
      <w:tr w:rsidR="5F5AF01D" w14:paraId="27B0DD45" w14:textId="77777777" w:rsidTr="5F5AF01D">
        <w:tc>
          <w:tcPr>
            <w:tcW w:w="2340" w:type="dxa"/>
          </w:tcPr>
          <w:p w14:paraId="4F4C9C66" w14:textId="78F5E2A5" w:rsidR="5F5AF01D" w:rsidRDefault="5F5AF01D">
            <w:r>
              <w:t>Elavon merchant services</w:t>
            </w:r>
          </w:p>
        </w:tc>
        <w:tc>
          <w:tcPr>
            <w:tcW w:w="2340" w:type="dxa"/>
          </w:tcPr>
          <w:p w14:paraId="2F215A3F" w14:textId="71D3C969" w:rsidR="5F5AF01D" w:rsidRDefault="5F5AF01D">
            <w:r>
              <w:t xml:space="preserve"> </w:t>
            </w:r>
          </w:p>
        </w:tc>
        <w:tc>
          <w:tcPr>
            <w:tcW w:w="2340" w:type="dxa"/>
          </w:tcPr>
          <w:p w14:paraId="17DD348D" w14:textId="6AB1B02D" w:rsidR="5F5AF01D" w:rsidRDefault="5F5AF01D">
            <w:r>
              <w:t xml:space="preserve"> </w:t>
            </w:r>
          </w:p>
        </w:tc>
        <w:tc>
          <w:tcPr>
            <w:tcW w:w="2340" w:type="dxa"/>
          </w:tcPr>
          <w:p w14:paraId="657958C1" w14:textId="638F96F1" w:rsidR="5F5AF01D" w:rsidRDefault="5F5AF01D">
            <w:r>
              <w:t xml:space="preserve"> </w:t>
            </w:r>
          </w:p>
        </w:tc>
      </w:tr>
      <w:tr w:rsidR="5F5AF01D" w14:paraId="69FA405F" w14:textId="77777777" w:rsidTr="5F5AF01D">
        <w:tc>
          <w:tcPr>
            <w:tcW w:w="2340" w:type="dxa"/>
          </w:tcPr>
          <w:p w14:paraId="40C37403" w14:textId="7AA4F766" w:rsidR="5F5AF01D" w:rsidRDefault="5F5AF01D">
            <w:r>
              <w:t>Capital markets / BTIG integration</w:t>
            </w:r>
          </w:p>
        </w:tc>
        <w:tc>
          <w:tcPr>
            <w:tcW w:w="2340" w:type="dxa"/>
          </w:tcPr>
          <w:p w14:paraId="3450763E" w14:textId="7382DE2A" w:rsidR="5F5AF01D" w:rsidRDefault="5F5AF01D">
            <w:r>
              <w:t xml:space="preserve"> </w:t>
            </w:r>
          </w:p>
        </w:tc>
        <w:tc>
          <w:tcPr>
            <w:tcW w:w="2340" w:type="dxa"/>
          </w:tcPr>
          <w:p w14:paraId="2670628D" w14:textId="6C60C4EE" w:rsidR="5F5AF01D" w:rsidRDefault="5F5AF01D">
            <w:r>
              <w:t xml:space="preserve"> </w:t>
            </w:r>
          </w:p>
        </w:tc>
        <w:tc>
          <w:tcPr>
            <w:tcW w:w="2340" w:type="dxa"/>
          </w:tcPr>
          <w:p w14:paraId="6B89F8B6" w14:textId="653EABB2" w:rsidR="5F5AF01D" w:rsidRDefault="5F5AF01D">
            <w:r>
              <w:t xml:space="preserve"> </w:t>
            </w:r>
          </w:p>
        </w:tc>
      </w:tr>
      <w:tr w:rsidR="5F5AF01D" w14:paraId="1A2C2967" w14:textId="77777777" w:rsidTr="5F5AF01D">
        <w:tc>
          <w:tcPr>
            <w:tcW w:w="2340" w:type="dxa"/>
          </w:tcPr>
          <w:p w14:paraId="480F247A" w14:textId="7C540C27" w:rsidR="5F5AF01D" w:rsidRDefault="5F5AF01D">
            <w:r>
              <w:t>Technology, AI and automation</w:t>
            </w:r>
          </w:p>
        </w:tc>
        <w:tc>
          <w:tcPr>
            <w:tcW w:w="2340" w:type="dxa"/>
          </w:tcPr>
          <w:p w14:paraId="705726FF" w14:textId="7531F2EB" w:rsidR="5F5AF01D" w:rsidRDefault="5F5AF01D">
            <w:r>
              <w:t xml:space="preserve"> </w:t>
            </w:r>
          </w:p>
        </w:tc>
        <w:tc>
          <w:tcPr>
            <w:tcW w:w="2340" w:type="dxa"/>
          </w:tcPr>
          <w:p w14:paraId="140C5481" w14:textId="6E0FD9AF" w:rsidR="5F5AF01D" w:rsidRDefault="5F5AF01D">
            <w:r>
              <w:t xml:space="preserve"> </w:t>
            </w:r>
          </w:p>
        </w:tc>
        <w:tc>
          <w:tcPr>
            <w:tcW w:w="2340" w:type="dxa"/>
          </w:tcPr>
          <w:p w14:paraId="17A577F2" w14:textId="66EDC073" w:rsidR="5F5AF01D" w:rsidRDefault="5F5AF01D">
            <w:r>
              <w:t xml:space="preserve"> </w:t>
            </w:r>
          </w:p>
        </w:tc>
      </w:tr>
      <w:tr w:rsidR="5F5AF01D" w14:paraId="6C8EC89F" w14:textId="77777777" w:rsidTr="5F5AF01D">
        <w:tc>
          <w:tcPr>
            <w:tcW w:w="2340" w:type="dxa"/>
          </w:tcPr>
          <w:p w14:paraId="7B9B9F74" w14:textId="7E0320E8" w:rsidR="5F5AF01D" w:rsidRDefault="5F5AF01D">
            <w:r>
              <w:t>Procurement and vendor management</w:t>
            </w:r>
          </w:p>
        </w:tc>
        <w:tc>
          <w:tcPr>
            <w:tcW w:w="2340" w:type="dxa"/>
          </w:tcPr>
          <w:p w14:paraId="65DA384F" w14:textId="76E107AC" w:rsidR="5F5AF01D" w:rsidRDefault="5F5AF01D">
            <w:r>
              <w:t xml:space="preserve"> </w:t>
            </w:r>
          </w:p>
        </w:tc>
        <w:tc>
          <w:tcPr>
            <w:tcW w:w="2340" w:type="dxa"/>
          </w:tcPr>
          <w:p w14:paraId="6DEDC647" w14:textId="6FBEEE70" w:rsidR="5F5AF01D" w:rsidRDefault="5F5AF01D">
            <w:r>
              <w:t xml:space="preserve"> </w:t>
            </w:r>
          </w:p>
        </w:tc>
        <w:tc>
          <w:tcPr>
            <w:tcW w:w="2340" w:type="dxa"/>
          </w:tcPr>
          <w:p w14:paraId="51CC85B8" w14:textId="689CD534" w:rsidR="5F5AF01D" w:rsidRDefault="5F5AF01D">
            <w:r>
              <w:t xml:space="preserve"> </w:t>
            </w:r>
          </w:p>
        </w:tc>
      </w:tr>
    </w:tbl>
    <w:p w14:paraId="6D6A9857" w14:textId="1F6617A5" w:rsidR="5F5AF01D" w:rsidRDefault="5F5AF01D" w:rsidP="5F5AF01D">
      <w:pPr>
        <w:pStyle w:val="Heading1"/>
      </w:pPr>
      <w:r w:rsidRPr="5F5AF01D">
        <w:rPr>
          <w:color w:val="794E1F"/>
        </w:rPr>
        <w:t>Open opportunities and risks</w:t>
      </w:r>
    </w:p>
    <w:p w14:paraId="6BA8EF03" w14:textId="65674ED6" w:rsidR="5F5AF01D" w:rsidRDefault="5F5AF01D">
      <w:r>
        <w:t>There is no pipeline in your systems to report, so the opportunities below are inferred from the company's own stated priorities rather than from anything U.S. Bank has told you. Each is written as a hypothesis with the public evidence that supports it, so you can test it in a first conversation instead of presenting it as a qualified deal.</w:t>
      </w:r>
    </w:p>
    <w:p w14:paraId="424F8300" w14:textId="64A4FA84" w:rsidR="5F5AF01D" w:rsidRDefault="5F5AF01D" w:rsidP="5F5AF01D">
      <w:pPr>
        <w:pStyle w:val="Heading2"/>
      </w:pPr>
      <w:r w:rsidRPr="5F5AF01D">
        <w:rPr>
          <w:color w:val="794E1F"/>
        </w:rPr>
        <w:t>Opportunity hypotheses</w:t>
      </w:r>
    </w:p>
    <w:tbl>
      <w:tblPr>
        <w:tblStyle w:val="TableGrid"/>
        <w:tblW w:w="0" w:type="auto"/>
        <w:tblLook w:val="0000" w:firstRow="0" w:lastRow="0" w:firstColumn="0" w:lastColumn="0" w:noHBand="0" w:noVBand="0"/>
      </w:tblPr>
      <w:tblGrid>
        <w:gridCol w:w="2955"/>
        <w:gridCol w:w="2963"/>
        <w:gridCol w:w="2938"/>
      </w:tblGrid>
      <w:tr w:rsidR="5F5AF01D" w14:paraId="63FC18BD" w14:textId="77777777" w:rsidTr="5F5AF01D">
        <w:tc>
          <w:tcPr>
            <w:tcW w:w="3120" w:type="dxa"/>
          </w:tcPr>
          <w:p w14:paraId="3B58E239" w14:textId="01614A6A" w:rsidR="5F5AF01D" w:rsidRDefault="5F5AF01D">
            <w:r w:rsidRPr="5F5AF01D">
              <w:rPr>
                <w:b/>
                <w:bCs/>
                <w:color w:val="794E1F"/>
              </w:rPr>
              <w:t>Hypothesis</w:t>
            </w:r>
          </w:p>
        </w:tc>
        <w:tc>
          <w:tcPr>
            <w:tcW w:w="3120" w:type="dxa"/>
          </w:tcPr>
          <w:p w14:paraId="7C393643" w14:textId="7A3F312E" w:rsidR="5F5AF01D" w:rsidRDefault="5F5AF01D">
            <w:r w:rsidRPr="5F5AF01D">
              <w:rPr>
                <w:b/>
                <w:bCs/>
                <w:color w:val="794E1F"/>
              </w:rPr>
              <w:t>Public evidence</w:t>
            </w:r>
          </w:p>
        </w:tc>
        <w:tc>
          <w:tcPr>
            <w:tcW w:w="3120" w:type="dxa"/>
          </w:tcPr>
          <w:p w14:paraId="24B4CBCE" w14:textId="731D17F2" w:rsidR="5F5AF01D" w:rsidRDefault="5F5AF01D">
            <w:r w:rsidRPr="5F5AF01D">
              <w:rPr>
                <w:b/>
                <w:bCs/>
                <w:color w:val="794E1F"/>
              </w:rPr>
              <w:t>How to test it</w:t>
            </w:r>
          </w:p>
        </w:tc>
      </w:tr>
      <w:tr w:rsidR="5F5AF01D" w14:paraId="7F1D4EBB" w14:textId="77777777" w:rsidTr="5F5AF01D">
        <w:tc>
          <w:tcPr>
            <w:tcW w:w="3120" w:type="dxa"/>
          </w:tcPr>
          <w:p w14:paraId="3F257E4F" w14:textId="0A327867" w:rsidR="5F5AF01D" w:rsidRDefault="5F5AF01D">
            <w:r>
              <w:t>BTIG integration work — platform, data and operating-model consolidation for the new capital markets business</w:t>
            </w:r>
          </w:p>
        </w:tc>
        <w:tc>
          <w:tcPr>
            <w:tcW w:w="3120" w:type="dxa"/>
          </w:tcPr>
          <w:p w14:paraId="1AF6E91E" w14:textId="03105F2B" w:rsidR="5F5AF01D" w:rsidRDefault="5F5AF01D">
            <w:r>
              <w:t>BTIG joined 1 June 2026 with equity sales and trading, ECM, electronic trading and M&amp;A advisory; contributed roughly $98 million fee revenue and $84 million expense in Q2</w:t>
            </w:r>
          </w:p>
        </w:tc>
        <w:tc>
          <w:tcPr>
            <w:tcW w:w="3120" w:type="dxa"/>
          </w:tcPr>
          <w:p w14:paraId="6CEC9C14" w14:textId="7BEE45EF" w:rsidR="5F5AF01D" w:rsidRDefault="5F5AF01D">
            <w:r>
              <w:t>Ask who owns the integration programme and what the first-year milestones are</w:t>
            </w:r>
          </w:p>
        </w:tc>
      </w:tr>
      <w:tr w:rsidR="5F5AF01D" w14:paraId="6F691F7C" w14:textId="77777777" w:rsidTr="5F5AF01D">
        <w:tc>
          <w:tcPr>
            <w:tcW w:w="3120" w:type="dxa"/>
          </w:tcPr>
          <w:p w14:paraId="4E1E4DCD" w14:textId="1303A664" w:rsidR="5F5AF01D" w:rsidRDefault="5F5AF01D">
            <w:r>
              <w:t>AI-led automation in operations</w:t>
            </w:r>
          </w:p>
        </w:tc>
        <w:tc>
          <w:tcPr>
            <w:tcW w:w="3120" w:type="dxa"/>
          </w:tcPr>
          <w:p w14:paraId="63C7F5B3" w14:textId="0BE18D28" w:rsidR="5F5AF01D" w:rsidRDefault="5F5AF01D">
            <w:r>
              <w:t>CFO John Stern named AI automation, real estate footprint and organisational simplicity as the three sources of the savings that fund growth</w:t>
            </w:r>
          </w:p>
        </w:tc>
        <w:tc>
          <w:tcPr>
            <w:tcW w:w="3120" w:type="dxa"/>
          </w:tcPr>
          <w:p w14:paraId="76303AA7" w14:textId="04BF73EC" w:rsidR="5F5AF01D" w:rsidRDefault="5F5AF01D">
            <w:r>
              <w:t>Ask which processes are already automated and where the savings target still has a gap</w:t>
            </w:r>
          </w:p>
        </w:tc>
      </w:tr>
      <w:tr w:rsidR="5F5AF01D" w14:paraId="6EA97B03" w14:textId="77777777" w:rsidTr="5F5AF01D">
        <w:tc>
          <w:tcPr>
            <w:tcW w:w="3120" w:type="dxa"/>
          </w:tcPr>
          <w:p w14:paraId="39FBE4C0" w14:textId="1BD4D461" w:rsidR="5F5AF01D" w:rsidRDefault="5F5AF01D">
            <w:r>
              <w:t>Cross-sell and relationship depth</w:t>
            </w:r>
          </w:p>
        </w:tc>
        <w:tc>
          <w:tcPr>
            <w:tcW w:w="3120" w:type="dxa"/>
          </w:tcPr>
          <w:p w14:paraId="7EDE4ED3" w14:textId="14B2BB25" w:rsidR="5F5AF01D" w:rsidRDefault="5F5AF01D">
            <w:r>
              <w:t>Only about 41 percent of roughly 15 million clients hold more than one product, up from 36 percent five years ago; the bank sees the largest headroom in fee-based products</w:t>
            </w:r>
          </w:p>
        </w:tc>
        <w:tc>
          <w:tcPr>
            <w:tcW w:w="3120" w:type="dxa"/>
          </w:tcPr>
          <w:p w14:paraId="5F8D5D93" w14:textId="0D90A1E9" w:rsidR="5F5AF01D" w:rsidRDefault="5F5AF01D">
            <w:r>
              <w:t>Ask how they measure product density today and what blocks the next point of it</w:t>
            </w:r>
          </w:p>
        </w:tc>
      </w:tr>
      <w:tr w:rsidR="5F5AF01D" w14:paraId="64E8A2B0" w14:textId="77777777" w:rsidTr="5F5AF01D">
        <w:tc>
          <w:tcPr>
            <w:tcW w:w="3120" w:type="dxa"/>
          </w:tcPr>
          <w:p w14:paraId="1D2BC623" w14:textId="24A6025E" w:rsidR="5F5AF01D" w:rsidRDefault="5F5AF01D">
            <w:r>
              <w:t>Merchant platform expansion</w:t>
            </w:r>
          </w:p>
        </w:tc>
        <w:tc>
          <w:tcPr>
            <w:tcW w:w="3120" w:type="dxa"/>
          </w:tcPr>
          <w:p w14:paraId="4BB930DA" w14:textId="1D83E922" w:rsidR="5F5AF01D" w:rsidRDefault="5F5AF01D">
            <w:r>
              <w:t>Elavon's All-In-One platform expanded across North America with a growing technology-partner ecosystem in hospitality, healthcare and retail</w:t>
            </w:r>
          </w:p>
        </w:tc>
        <w:tc>
          <w:tcPr>
            <w:tcW w:w="3120" w:type="dxa"/>
          </w:tcPr>
          <w:p w14:paraId="4A765B27" w14:textId="1661CFE6" w:rsidR="5F5AF01D" w:rsidRDefault="5F5AF01D">
            <w:r>
              <w:t>Ask where the partner ecosystem has coverage gaps by vertical</w:t>
            </w:r>
          </w:p>
        </w:tc>
      </w:tr>
      <w:tr w:rsidR="5F5AF01D" w14:paraId="1E6E4AB3" w14:textId="77777777" w:rsidTr="5F5AF01D">
        <w:tc>
          <w:tcPr>
            <w:tcW w:w="3120" w:type="dxa"/>
          </w:tcPr>
          <w:p w14:paraId="517AD91F" w14:textId="2D77305B" w:rsidR="5F5AF01D" w:rsidRDefault="5F5AF01D">
            <w:r>
              <w:t>Card issuing growth and affluent product mix</w:t>
            </w:r>
          </w:p>
        </w:tc>
        <w:tc>
          <w:tcPr>
            <w:tcW w:w="3120" w:type="dxa"/>
          </w:tcPr>
          <w:p w14:paraId="384E7782" w14:textId="2655171F" w:rsidR="5F5AF01D" w:rsidRDefault="5F5AF01D">
            <w:r>
              <w:t>Card loans of nearly $42 billion; about 40 percent card penetration in the consumer unit; stated intent to build brand, acquire clients and launch products aimed at affluent customers</w:t>
            </w:r>
          </w:p>
        </w:tc>
        <w:tc>
          <w:tcPr>
            <w:tcW w:w="3120" w:type="dxa"/>
          </w:tcPr>
          <w:p w14:paraId="2D50DFBF" w14:textId="1F32FDE3" w:rsidR="5F5AF01D" w:rsidRDefault="5F5AF01D">
            <w:r>
              <w:t>Ask what the new product roadmap needs that they do not build themselves</w:t>
            </w:r>
          </w:p>
        </w:tc>
      </w:tr>
    </w:tbl>
    <w:p w14:paraId="43066E20" w14:textId="12E752B9" w:rsidR="5F5AF01D" w:rsidRDefault="5F5AF01D" w:rsidP="5F5AF01D">
      <w:pPr>
        <w:pStyle w:val="Heading2"/>
      </w:pPr>
      <w:r w:rsidRPr="5F5AF01D">
        <w:rPr>
          <w:color w:val="794E1F"/>
        </w:rPr>
        <w:t>Risks</w:t>
      </w:r>
    </w:p>
    <w:tbl>
      <w:tblPr>
        <w:tblStyle w:val="TableGrid"/>
        <w:tblW w:w="0" w:type="auto"/>
        <w:tblLook w:val="0000" w:firstRow="0" w:lastRow="0" w:firstColumn="0" w:lastColumn="0" w:noHBand="0" w:noVBand="0"/>
      </w:tblPr>
      <w:tblGrid>
        <w:gridCol w:w="2970"/>
        <w:gridCol w:w="2937"/>
        <w:gridCol w:w="2949"/>
      </w:tblGrid>
      <w:tr w:rsidR="5F5AF01D" w14:paraId="15F93265" w14:textId="77777777" w:rsidTr="5F5AF01D">
        <w:tc>
          <w:tcPr>
            <w:tcW w:w="3120" w:type="dxa"/>
          </w:tcPr>
          <w:p w14:paraId="6EB42580" w14:textId="463BA591" w:rsidR="5F5AF01D" w:rsidRDefault="5F5AF01D">
            <w:r w:rsidRPr="5F5AF01D">
              <w:rPr>
                <w:b/>
                <w:bCs/>
                <w:color w:val="794E1F"/>
              </w:rPr>
              <w:t>Risk</w:t>
            </w:r>
          </w:p>
        </w:tc>
        <w:tc>
          <w:tcPr>
            <w:tcW w:w="3120" w:type="dxa"/>
          </w:tcPr>
          <w:p w14:paraId="38D866E1" w14:textId="3F198C55" w:rsidR="5F5AF01D" w:rsidRDefault="5F5AF01D">
            <w:r w:rsidRPr="5F5AF01D">
              <w:rPr>
                <w:b/>
                <w:bCs/>
                <w:color w:val="794E1F"/>
              </w:rPr>
              <w:t>Basis</w:t>
            </w:r>
          </w:p>
        </w:tc>
        <w:tc>
          <w:tcPr>
            <w:tcW w:w="3120" w:type="dxa"/>
          </w:tcPr>
          <w:p w14:paraId="11931923" w14:textId="37F77319" w:rsidR="5F5AF01D" w:rsidRDefault="5F5AF01D">
            <w:r w:rsidRPr="5F5AF01D">
              <w:rPr>
                <w:b/>
                <w:bCs/>
                <w:color w:val="794E1F"/>
              </w:rPr>
              <w:t>Mitigation</w:t>
            </w:r>
          </w:p>
        </w:tc>
      </w:tr>
      <w:tr w:rsidR="5F5AF01D" w14:paraId="554B0F27" w14:textId="77777777" w:rsidTr="5F5AF01D">
        <w:tc>
          <w:tcPr>
            <w:tcW w:w="3120" w:type="dxa"/>
          </w:tcPr>
          <w:p w14:paraId="1821E349" w14:textId="4F0CD38E" w:rsidR="5F5AF01D" w:rsidRDefault="5F5AF01D">
            <w:r>
              <w:t>No relationship of record</w:t>
            </w:r>
          </w:p>
        </w:tc>
        <w:tc>
          <w:tcPr>
            <w:tcW w:w="3120" w:type="dxa"/>
          </w:tcPr>
          <w:p w14:paraId="2FF1B3DC" w14:textId="47EABA52" w:rsidR="5F5AF01D" w:rsidRDefault="5F5AF01D">
            <w:r>
              <w:t>Nothing in your mail, chats, calendar or files evidences contact with this account</w:t>
            </w:r>
          </w:p>
        </w:tc>
        <w:tc>
          <w:tcPr>
            <w:tcW w:w="3120" w:type="dxa"/>
          </w:tcPr>
          <w:p w14:paraId="34589F8E" w14:textId="40C8A116" w:rsidR="5F5AF01D" w:rsidRDefault="5F5AF01D">
            <w:r>
              <w:t>Treat the first 30 days as pure discovery; do not price or propose before a live conversation exists</w:t>
            </w:r>
          </w:p>
        </w:tc>
      </w:tr>
      <w:tr w:rsidR="5F5AF01D" w14:paraId="249480B7" w14:textId="77777777" w:rsidTr="5F5AF01D">
        <w:tc>
          <w:tcPr>
            <w:tcW w:w="3120" w:type="dxa"/>
          </w:tcPr>
          <w:p w14:paraId="12504DA4" w14:textId="57DE018B" w:rsidR="5F5AF01D" w:rsidRDefault="5F5AF01D">
            <w:r>
              <w:t>Expense discipline cuts both ways</w:t>
            </w:r>
          </w:p>
        </w:tc>
        <w:tc>
          <w:tcPr>
            <w:tcW w:w="3120" w:type="dxa"/>
          </w:tcPr>
          <w:p w14:paraId="194FDAB3" w14:textId="50BBE84F" w:rsidR="5F5AF01D" w:rsidRDefault="5F5AF01D">
            <w:r>
              <w:t>Six consecutive quarters of stable expenses and a 5 percent year-over-year decline in noninterest expense to $4.2 billion in Q1 2025</w:t>
            </w:r>
          </w:p>
        </w:tc>
        <w:tc>
          <w:tcPr>
            <w:tcW w:w="3120" w:type="dxa"/>
          </w:tcPr>
          <w:p w14:paraId="514804AC" w14:textId="4999CF13" w:rsidR="5F5AF01D" w:rsidRDefault="5F5AF01D">
            <w:r>
              <w:t>Frame every proposal as self-funding within the savings envelope the CFO described, not as incremental spend</w:t>
            </w:r>
          </w:p>
        </w:tc>
      </w:tr>
      <w:tr w:rsidR="5F5AF01D" w14:paraId="7B3EFAD5" w14:textId="77777777" w:rsidTr="5F5AF01D">
        <w:tc>
          <w:tcPr>
            <w:tcW w:w="3120" w:type="dxa"/>
          </w:tcPr>
          <w:p w14:paraId="51B2E2FA" w14:textId="60AF2F88" w:rsidR="5F5AF01D" w:rsidRDefault="5F5AF01D">
            <w:r>
              <w:t>Attention is absorbed by BTIG</w:t>
            </w:r>
          </w:p>
        </w:tc>
        <w:tc>
          <w:tcPr>
            <w:tcW w:w="3120" w:type="dxa"/>
          </w:tcPr>
          <w:p w14:paraId="7E0C2931" w14:textId="598D164C" w:rsidR="5F5AF01D" w:rsidRDefault="5F5AF01D">
            <w:r>
              <w:t>The acquisition closed 1 June 2026 and is the company's largest live integration</w:t>
            </w:r>
          </w:p>
        </w:tc>
        <w:tc>
          <w:tcPr>
            <w:tcW w:w="3120" w:type="dxa"/>
          </w:tcPr>
          <w:p w14:paraId="38762D2A" w14:textId="526AFD10" w:rsidR="5F5AF01D" w:rsidRDefault="5F5AF01D">
            <w:r>
              <w:t>Position work as accelerating the integration rather than competing with it for management attention</w:t>
            </w:r>
          </w:p>
        </w:tc>
      </w:tr>
      <w:tr w:rsidR="5F5AF01D" w14:paraId="3043384B" w14:textId="77777777" w:rsidTr="5F5AF01D">
        <w:tc>
          <w:tcPr>
            <w:tcW w:w="3120" w:type="dxa"/>
          </w:tcPr>
          <w:p w14:paraId="60C542AA" w14:textId="69805D85" w:rsidR="5F5AF01D" w:rsidRDefault="5F5AF01D">
            <w:r>
              <w:t>Merchant transformation is explicitly slow</w:t>
            </w:r>
          </w:p>
        </w:tc>
        <w:tc>
          <w:tcPr>
            <w:tcW w:w="3120" w:type="dxa"/>
          </w:tcPr>
          <w:p w14:paraId="1D7496F4" w14:textId="625E4449" w:rsidR="5F5AF01D" w:rsidRDefault="5F5AF01D">
            <w:r>
              <w:t>Kedia described the shift from commodity acquiring to a software-led business as a slow process, with deliberate exits from high-volume low-revenue business</w:t>
            </w:r>
          </w:p>
        </w:tc>
        <w:tc>
          <w:tcPr>
            <w:tcW w:w="3120" w:type="dxa"/>
          </w:tcPr>
          <w:p w14:paraId="430D1430" w14:textId="5B3C2B0D" w:rsidR="5F5AF01D" w:rsidRDefault="5F5AF01D">
            <w:r>
              <w:t>Set multi-quarter expectations in that area; do not build a plan that assumes a fast merchant decision</w:t>
            </w:r>
          </w:p>
        </w:tc>
      </w:tr>
      <w:tr w:rsidR="5F5AF01D" w14:paraId="72E9F71D" w14:textId="77777777" w:rsidTr="5F5AF01D">
        <w:tc>
          <w:tcPr>
            <w:tcW w:w="3120" w:type="dxa"/>
          </w:tcPr>
          <w:p w14:paraId="3857643F" w14:textId="72518B82" w:rsidR="5F5AF01D" w:rsidRDefault="5F5AF01D">
            <w:r>
              <w:t>Board-level technology scrutiny</w:t>
            </w:r>
          </w:p>
        </w:tc>
        <w:tc>
          <w:tcPr>
            <w:tcW w:w="3120" w:type="dxa"/>
          </w:tcPr>
          <w:p w14:paraId="30D60F4D" w14:textId="6B2F7246" w:rsidR="5F5AF01D" w:rsidRDefault="5F5AF01D">
            <w:r>
              <w:t>A new board Technology Committee appears in the 2026 proxy</w:t>
            </w:r>
          </w:p>
        </w:tc>
        <w:tc>
          <w:tcPr>
            <w:tcW w:w="3120" w:type="dxa"/>
          </w:tcPr>
          <w:p w14:paraId="745C315B" w14:textId="640D590A" w:rsidR="5F5AF01D" w:rsidRDefault="5F5AF01D">
            <w:r>
              <w:t>Expect longer approval paths and prepare governance, security and risk material before it is requested</w:t>
            </w:r>
          </w:p>
        </w:tc>
      </w:tr>
    </w:tbl>
    <w:p w14:paraId="1C03E493" w14:textId="248BF688" w:rsidR="5F5AF01D" w:rsidRDefault="5F5AF01D" w:rsidP="5F5AF01D">
      <w:pPr>
        <w:pStyle w:val="Heading1"/>
      </w:pPr>
      <w:r w:rsidRPr="5F5AF01D">
        <w:rPr>
          <w:color w:val="794E1F"/>
        </w:rPr>
        <w:t>Competitive landscape</w:t>
      </w:r>
    </w:p>
    <w:p w14:paraId="6E850420" w14:textId="1018AAB3" w:rsidR="5F5AF01D" w:rsidRDefault="5F5AF01D">
      <w:r>
        <w:t>U.S. Bancorp sits in the super-regional tier, competing on two fronts at once. Above it are the money-centre institutions — JPMorgan Chase, Bank of America, Wells Fargo and Citigroup — whose scale sets the benchmark for technology investment. Alongside it are the mid-tier regionals it is most often compared against in peer analysis: PNC Financial, Truist and Fifth Third.</w:t>
      </w:r>
    </w:p>
    <w:p w14:paraId="3BBF839B" w14:textId="5767E699" w:rsidR="5F5AF01D" w:rsidRDefault="5F5AF01D">
      <w:r>
        <w:t>The bank's own positioning is more specific than the peer set suggests, and it is the more useful frame for a conversation. In cards, Kedia described U.S. Bank as sitting deliberately between the larger banks chasing super-prime customers and the specialty players serving subprime, with a traditional focus on non-discretionary, high-affluent spending. In merchant acquiring, she argued the business carries a profit margin roughly 10 to 15 points higher than most competition, with lower growth as the acknowledged trade-off. The stated gap to close is fee growth, which she put at about 100 basis points below the industry, and the new product programme is aimed squarely at it.</w:t>
      </w:r>
    </w:p>
    <w:p w14:paraId="1CC55334" w14:textId="3B59D7F0" w:rsidR="5F5AF01D" w:rsidRDefault="5F5AF01D">
      <w:r>
        <w:t>Two assets have no clean analogue at a similar-sized peer and are worth treating as the account's defensible ground: Elavon, the wholly owned merchant services and payment processing subsidiary, and Elan, which manages credit card programmes for roughly 1,400 banks and credit unions. Payments overall accounts for about 25 percent of company revenue, with card issuing the majority of that and the merchant business about 6 percent.</w:t>
      </w:r>
    </w:p>
    <w:p w14:paraId="5CE15D3C" w14:textId="60D128C4" w:rsidR="5F5AF01D" w:rsidRDefault="5F5AF01D" w:rsidP="5F5AF01D">
      <w:pPr>
        <w:pStyle w:val="Heading1"/>
      </w:pPr>
      <w:r w:rsidRPr="5F5AF01D">
        <w:rPr>
          <w:color w:val="794E1F"/>
        </w:rPr>
        <w:t>90-day action plan</w:t>
      </w:r>
    </w:p>
    <w:p w14:paraId="33F942F4" w14:textId="66398891" w:rsidR="5F5AF01D" w:rsidRDefault="5F5AF01D">
      <w:r>
        <w:t>The plan below is sequenced for a standing start. Because there is no relationship of record, the first month buys information rather than pursuing a deal, and nothing is proposed until a named contact has confirmed a problem worth solving. Dates are counted from 3 September 2026.</w:t>
      </w:r>
    </w:p>
    <w:p w14:paraId="20EDC294" w14:textId="7DF53DEA" w:rsidR="5F5AF01D" w:rsidRDefault="5F5AF01D" w:rsidP="5F5AF01D">
      <w:pPr>
        <w:pStyle w:val="Heading2"/>
      </w:pPr>
      <w:r w:rsidRPr="5F5AF01D">
        <w:rPr>
          <w:color w:val="794E1F"/>
        </w:rPr>
        <w:t>Days 1–30: establish the relationship</w:t>
      </w:r>
    </w:p>
    <w:tbl>
      <w:tblPr>
        <w:tblStyle w:val="TableGrid"/>
        <w:tblW w:w="0" w:type="auto"/>
        <w:tblLook w:val="0000" w:firstRow="0" w:lastRow="0" w:firstColumn="0" w:lastColumn="0" w:noHBand="0" w:noVBand="0"/>
      </w:tblPr>
      <w:tblGrid>
        <w:gridCol w:w="2974"/>
        <w:gridCol w:w="2926"/>
        <w:gridCol w:w="2956"/>
      </w:tblGrid>
      <w:tr w:rsidR="5F5AF01D" w14:paraId="5CDA9B3F" w14:textId="77777777" w:rsidTr="5F5AF01D">
        <w:tc>
          <w:tcPr>
            <w:tcW w:w="3120" w:type="dxa"/>
          </w:tcPr>
          <w:p w14:paraId="76FF1996" w14:textId="676B828C" w:rsidR="5F5AF01D" w:rsidRDefault="5F5AF01D">
            <w:r w:rsidRPr="5F5AF01D">
              <w:rPr>
                <w:b/>
                <w:bCs/>
                <w:color w:val="794E1F"/>
              </w:rPr>
              <w:t>Action</w:t>
            </w:r>
          </w:p>
        </w:tc>
        <w:tc>
          <w:tcPr>
            <w:tcW w:w="3120" w:type="dxa"/>
          </w:tcPr>
          <w:p w14:paraId="63FB00DB" w14:textId="60496950" w:rsidR="5F5AF01D" w:rsidRDefault="5F5AF01D">
            <w:r w:rsidRPr="5F5AF01D">
              <w:rPr>
                <w:b/>
                <w:bCs/>
                <w:color w:val="794E1F"/>
              </w:rPr>
              <w:t>Owner</w:t>
            </w:r>
          </w:p>
        </w:tc>
        <w:tc>
          <w:tcPr>
            <w:tcW w:w="3120" w:type="dxa"/>
          </w:tcPr>
          <w:p w14:paraId="5A1CE4C8" w14:textId="59275014" w:rsidR="5F5AF01D" w:rsidRDefault="5F5AF01D">
            <w:r w:rsidRPr="5F5AF01D">
              <w:rPr>
                <w:b/>
                <w:bCs/>
                <w:color w:val="794E1F"/>
              </w:rPr>
              <w:t>Due</w:t>
            </w:r>
          </w:p>
        </w:tc>
      </w:tr>
      <w:tr w:rsidR="5F5AF01D" w14:paraId="2DC55B45" w14:textId="77777777" w:rsidTr="5F5AF01D">
        <w:tc>
          <w:tcPr>
            <w:tcW w:w="3120" w:type="dxa"/>
          </w:tcPr>
          <w:p w14:paraId="1E7F354D" w14:textId="703CB089" w:rsidR="5F5AF01D" w:rsidRDefault="5F5AF01D">
            <w:r>
              <w:t>Confirm internally whether How2Demos has any prior U.S. Bank history outside your own mailbox — CRM, colleagues, past statements of work</w:t>
            </w:r>
          </w:p>
        </w:tc>
        <w:tc>
          <w:tcPr>
            <w:tcW w:w="3120" w:type="dxa"/>
          </w:tcPr>
          <w:p w14:paraId="5291578D" w14:textId="691A974D" w:rsidR="5F5AF01D" w:rsidRDefault="5F5AF01D">
            <w:r>
              <w:t>Bojan Buhac</w:t>
            </w:r>
          </w:p>
        </w:tc>
        <w:tc>
          <w:tcPr>
            <w:tcW w:w="3120" w:type="dxa"/>
          </w:tcPr>
          <w:p w14:paraId="5C276314" w14:textId="61F87E11" w:rsidR="5F5AF01D" w:rsidRDefault="5F5AF01D">
            <w:r>
              <w:t>10 September 2026</w:t>
            </w:r>
          </w:p>
        </w:tc>
      </w:tr>
      <w:tr w:rsidR="5F5AF01D" w14:paraId="68C332F2" w14:textId="77777777" w:rsidTr="5F5AF01D">
        <w:tc>
          <w:tcPr>
            <w:tcW w:w="3120" w:type="dxa"/>
          </w:tcPr>
          <w:p w14:paraId="4ECC5E09" w14:textId="790DDE86" w:rsidR="5F5AF01D" w:rsidRDefault="5F5AF01D">
            <w:r>
              <w:t>Complete the coverage table in the relationship map, naming a target contact for each of the five buying centres</w:t>
            </w:r>
          </w:p>
        </w:tc>
        <w:tc>
          <w:tcPr>
            <w:tcW w:w="3120" w:type="dxa"/>
          </w:tcPr>
          <w:p w14:paraId="1D7A541C" w14:textId="71EBC54A" w:rsidR="5F5AF01D" w:rsidRDefault="5F5AF01D">
            <w:r>
              <w:t>Bojan Buhac</w:t>
            </w:r>
          </w:p>
        </w:tc>
        <w:tc>
          <w:tcPr>
            <w:tcW w:w="3120" w:type="dxa"/>
          </w:tcPr>
          <w:p w14:paraId="6F48A603" w14:textId="6AC9AC0E" w:rsidR="5F5AF01D" w:rsidRDefault="5F5AF01D">
            <w:r>
              <w:t>17 September 2026</w:t>
            </w:r>
          </w:p>
        </w:tc>
      </w:tr>
      <w:tr w:rsidR="5F5AF01D" w14:paraId="1B8867B4" w14:textId="77777777" w:rsidTr="5F5AF01D">
        <w:tc>
          <w:tcPr>
            <w:tcW w:w="3120" w:type="dxa"/>
          </w:tcPr>
          <w:p w14:paraId="4F157D61" w14:textId="01DF0C83" w:rsidR="5F5AF01D" w:rsidRDefault="5F5AF01D">
            <w:r>
              <w:t>Read the Q2 2026 earnings supplement and call transcript in full, and extract the specific language used about technology spend</w:t>
            </w:r>
          </w:p>
        </w:tc>
        <w:tc>
          <w:tcPr>
            <w:tcW w:w="3120" w:type="dxa"/>
          </w:tcPr>
          <w:p w14:paraId="4BD9FF0C" w14:textId="7ABCF347" w:rsidR="5F5AF01D" w:rsidRDefault="5F5AF01D">
            <w:r>
              <w:t>Bojan Buhac</w:t>
            </w:r>
          </w:p>
        </w:tc>
        <w:tc>
          <w:tcPr>
            <w:tcW w:w="3120" w:type="dxa"/>
          </w:tcPr>
          <w:p w14:paraId="276E3680" w14:textId="739ADA0B" w:rsidR="5F5AF01D" w:rsidRDefault="5F5AF01D">
            <w:r>
              <w:t>17 September 2026</w:t>
            </w:r>
          </w:p>
        </w:tc>
      </w:tr>
      <w:tr w:rsidR="5F5AF01D" w14:paraId="3F54179A" w14:textId="77777777" w:rsidTr="5F5AF01D">
        <w:tc>
          <w:tcPr>
            <w:tcW w:w="3120" w:type="dxa"/>
          </w:tcPr>
          <w:p w14:paraId="5E7A02B3" w14:textId="0AB03A80" w:rsidR="5F5AF01D" w:rsidRDefault="5F5AF01D">
            <w:r>
              <w:t>Secure one introductory conversation in payments or capital markets integration</w:t>
            </w:r>
          </w:p>
        </w:tc>
        <w:tc>
          <w:tcPr>
            <w:tcW w:w="3120" w:type="dxa"/>
          </w:tcPr>
          <w:p w14:paraId="7F0EF5CF" w14:textId="038E2144" w:rsidR="5F5AF01D" w:rsidRDefault="5F5AF01D">
            <w:r>
              <w:t>Bojan Buhac</w:t>
            </w:r>
          </w:p>
        </w:tc>
        <w:tc>
          <w:tcPr>
            <w:tcW w:w="3120" w:type="dxa"/>
          </w:tcPr>
          <w:p w14:paraId="16C6A9F0" w14:textId="7C6C0808" w:rsidR="5F5AF01D" w:rsidRDefault="5F5AF01D">
            <w:r>
              <w:t>26 September 2026</w:t>
            </w:r>
          </w:p>
        </w:tc>
      </w:tr>
      <w:tr w:rsidR="5F5AF01D" w14:paraId="6CDB022C" w14:textId="77777777" w:rsidTr="5F5AF01D">
        <w:tc>
          <w:tcPr>
            <w:tcW w:w="3120" w:type="dxa"/>
          </w:tcPr>
          <w:p w14:paraId="79C77F97" w14:textId="1381687D" w:rsidR="5F5AF01D" w:rsidRDefault="5F5AF01D">
            <w:r>
              <w:t>Test the five opportunity hypotheses in that conversation and record which survive</w:t>
            </w:r>
          </w:p>
        </w:tc>
        <w:tc>
          <w:tcPr>
            <w:tcW w:w="3120" w:type="dxa"/>
          </w:tcPr>
          <w:p w14:paraId="12CE5C1B" w14:textId="0C5F4F41" w:rsidR="5F5AF01D" w:rsidRDefault="5F5AF01D">
            <w:r>
              <w:t>Bojan Buhac</w:t>
            </w:r>
          </w:p>
        </w:tc>
        <w:tc>
          <w:tcPr>
            <w:tcW w:w="3120" w:type="dxa"/>
          </w:tcPr>
          <w:p w14:paraId="59738754" w14:textId="053D3605" w:rsidR="5F5AF01D" w:rsidRDefault="5F5AF01D">
            <w:r>
              <w:t>3 October 2026</w:t>
            </w:r>
          </w:p>
        </w:tc>
      </w:tr>
    </w:tbl>
    <w:p w14:paraId="4A8C5147" w14:textId="3C7959EB" w:rsidR="5F5AF01D" w:rsidRDefault="5F5AF01D" w:rsidP="5F5AF01D">
      <w:pPr>
        <w:pStyle w:val="Heading2"/>
      </w:pPr>
      <w:r w:rsidRPr="5F5AF01D">
        <w:rPr>
          <w:color w:val="794E1F"/>
        </w:rPr>
        <w:t>Days 31–60: qualify</w:t>
      </w:r>
    </w:p>
    <w:tbl>
      <w:tblPr>
        <w:tblStyle w:val="TableGrid"/>
        <w:tblW w:w="0" w:type="auto"/>
        <w:tblLook w:val="0000" w:firstRow="0" w:lastRow="0" w:firstColumn="0" w:lastColumn="0" w:noHBand="0" w:noVBand="0"/>
      </w:tblPr>
      <w:tblGrid>
        <w:gridCol w:w="2980"/>
        <w:gridCol w:w="2923"/>
        <w:gridCol w:w="2953"/>
      </w:tblGrid>
      <w:tr w:rsidR="5F5AF01D" w14:paraId="5E09E587" w14:textId="77777777" w:rsidTr="5F5AF01D">
        <w:tc>
          <w:tcPr>
            <w:tcW w:w="3120" w:type="dxa"/>
          </w:tcPr>
          <w:p w14:paraId="4FE19485" w14:textId="2C45DDB3" w:rsidR="5F5AF01D" w:rsidRDefault="5F5AF01D">
            <w:r>
              <w:t>Action</w:t>
            </w:r>
          </w:p>
        </w:tc>
        <w:tc>
          <w:tcPr>
            <w:tcW w:w="3120" w:type="dxa"/>
          </w:tcPr>
          <w:p w14:paraId="39190F9E" w14:textId="2523C477" w:rsidR="5F5AF01D" w:rsidRDefault="5F5AF01D">
            <w:r>
              <w:t>Owner</w:t>
            </w:r>
          </w:p>
        </w:tc>
        <w:tc>
          <w:tcPr>
            <w:tcW w:w="3120" w:type="dxa"/>
          </w:tcPr>
          <w:p w14:paraId="56653A2B" w14:textId="1E01AB3B" w:rsidR="5F5AF01D" w:rsidRDefault="5F5AF01D">
            <w:r>
              <w:t>Due</w:t>
            </w:r>
          </w:p>
        </w:tc>
      </w:tr>
      <w:tr w:rsidR="5F5AF01D" w14:paraId="712F843B" w14:textId="77777777" w:rsidTr="5F5AF01D">
        <w:tc>
          <w:tcPr>
            <w:tcW w:w="3120" w:type="dxa"/>
          </w:tcPr>
          <w:p w14:paraId="71921C6B" w14:textId="35170BB0" w:rsidR="5F5AF01D" w:rsidRDefault="5F5AF01D">
            <w:r>
              <w:t>Convert the one or two surviving hypotheses into a written point of view, framed against the expense-funded growth model the CFO described</w:t>
            </w:r>
          </w:p>
        </w:tc>
        <w:tc>
          <w:tcPr>
            <w:tcW w:w="3120" w:type="dxa"/>
          </w:tcPr>
          <w:p w14:paraId="44D5C23A" w14:textId="2DF4F274" w:rsidR="5F5AF01D" w:rsidRDefault="5F5AF01D">
            <w:r>
              <w:t>Bojan Buhac</w:t>
            </w:r>
          </w:p>
        </w:tc>
        <w:tc>
          <w:tcPr>
            <w:tcW w:w="3120" w:type="dxa"/>
          </w:tcPr>
          <w:p w14:paraId="361A5951" w14:textId="26D2D938" w:rsidR="5F5AF01D" w:rsidRDefault="5F5AF01D">
            <w:r>
              <w:t>17 October 2026</w:t>
            </w:r>
          </w:p>
        </w:tc>
      </w:tr>
      <w:tr w:rsidR="5F5AF01D" w14:paraId="68F98D24" w14:textId="77777777" w:rsidTr="5F5AF01D">
        <w:tc>
          <w:tcPr>
            <w:tcW w:w="3120" w:type="dxa"/>
          </w:tcPr>
          <w:p w14:paraId="373CF7D5" w14:textId="3DE839AD" w:rsidR="5F5AF01D" w:rsidRDefault="5F5AF01D">
            <w:r>
              <w:t>Map the approval path, including whether the new board Technology Committee is in scope for the size of engagement contemplated</w:t>
            </w:r>
          </w:p>
        </w:tc>
        <w:tc>
          <w:tcPr>
            <w:tcW w:w="3120" w:type="dxa"/>
          </w:tcPr>
          <w:p w14:paraId="5C02F257" w14:textId="36C62071" w:rsidR="5F5AF01D" w:rsidRDefault="5F5AF01D">
            <w:r>
              <w:t>Bojan Buhac</w:t>
            </w:r>
          </w:p>
        </w:tc>
        <w:tc>
          <w:tcPr>
            <w:tcW w:w="3120" w:type="dxa"/>
          </w:tcPr>
          <w:p w14:paraId="3C772E84" w14:textId="2FA40735" w:rsidR="5F5AF01D" w:rsidRDefault="5F5AF01D">
            <w:r>
              <w:t>24 October 2026</w:t>
            </w:r>
          </w:p>
        </w:tc>
      </w:tr>
      <w:tr w:rsidR="5F5AF01D" w14:paraId="570FF82C" w14:textId="77777777" w:rsidTr="5F5AF01D">
        <w:tc>
          <w:tcPr>
            <w:tcW w:w="3120" w:type="dxa"/>
          </w:tcPr>
          <w:p w14:paraId="2F705B57" w14:textId="46B967AA" w:rsidR="5F5AF01D" w:rsidRDefault="5F5AF01D">
            <w:r>
              <w:t>Prepare governance, security and risk material in advance of it being asked for</w:t>
            </w:r>
          </w:p>
        </w:tc>
        <w:tc>
          <w:tcPr>
            <w:tcW w:w="3120" w:type="dxa"/>
          </w:tcPr>
          <w:p w14:paraId="6B635A9C" w14:textId="3F974E6E" w:rsidR="5F5AF01D" w:rsidRDefault="5F5AF01D">
            <w:r>
              <w:t>Bojan Buhac</w:t>
            </w:r>
          </w:p>
        </w:tc>
        <w:tc>
          <w:tcPr>
            <w:tcW w:w="3120" w:type="dxa"/>
          </w:tcPr>
          <w:p w14:paraId="244F767E" w14:textId="38753532" w:rsidR="5F5AF01D" w:rsidRDefault="5F5AF01D">
            <w:r>
              <w:t>31 October 2026</w:t>
            </w:r>
          </w:p>
        </w:tc>
      </w:tr>
      <w:tr w:rsidR="5F5AF01D" w14:paraId="26C69887" w14:textId="77777777" w:rsidTr="5F5AF01D">
        <w:tc>
          <w:tcPr>
            <w:tcW w:w="3120" w:type="dxa"/>
          </w:tcPr>
          <w:p w14:paraId="1D1AE3FB" w14:textId="4F8A95A7" w:rsidR="5F5AF01D" w:rsidRDefault="5F5AF01D">
            <w:r>
              <w:t>Hold a second, working-level session to validate the point of view with the people who own the process</w:t>
            </w:r>
          </w:p>
        </w:tc>
        <w:tc>
          <w:tcPr>
            <w:tcW w:w="3120" w:type="dxa"/>
          </w:tcPr>
          <w:p w14:paraId="512BA17C" w14:textId="48687C6B" w:rsidR="5F5AF01D" w:rsidRDefault="5F5AF01D">
            <w:r>
              <w:t>Bojan Buhac</w:t>
            </w:r>
          </w:p>
        </w:tc>
        <w:tc>
          <w:tcPr>
            <w:tcW w:w="3120" w:type="dxa"/>
          </w:tcPr>
          <w:p w14:paraId="3FE8EEEE" w14:textId="4146632F" w:rsidR="5F5AF01D" w:rsidRDefault="5F5AF01D">
            <w:r>
              <w:t>2 November 2026</w:t>
            </w:r>
          </w:p>
        </w:tc>
      </w:tr>
    </w:tbl>
    <w:p w14:paraId="62F40D6D" w14:textId="7815CD17" w:rsidR="5F5AF01D" w:rsidRDefault="5F5AF01D" w:rsidP="5F5AF01D">
      <w:pPr>
        <w:pStyle w:val="Heading2"/>
      </w:pPr>
      <w:r w:rsidRPr="5F5AF01D">
        <w:rPr>
          <w:color w:val="794E1F"/>
        </w:rPr>
        <w:t>Days 61–90: propose</w:t>
      </w:r>
    </w:p>
    <w:tbl>
      <w:tblPr>
        <w:tblStyle w:val="TableGrid"/>
        <w:tblW w:w="0" w:type="auto"/>
        <w:tblLook w:val="0000" w:firstRow="0" w:lastRow="0" w:firstColumn="0" w:lastColumn="0" w:noHBand="0" w:noVBand="0"/>
      </w:tblPr>
      <w:tblGrid>
        <w:gridCol w:w="2974"/>
        <w:gridCol w:w="2926"/>
        <w:gridCol w:w="2956"/>
      </w:tblGrid>
      <w:tr w:rsidR="5F5AF01D" w14:paraId="40BE7F78" w14:textId="77777777" w:rsidTr="5F5AF01D">
        <w:tc>
          <w:tcPr>
            <w:tcW w:w="3120" w:type="dxa"/>
          </w:tcPr>
          <w:p w14:paraId="51BD13B1" w14:textId="0DA89DCA" w:rsidR="5F5AF01D" w:rsidRDefault="5F5AF01D">
            <w:r>
              <w:t>Action</w:t>
            </w:r>
          </w:p>
        </w:tc>
        <w:tc>
          <w:tcPr>
            <w:tcW w:w="3120" w:type="dxa"/>
          </w:tcPr>
          <w:p w14:paraId="3C74335A" w14:textId="0686848E" w:rsidR="5F5AF01D" w:rsidRDefault="5F5AF01D">
            <w:r>
              <w:t>Owner</w:t>
            </w:r>
          </w:p>
        </w:tc>
        <w:tc>
          <w:tcPr>
            <w:tcW w:w="3120" w:type="dxa"/>
          </w:tcPr>
          <w:p w14:paraId="3DE70135" w14:textId="7F646B52" w:rsidR="5F5AF01D" w:rsidRDefault="5F5AF01D">
            <w:r>
              <w:t>Due</w:t>
            </w:r>
          </w:p>
        </w:tc>
      </w:tr>
      <w:tr w:rsidR="5F5AF01D" w14:paraId="25A7E427" w14:textId="77777777" w:rsidTr="5F5AF01D">
        <w:tc>
          <w:tcPr>
            <w:tcW w:w="3120" w:type="dxa"/>
          </w:tcPr>
          <w:p w14:paraId="651DBC20" w14:textId="1679CBC7" w:rsidR="5F5AF01D" w:rsidRDefault="5F5AF01D">
            <w:r>
              <w:t>Scope a bounded first engagement sized to prove value inside one quarter rather than a multi-year commitment</w:t>
            </w:r>
          </w:p>
        </w:tc>
        <w:tc>
          <w:tcPr>
            <w:tcW w:w="3120" w:type="dxa"/>
          </w:tcPr>
          <w:p w14:paraId="2F8C627F" w14:textId="0F57B28B" w:rsidR="5F5AF01D" w:rsidRDefault="5F5AF01D">
            <w:r>
              <w:t>Bojan Buhac</w:t>
            </w:r>
          </w:p>
        </w:tc>
        <w:tc>
          <w:tcPr>
            <w:tcW w:w="3120" w:type="dxa"/>
          </w:tcPr>
          <w:p w14:paraId="3DC43D2E" w14:textId="0835994F" w:rsidR="5F5AF01D" w:rsidRDefault="5F5AF01D">
            <w:r>
              <w:t>14 November 2026</w:t>
            </w:r>
          </w:p>
        </w:tc>
      </w:tr>
      <w:tr w:rsidR="5F5AF01D" w14:paraId="568B3E95" w14:textId="77777777" w:rsidTr="5F5AF01D">
        <w:tc>
          <w:tcPr>
            <w:tcW w:w="3120" w:type="dxa"/>
          </w:tcPr>
          <w:p w14:paraId="76D67117" w14:textId="1F4AF9C4" w:rsidR="5F5AF01D" w:rsidRDefault="5F5AF01D">
            <w:r>
              <w:t>Submit the proposal with a self-funding business case tied to a named operational metric</w:t>
            </w:r>
          </w:p>
        </w:tc>
        <w:tc>
          <w:tcPr>
            <w:tcW w:w="3120" w:type="dxa"/>
          </w:tcPr>
          <w:p w14:paraId="28FB801A" w14:textId="1828E088" w:rsidR="5F5AF01D" w:rsidRDefault="5F5AF01D">
            <w:r>
              <w:t>Bojan Buhac</w:t>
            </w:r>
          </w:p>
        </w:tc>
        <w:tc>
          <w:tcPr>
            <w:tcW w:w="3120" w:type="dxa"/>
          </w:tcPr>
          <w:p w14:paraId="72E2BC1B" w14:textId="1106C74C" w:rsidR="5F5AF01D" w:rsidRDefault="5F5AF01D">
            <w:r>
              <w:t>28 November 2026</w:t>
            </w:r>
          </w:p>
        </w:tc>
      </w:tr>
      <w:tr w:rsidR="5F5AF01D" w14:paraId="1B6F03BD" w14:textId="77777777" w:rsidTr="5F5AF01D">
        <w:tc>
          <w:tcPr>
            <w:tcW w:w="3120" w:type="dxa"/>
          </w:tcPr>
          <w:p w14:paraId="51E1D4DA" w14:textId="281C27C1" w:rsidR="5F5AF01D" w:rsidRDefault="5F5AF01D">
            <w:r>
              <w:t>Agree success criteria and a review date with the sponsor in writing</w:t>
            </w:r>
          </w:p>
        </w:tc>
        <w:tc>
          <w:tcPr>
            <w:tcW w:w="3120" w:type="dxa"/>
          </w:tcPr>
          <w:p w14:paraId="39768375" w14:textId="20FA0E85" w:rsidR="5F5AF01D" w:rsidRDefault="5F5AF01D">
            <w:r>
              <w:t>Bojan Buhac</w:t>
            </w:r>
          </w:p>
        </w:tc>
        <w:tc>
          <w:tcPr>
            <w:tcW w:w="3120" w:type="dxa"/>
          </w:tcPr>
          <w:p w14:paraId="6B6E6C6F" w14:textId="19D7F549" w:rsidR="5F5AF01D" w:rsidRDefault="5F5AF01D">
            <w:r>
              <w:t>5 December 2026</w:t>
            </w:r>
          </w:p>
        </w:tc>
      </w:tr>
      <w:tr w:rsidR="5F5AF01D" w14:paraId="1FC10BC9" w14:textId="77777777" w:rsidTr="5F5AF01D">
        <w:tc>
          <w:tcPr>
            <w:tcW w:w="3120" w:type="dxa"/>
          </w:tcPr>
          <w:p w14:paraId="5E38D63D" w14:textId="30ED55BE" w:rsidR="5F5AF01D" w:rsidRDefault="5F5AF01D">
            <w:r>
              <w:t>Refresh this plan against U.S. Bancorp's Q3 2026 results and any change in the BTIG integration narrative</w:t>
            </w:r>
          </w:p>
        </w:tc>
        <w:tc>
          <w:tcPr>
            <w:tcW w:w="3120" w:type="dxa"/>
          </w:tcPr>
          <w:p w14:paraId="43BCE922" w14:textId="29CB3C82" w:rsidR="5F5AF01D" w:rsidRDefault="5F5AF01D">
            <w:r>
              <w:t>Bojan Buhac</w:t>
            </w:r>
          </w:p>
        </w:tc>
        <w:tc>
          <w:tcPr>
            <w:tcW w:w="3120" w:type="dxa"/>
          </w:tcPr>
          <w:p w14:paraId="19DD56AD" w14:textId="22A92346" w:rsidR="5F5AF01D" w:rsidRDefault="5F5AF01D">
            <w:r>
              <w:t>5 December 2026</w:t>
            </w:r>
          </w:p>
        </w:tc>
      </w:tr>
    </w:tbl>
    <w:p w14:paraId="1257B319" w14:textId="22C6B377" w:rsidR="5F5AF01D" w:rsidRDefault="5F5AF01D" w:rsidP="5F5AF01D">
      <w:pPr>
        <w:pStyle w:val="Heading1"/>
      </w:pPr>
      <w:r w:rsidRPr="5F5AF01D">
        <w:rPr>
          <w:color w:val="794E1F"/>
        </w:rPr>
        <w:t>Sources</w:t>
      </w:r>
    </w:p>
    <w:p w14:paraId="3B8071D6" w14:textId="46646C1E" w:rsidR="5F5AF01D" w:rsidRDefault="5F5AF01D">
      <w:r>
        <w:t>U.S. Bancorp, "U.S. Bancorp reports second quarter 2026 results", 16 July 2026. https://www.usbank.com/about-us-bank/news-and-stories/article-library/us-bancorp-reports-second-quarter-2026-results.html</w:t>
      </w:r>
    </w:p>
    <w:p w14:paraId="5FAA1E1D" w14:textId="218AC95A" w:rsidR="5F5AF01D" w:rsidRDefault="5F5AF01D">
      <w:r>
        <w:t>U.S. Bancorp Investor Relations, "U.S. Bancorp Reports Second Quarter 2026 Results". https://ir.usbank.com/news-events/news/news-details/2026/U-S--Bancorp-Reports-Second-Quarter-2026-Results/default.aspx</w:t>
      </w:r>
    </w:p>
    <w:p w14:paraId="407F6709" w14:textId="7E60B9EC" w:rsidR="5F5AF01D" w:rsidRDefault="5F5AF01D">
      <w:r>
        <w:t>Caitlin Mullen, "U.S. Bank's Kedia outlines strategy to rev up growth", Banking Dive, 12 June 2025. https://www.bankingdive.com/news/us-bank-ceo-kedia-growth-strategy-payments-cards/750587/</w:t>
      </w:r>
    </w:p>
    <w:p w14:paraId="7CD8D66B" w14:textId="31F92F4B" w:rsidR="5F5AF01D" w:rsidRDefault="5F5AF01D">
      <w:r>
        <w:t>U.S. Bancorp 2026 definitive proxy statement (Form DEF 14A), summarised at StockTitan. https://www.stocktitan.net/sec-filings/USB/def-14a-us-bancorp-de-definitive-proxy-statement-7dd9748aba69.html</w:t>
      </w:r>
    </w:p>
    <w:p w14:paraId="4B352946" w14:textId="1473F628" w:rsidR="5F5AF01D" w:rsidRDefault="5F5AF01D">
      <w:r>
        <w:t>Hudson Labs, "U.S. Bancorp Competitors: USB Peer Comparison 2026". https://www.hudson-labs.com/research/us-bancorp-competitors-usb-peer-comparison-2026</w:t>
      </w:r>
    </w:p>
    <w:p w14:paraId="7C1E0D31" w14:textId="1B578D30" w:rsidR="5F5AF01D" w:rsidRDefault="5F5AF01D">
      <w:r w:rsidRPr="5F5AF01D">
        <w:rPr>
          <w:i/>
          <w:iCs/>
          <w:color w:val="7A7A7A"/>
          <w:sz w:val="20"/>
          <w:szCs w:val="20"/>
        </w:rPr>
        <w:t>Internal sources searched with no relevant results: Outlook mail, Teams chats, calendar (1 July to 30 September 2026) and SharePoint/OneDrive document libraries, searched 3 September 2026.</w:t>
      </w:r>
    </w:p>
    <w:sectPr w:rsidR="5F5AF01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626151">
    <w:abstractNumId w:val="8"/>
  </w:num>
  <w:num w:numId="2" w16cid:durableId="439106817">
    <w:abstractNumId w:val="6"/>
  </w:num>
  <w:num w:numId="3" w16cid:durableId="1925603756">
    <w:abstractNumId w:val="5"/>
  </w:num>
  <w:num w:numId="4" w16cid:durableId="1514998824">
    <w:abstractNumId w:val="4"/>
  </w:num>
  <w:num w:numId="5" w16cid:durableId="1537540864">
    <w:abstractNumId w:val="7"/>
  </w:num>
  <w:num w:numId="6" w16cid:durableId="821775388">
    <w:abstractNumId w:val="3"/>
  </w:num>
  <w:num w:numId="7" w16cid:durableId="899561060">
    <w:abstractNumId w:val="2"/>
  </w:num>
  <w:num w:numId="8" w16cid:durableId="798256095">
    <w:abstractNumId w:val="1"/>
  </w:num>
  <w:num w:numId="9" w16cid:durableId="41366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BC2"/>
    <w:rsid w:val="0006063C"/>
    <w:rsid w:val="0015074B"/>
    <w:rsid w:val="0029639D"/>
    <w:rsid w:val="00326F90"/>
    <w:rsid w:val="00457889"/>
    <w:rsid w:val="004B528A"/>
    <w:rsid w:val="00AA1D8D"/>
    <w:rsid w:val="00B47730"/>
    <w:rsid w:val="00CB0664"/>
    <w:rsid w:val="00D418BB"/>
    <w:rsid w:val="00D90765"/>
    <w:rsid w:val="00FC693F"/>
    <w:rsid w:val="03DFFEFF"/>
    <w:rsid w:val="091A9BA6"/>
    <w:rsid w:val="101892E4"/>
    <w:rsid w:val="11708F4D"/>
    <w:rsid w:val="11A22A24"/>
    <w:rsid w:val="13915963"/>
    <w:rsid w:val="1C137402"/>
    <w:rsid w:val="205E7D9C"/>
    <w:rsid w:val="20BE1186"/>
    <w:rsid w:val="20C45FEF"/>
    <w:rsid w:val="2175285E"/>
    <w:rsid w:val="22E15F71"/>
    <w:rsid w:val="28A6AD76"/>
    <w:rsid w:val="28C4ACA2"/>
    <w:rsid w:val="297EAFE3"/>
    <w:rsid w:val="31C544D7"/>
    <w:rsid w:val="3DB72945"/>
    <w:rsid w:val="3EBDACB1"/>
    <w:rsid w:val="4237AE44"/>
    <w:rsid w:val="4AFEED5D"/>
    <w:rsid w:val="4ED527AD"/>
    <w:rsid w:val="4F2420CC"/>
    <w:rsid w:val="54138F8E"/>
    <w:rsid w:val="574FBDA6"/>
    <w:rsid w:val="576E4C8F"/>
    <w:rsid w:val="595085AF"/>
    <w:rsid w:val="59F47F7A"/>
    <w:rsid w:val="5A175EA1"/>
    <w:rsid w:val="5CF52A9D"/>
    <w:rsid w:val="5F5AF01D"/>
    <w:rsid w:val="603863A4"/>
    <w:rsid w:val="689A94EE"/>
    <w:rsid w:val="6D3940A7"/>
    <w:rsid w:val="71574F68"/>
    <w:rsid w:val="724CB47F"/>
    <w:rsid w:val="72A22800"/>
    <w:rsid w:val="73FFBF82"/>
    <w:rsid w:val="758519FC"/>
    <w:rsid w:val="75D66ADF"/>
    <w:rsid w:val="79A4AD94"/>
    <w:rsid w:val="7ADB7FA0"/>
    <w:rsid w:val="7AE21BE4"/>
    <w:rsid w:val="7CFCCD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9C09FE0-C682-4D26-9A9D-0C573755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445254E-4956-4641-8B78-1391CA604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2D79C-F23A-4A24-A98C-BC08FB29AD6E}">
  <ds:schemaRefs>
    <ds:schemaRef ds:uri="http://schemas.microsoft.com/sharepoint/v3/contenttype/forms"/>
  </ds:schemaRefs>
</ds:datastoreItem>
</file>

<file path=customXml/itemProps4.xml><?xml version="1.0" encoding="utf-8"?>
<ds:datastoreItem xmlns:ds="http://schemas.openxmlformats.org/officeDocument/2006/customXml" ds:itemID="{2DB109BA-92BE-4369-A01F-AA837F23BFCA}">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1915</Words>
  <Characters>10918</Characters>
  <Application>Microsoft Office Word</Application>
  <DocSecurity>4</DocSecurity>
  <Lines>90</Lines>
  <Paragraphs>25</Paragraphs>
  <ScaleCrop>false</ScaleCrop>
  <Manager/>
  <Company/>
  <LinksUpToDate>false</LinksUpToDate>
  <CharactersWithSpaces>12808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2</cp:revision>
  <dcterms:created xsi:type="dcterms:W3CDTF">2026-09-03T11:47:00Z</dcterms:created>
  <dcterms:modified xsi:type="dcterms:W3CDTF">2026-09-03T19:45:00Z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ies>
</file>