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21D95" w14:textId="309FCC9B" w:rsidR="48116751" w:rsidRDefault="48116751" w:rsidP="48116751">
      <w:pPr>
        <w:pStyle w:val="Title"/>
      </w:pPr>
      <w:r w:rsidRPr="48116751">
        <w:rPr>
          <w:b/>
          <w:bCs/>
          <w:color w:val="64381F"/>
        </w:rPr>
        <w:t>JPMorgan Chase &amp; Co.</w:t>
      </w:r>
    </w:p>
    <w:p w14:paraId="623FC9C0" w14:textId="7F4B5526" w:rsidR="48116751" w:rsidRDefault="48116751" w:rsidP="48116751">
      <w:pPr>
        <w:pStyle w:val="Heading1"/>
      </w:pPr>
      <w:r w:rsidRPr="48116751">
        <w:rPr>
          <w:color w:val="64381F"/>
          <w:sz w:val="40"/>
          <w:szCs w:val="40"/>
        </w:rPr>
        <w:t>Account Plan — Fourth Quarter 2026</w:t>
      </w:r>
    </w:p>
    <w:p w14:paraId="6DE1D325" w14:textId="56C443BE" w:rsidR="48116751" w:rsidRDefault="48116751">
      <w:r w:rsidRPr="48116751">
        <w:rPr>
          <w:i/>
          <w:iCs/>
          <w:color w:val="595959" w:themeColor="text1" w:themeTint="A6"/>
          <w:sz w:val="20"/>
          <w:szCs w:val="20"/>
        </w:rPr>
        <w:t>Prepared by Bojan Buhac, Consultant, How2Demos — 3 September 2026</w:t>
      </w:r>
    </w:p>
    <w:p w14:paraId="200EB22A" w14:textId="2B96D252" w:rsidR="48116751" w:rsidRDefault="48116751" w:rsidP="48116751">
      <w:pPr>
        <w:pStyle w:val="Heading2"/>
      </w:pPr>
      <w:r w:rsidRPr="48116751">
        <w:rPr>
          <w:color w:val="64381F"/>
        </w:rPr>
        <w:t>Executive summary</w:t>
      </w:r>
    </w:p>
    <w:p w14:paraId="78E45FB5" w14:textId="326879AF" w:rsidR="48116751" w:rsidRDefault="48116751">
      <w:r>
        <w:t>JPMorgan Chase is the strongest bank in the United States on every measure that matters to an account strategy: scale, profitability, capital position and reinvestment capacity. Its market capitalisation of $780.74 billion is more than double Bank of America's $349.07 billion and larger than Bank of America, Citigroup and Wells Fargo combined (Hudson Labs peer comparison, 24 March 2026). That gap is the central fact of this plan. JPMorgan does not buy the way a mid-tier bank buys, and an approach calibrated to a smaller institution will not land.</w:t>
      </w:r>
    </w:p>
    <w:p w14:paraId="6EB74E23" w14:textId="5C02F998" w:rsidR="48116751" w:rsidRDefault="48116751">
      <w:r>
        <w:t>The second-quarter 2026 results, released on 14 July 2026, were the strongest in the firm's history. Net income reached $21.2 billion, or $7.70 per share, on reported revenue of $57.3 billion and managed revenue of $58.0 billion, up 27 percent year on year. Return on equity was 24 percent and return on tangible common equity 29 percent, against a standardised CET1 ratio of 14.1 percent. Every line of business set a revenue record. The headline figure is flattered, however: a $4.6 billion net gain on Visa shares and $1.0 billion of gains on certain equity investments account for $4.2 billion of it after tax, and the underlying result is $16.9 billion, or $6.14 per share, at a 23 percent ROTCE. Any business case put in front of this account should be built on the $16.9 billion number, not the $21.2 billion one.</w:t>
      </w:r>
    </w:p>
    <w:p w14:paraId="22A19647" w14:textId="11651BF7" w:rsidR="48116751" w:rsidRDefault="48116751">
      <w:r>
        <w:t>Three public commitments define where JPMorgan is spending and therefore where an outside partner can be useful. The firm has raised its 2026 technology budget to $19.8 billion, an increase of roughly 10 percent, with about $2 billion of that directed at artificial intelligence. Its proprietary LLM Suite platform is already deployed to approximately 250,000 employees, and in June 2026 the firm told CNBC it intends to deploy agents during the year that can work autonomously for far longer than the current generation. At the same time it is contesting the March 2026 capital reproposals, estimating that it would need to hold about $20 billion more capital, a roughly 4 percent increase in required CET1 driven by a $130 billion increase in risk-weighted assets.</w:t>
      </w:r>
    </w:p>
    <w:p w14:paraId="34D98AD5" w14:textId="5836D491" w:rsidR="48116751" w:rsidRDefault="48116751">
      <w:r>
        <w:t>One caveat governs everything that follows. A search of the connected Microsoft 365 workspace — mailbox, sent items, Teams chats and channels, calendar, meeting transcripts, SharePoint and OneDrive — returned no correspondence, no meetings, no shared files and no contact history with JPMorgan Chase or any other banking institution. This is therefore a cold account plan built entirely from public disclosure. The relationship map below names the right people from published leadership information rather than from any established connection, and the ninety-day plan is written to create the relationship that does not yet exist.</w:t>
      </w:r>
    </w:p>
    <w:p w14:paraId="114C8866" w14:textId="40D2B2A0" w:rsidR="48116751" w:rsidRDefault="48116751" w:rsidP="48116751">
      <w:pPr>
        <w:pStyle w:val="Heading2"/>
      </w:pPr>
      <w:r w:rsidRPr="48116751">
        <w:rPr>
          <w:color w:val="64381F"/>
        </w:rPr>
        <w:lastRenderedPageBreak/>
        <w:t>Relationship map</w:t>
      </w:r>
    </w:p>
    <w:p w14:paraId="2CE5EB43" w14:textId="2853A81D" w:rsidR="48116751" w:rsidRDefault="48116751">
      <w:r>
        <w:t>There is no contact history to map, so this section maps the decision structure instead. The twelve people below are JPMorgan's Operating Committee as published on the firm's leadership page. The Board of Directors currently has eleven members and is not a route in. Column three states why each seat matters to the opportunities set out in the next section; none of these individuals is a known contact, and the plan treats every one of them as cold.</w:t>
      </w:r>
    </w:p>
    <w:tbl>
      <w:tblPr>
        <w:tblStyle w:val="TableGrid"/>
        <w:tblW w:w="0" w:type="auto"/>
        <w:tblLook w:val="0000" w:firstRow="0" w:lastRow="0" w:firstColumn="0" w:lastColumn="0" w:noHBand="0" w:noVBand="0"/>
      </w:tblPr>
      <w:tblGrid>
        <w:gridCol w:w="1900"/>
        <w:gridCol w:w="2700"/>
        <w:gridCol w:w="4760"/>
      </w:tblGrid>
      <w:tr w:rsidR="48116751" w14:paraId="52664C05" w14:textId="77777777" w:rsidTr="48116751">
        <w:tc>
          <w:tcPr>
            <w:tcW w:w="1900" w:type="dxa"/>
          </w:tcPr>
          <w:p w14:paraId="221E938B" w14:textId="66D5C492" w:rsidR="48116751" w:rsidRDefault="48116751">
            <w:r>
              <w:t>Name</w:t>
            </w:r>
          </w:p>
        </w:tc>
        <w:tc>
          <w:tcPr>
            <w:tcW w:w="2700" w:type="dxa"/>
          </w:tcPr>
          <w:p w14:paraId="752EA3F0" w14:textId="5FB3AB56" w:rsidR="48116751" w:rsidRDefault="48116751">
            <w:r>
              <w:t>Role</w:t>
            </w:r>
          </w:p>
        </w:tc>
        <w:tc>
          <w:tcPr>
            <w:tcW w:w="4760" w:type="dxa"/>
          </w:tcPr>
          <w:p w14:paraId="75182C2F" w14:textId="5891921A" w:rsidR="48116751" w:rsidRDefault="48116751">
            <w:r>
              <w:t>Why this seat matters</w:t>
            </w:r>
          </w:p>
        </w:tc>
      </w:tr>
      <w:tr w:rsidR="48116751" w14:paraId="515498CE" w14:textId="77777777" w:rsidTr="48116751">
        <w:tc>
          <w:tcPr>
            <w:tcW w:w="1900" w:type="dxa"/>
          </w:tcPr>
          <w:p w14:paraId="4D967A8A" w14:textId="6FA6F28F" w:rsidR="48116751" w:rsidRDefault="48116751">
            <w:r>
              <w:t>Jamie Dimon</w:t>
            </w:r>
          </w:p>
        </w:tc>
        <w:tc>
          <w:tcPr>
            <w:tcW w:w="2700" w:type="dxa"/>
          </w:tcPr>
          <w:p w14:paraId="718D00CA" w14:textId="6884D953" w:rsidR="48116751" w:rsidRDefault="48116751">
            <w:r>
              <w:t>Chairman and Chief Executive Officer</w:t>
            </w:r>
          </w:p>
        </w:tc>
        <w:tc>
          <w:tcPr>
            <w:tcW w:w="4760" w:type="dxa"/>
          </w:tcPr>
          <w:p w14:paraId="44D9BCB7" w14:textId="6162C017" w:rsidR="48116751" w:rsidRDefault="48116751">
            <w:r>
              <w:t>Sets the firm's public position on AI, capital and cyber risk. His commentary frames what the organisation below him will fund.</w:t>
            </w:r>
          </w:p>
        </w:tc>
      </w:tr>
      <w:tr w:rsidR="48116751" w14:paraId="62575934" w14:textId="77777777" w:rsidTr="48116751">
        <w:tc>
          <w:tcPr>
            <w:tcW w:w="1900" w:type="dxa"/>
          </w:tcPr>
          <w:p w14:paraId="4ABBBB08" w14:textId="7878208C" w:rsidR="48116751" w:rsidRDefault="48116751">
            <w:r>
              <w:t>Jennifer Piepszak</w:t>
            </w:r>
          </w:p>
        </w:tc>
        <w:tc>
          <w:tcPr>
            <w:tcW w:w="2700" w:type="dxa"/>
          </w:tcPr>
          <w:p w14:paraId="59DA7CBB" w14:textId="71560750" w:rsidR="48116751" w:rsidRDefault="48116751">
            <w:r>
              <w:t>Chief Operating Officer</w:t>
            </w:r>
          </w:p>
        </w:tc>
        <w:tc>
          <w:tcPr>
            <w:tcW w:w="4760" w:type="dxa"/>
          </w:tcPr>
          <w:p w14:paraId="4D11119F" w14:textId="6A33EE14" w:rsidR="48116751" w:rsidRDefault="48116751">
            <w:r>
              <w:t>Owns firmwide operating execution. The natural executive sponsor for any cross-business transformation programme.</w:t>
            </w:r>
          </w:p>
        </w:tc>
      </w:tr>
      <w:tr w:rsidR="48116751" w14:paraId="625011DA" w14:textId="77777777" w:rsidTr="48116751">
        <w:tc>
          <w:tcPr>
            <w:tcW w:w="1900" w:type="dxa"/>
          </w:tcPr>
          <w:p w14:paraId="48347431" w14:textId="01494E89" w:rsidR="48116751" w:rsidRDefault="48116751">
            <w:r>
              <w:t>Teresa Heitsenrether</w:t>
            </w:r>
          </w:p>
        </w:tc>
        <w:tc>
          <w:tcPr>
            <w:tcW w:w="2700" w:type="dxa"/>
          </w:tcPr>
          <w:p w14:paraId="3754E995" w14:textId="7A27354D" w:rsidR="48116751" w:rsidRDefault="48116751">
            <w:r>
              <w:t>Chief Data and Analytics Officer</w:t>
            </w:r>
          </w:p>
        </w:tc>
        <w:tc>
          <w:tcPr>
            <w:tcW w:w="4760" w:type="dxa"/>
          </w:tcPr>
          <w:p w14:paraId="6E06EA7A" w14:textId="73051C11" w:rsidR="48116751" w:rsidRDefault="48116751">
            <w:r>
              <w:t>Owns LLM Suite and the agentic AI rollout. The single most relevant buyer for AI enablement and agent governance work.</w:t>
            </w:r>
          </w:p>
        </w:tc>
      </w:tr>
      <w:tr w:rsidR="48116751" w14:paraId="17C13553" w14:textId="77777777" w:rsidTr="48116751">
        <w:tc>
          <w:tcPr>
            <w:tcW w:w="1900" w:type="dxa"/>
          </w:tcPr>
          <w:p w14:paraId="6B952C55" w14:textId="0A1A7C86" w:rsidR="48116751" w:rsidRDefault="48116751">
            <w:r>
              <w:t>Lori Beer</w:t>
            </w:r>
          </w:p>
        </w:tc>
        <w:tc>
          <w:tcPr>
            <w:tcW w:w="2700" w:type="dxa"/>
          </w:tcPr>
          <w:p w14:paraId="5DFB391B" w14:textId="02F8634A" w:rsidR="48116751" w:rsidRDefault="48116751">
            <w:r>
              <w:t>Global Chief Information Officer</w:t>
            </w:r>
          </w:p>
        </w:tc>
        <w:tc>
          <w:tcPr>
            <w:tcW w:w="4760" w:type="dxa"/>
          </w:tcPr>
          <w:p w14:paraId="3AB3DA48" w14:textId="7BD64A0E" w:rsidR="48116751" w:rsidRDefault="48116751">
            <w:r>
              <w:t>Owns the technology systems and infrastructure worldwide, and therefore the $19.8 billion 2026 budget. Primary buyer for platform work.</w:t>
            </w:r>
          </w:p>
        </w:tc>
      </w:tr>
      <w:tr w:rsidR="48116751" w14:paraId="48A67F3B" w14:textId="77777777" w:rsidTr="48116751">
        <w:tc>
          <w:tcPr>
            <w:tcW w:w="1900" w:type="dxa"/>
          </w:tcPr>
          <w:p w14:paraId="1CBA272F" w14:textId="12EBAA83" w:rsidR="48116751" w:rsidRDefault="48116751">
            <w:r>
              <w:t>Jeremy Barnum</w:t>
            </w:r>
          </w:p>
        </w:tc>
        <w:tc>
          <w:tcPr>
            <w:tcW w:w="2700" w:type="dxa"/>
          </w:tcPr>
          <w:p w14:paraId="1B8E9BA4" w14:textId="0BC99147" w:rsidR="48116751" w:rsidRDefault="48116751">
            <w:r>
              <w:t>Chief Financial Officer</w:t>
            </w:r>
          </w:p>
        </w:tc>
        <w:tc>
          <w:tcPr>
            <w:tcW w:w="4760" w:type="dxa"/>
          </w:tcPr>
          <w:p w14:paraId="69939690" w14:textId="04A7780B" w:rsidR="48116751" w:rsidRDefault="48116751">
            <w:r>
              <w:t>Leads the capital-rules argument publicly and quantified the $20 billion capital impact. Buyer for RWA and capital analytics.</w:t>
            </w:r>
          </w:p>
        </w:tc>
      </w:tr>
      <w:tr w:rsidR="48116751" w14:paraId="55C75441" w14:textId="77777777" w:rsidTr="48116751">
        <w:tc>
          <w:tcPr>
            <w:tcW w:w="1900" w:type="dxa"/>
          </w:tcPr>
          <w:p w14:paraId="5D9E75E6" w14:textId="1BBCD880" w:rsidR="48116751" w:rsidRDefault="48116751">
            <w:r>
              <w:t>Ashley Bacon</w:t>
            </w:r>
          </w:p>
        </w:tc>
        <w:tc>
          <w:tcPr>
            <w:tcW w:w="2700" w:type="dxa"/>
          </w:tcPr>
          <w:p w14:paraId="7B97327D" w14:textId="149ABF44" w:rsidR="48116751" w:rsidRDefault="48116751">
            <w:r>
              <w:t>Chief Risk Officer</w:t>
            </w:r>
          </w:p>
        </w:tc>
        <w:tc>
          <w:tcPr>
            <w:tcW w:w="4760" w:type="dxa"/>
          </w:tcPr>
          <w:p w14:paraId="2BDACC97" w14:textId="0D78A608" w:rsidR="48116751" w:rsidRDefault="48116751">
            <w:r>
              <w:t>Owns model risk and the risk framework that any autonomous agent deployment must satisfy.</w:t>
            </w:r>
          </w:p>
        </w:tc>
      </w:tr>
      <w:tr w:rsidR="48116751" w14:paraId="5CD8B7B7" w14:textId="77777777" w:rsidTr="48116751">
        <w:tc>
          <w:tcPr>
            <w:tcW w:w="1900" w:type="dxa"/>
          </w:tcPr>
          <w:p w14:paraId="3BEABF8C" w14:textId="248E067D" w:rsidR="48116751" w:rsidRDefault="48116751">
            <w:r>
              <w:t>Stacey Friedman</w:t>
            </w:r>
          </w:p>
        </w:tc>
        <w:tc>
          <w:tcPr>
            <w:tcW w:w="2700" w:type="dxa"/>
          </w:tcPr>
          <w:p w14:paraId="21C16204" w14:textId="1D6BED41" w:rsidR="48116751" w:rsidRDefault="48116751">
            <w:r>
              <w:t>General Counsel</w:t>
            </w:r>
          </w:p>
        </w:tc>
        <w:tc>
          <w:tcPr>
            <w:tcW w:w="4760" w:type="dxa"/>
          </w:tcPr>
          <w:p w14:paraId="78A64AAC" w14:textId="1649D405" w:rsidR="48116751" w:rsidRDefault="48116751">
            <w:r>
              <w:t>Gatekeeper on AI governance and the firm's regulatory response. Can stop an AI programme that lacks a control story.</w:t>
            </w:r>
          </w:p>
        </w:tc>
      </w:tr>
      <w:tr w:rsidR="48116751" w14:paraId="4BAA90E3" w14:textId="77777777" w:rsidTr="48116751">
        <w:tc>
          <w:tcPr>
            <w:tcW w:w="1900" w:type="dxa"/>
          </w:tcPr>
          <w:p w14:paraId="2A05EDDD" w14:textId="2D5F347A" w:rsidR="48116751" w:rsidRDefault="48116751">
            <w:r>
              <w:t>Troy Rohrbaugh</w:t>
            </w:r>
          </w:p>
        </w:tc>
        <w:tc>
          <w:tcPr>
            <w:tcW w:w="2700" w:type="dxa"/>
          </w:tcPr>
          <w:p w14:paraId="75ECD828" w14:textId="263D1B3E" w:rsidR="48116751" w:rsidRDefault="48116751">
            <w:r>
              <w:t>Co-President and CEO, Consumer &amp; Community Banking</w:t>
            </w:r>
          </w:p>
        </w:tc>
        <w:tc>
          <w:tcPr>
            <w:tcW w:w="4760" w:type="dxa"/>
          </w:tcPr>
          <w:p w14:paraId="3FB7A428" w14:textId="1F1B0202" w:rsidR="48116751" w:rsidRDefault="48116751">
            <w:r>
              <w:t>Owns the consumer franchise that produced $20.3 billion of second-quarter revenue and carries the card credit exposure.</w:t>
            </w:r>
          </w:p>
        </w:tc>
      </w:tr>
      <w:tr w:rsidR="48116751" w14:paraId="6AB2C683" w14:textId="77777777" w:rsidTr="48116751">
        <w:tc>
          <w:tcPr>
            <w:tcW w:w="1900" w:type="dxa"/>
          </w:tcPr>
          <w:p w14:paraId="28580C99" w14:textId="36306277" w:rsidR="48116751" w:rsidRDefault="48116751">
            <w:r>
              <w:t>Doug Petno</w:t>
            </w:r>
          </w:p>
        </w:tc>
        <w:tc>
          <w:tcPr>
            <w:tcW w:w="2700" w:type="dxa"/>
          </w:tcPr>
          <w:p w14:paraId="506BF975" w14:textId="2F0E493B" w:rsidR="48116751" w:rsidRDefault="48116751">
            <w:r>
              <w:t>Co-President and CEO, Commercial &amp; Investment Bank</w:t>
            </w:r>
          </w:p>
        </w:tc>
        <w:tc>
          <w:tcPr>
            <w:tcW w:w="4760" w:type="dxa"/>
          </w:tcPr>
          <w:p w14:paraId="61CA3925" w14:textId="27EC2FFF" w:rsidR="48116751" w:rsidRDefault="48116751">
            <w:r>
              <w:t>Owns the $24.9 billion second-quarter CIB result and the number one global investment banking position.</w:t>
            </w:r>
          </w:p>
        </w:tc>
      </w:tr>
      <w:tr w:rsidR="48116751" w14:paraId="30B49645" w14:textId="77777777" w:rsidTr="48116751">
        <w:tc>
          <w:tcPr>
            <w:tcW w:w="1900" w:type="dxa"/>
          </w:tcPr>
          <w:p w14:paraId="1BC5C43B" w14:textId="3F019074" w:rsidR="48116751" w:rsidRDefault="48116751">
            <w:r>
              <w:t>Mary Callahan Erdoes</w:t>
            </w:r>
          </w:p>
        </w:tc>
        <w:tc>
          <w:tcPr>
            <w:tcW w:w="2700" w:type="dxa"/>
          </w:tcPr>
          <w:p w14:paraId="3442E9F2" w14:textId="37DF7738" w:rsidR="48116751" w:rsidRDefault="48116751">
            <w:r>
              <w:t>CEO, Asset &amp; Wealth Management</w:t>
            </w:r>
          </w:p>
        </w:tc>
        <w:tc>
          <w:tcPr>
            <w:tcW w:w="4760" w:type="dxa"/>
          </w:tcPr>
          <w:p w14:paraId="37DF699B" w14:textId="30BD5DFC" w:rsidR="48116751" w:rsidRDefault="48116751">
            <w:r>
              <w:t>Owns the $5.1 trillion AUM franchise and its advisor productivity agenda.</w:t>
            </w:r>
          </w:p>
        </w:tc>
      </w:tr>
      <w:tr w:rsidR="48116751" w14:paraId="52AB9FF1" w14:textId="77777777" w:rsidTr="48116751">
        <w:tc>
          <w:tcPr>
            <w:tcW w:w="1900" w:type="dxa"/>
          </w:tcPr>
          <w:p w14:paraId="2DB616B7" w14:textId="47D2BE71" w:rsidR="48116751" w:rsidRDefault="48116751">
            <w:r>
              <w:t>Robin Leopold</w:t>
            </w:r>
          </w:p>
        </w:tc>
        <w:tc>
          <w:tcPr>
            <w:tcW w:w="2700" w:type="dxa"/>
          </w:tcPr>
          <w:p w14:paraId="39F2FC5D" w14:textId="40B0A535" w:rsidR="48116751" w:rsidRDefault="48116751">
            <w:r>
              <w:t>Head of Human Resources</w:t>
            </w:r>
          </w:p>
        </w:tc>
        <w:tc>
          <w:tcPr>
            <w:tcW w:w="4760" w:type="dxa"/>
          </w:tcPr>
          <w:p w14:paraId="49EEBFCF" w14:textId="398E8BF9" w:rsidR="48116751" w:rsidRDefault="48116751">
            <w:r>
              <w:t>Owns the reskilling required to make a 250,000-seat AI deployment produce measurable change.</w:t>
            </w:r>
          </w:p>
        </w:tc>
      </w:tr>
      <w:tr w:rsidR="48116751" w14:paraId="122C0992" w14:textId="77777777" w:rsidTr="48116751">
        <w:tc>
          <w:tcPr>
            <w:tcW w:w="1900" w:type="dxa"/>
          </w:tcPr>
          <w:p w14:paraId="22434500" w14:textId="50A3EC6E" w:rsidR="48116751" w:rsidRDefault="48116751">
            <w:r>
              <w:t>Tim Berry</w:t>
            </w:r>
          </w:p>
        </w:tc>
        <w:tc>
          <w:tcPr>
            <w:tcW w:w="2700" w:type="dxa"/>
          </w:tcPr>
          <w:p w14:paraId="5CE86823" w14:textId="4981D332" w:rsidR="48116751" w:rsidRDefault="48116751">
            <w:r>
              <w:t>Global Head of Corporate Responsibility</w:t>
            </w:r>
          </w:p>
        </w:tc>
        <w:tc>
          <w:tcPr>
            <w:tcW w:w="4760" w:type="dxa"/>
          </w:tcPr>
          <w:p w14:paraId="19DB46BA" w14:textId="425FB9F6" w:rsidR="48116751" w:rsidRDefault="48116751">
            <w:r>
              <w:t>Relevant only to community and public-policy positioning; not a technology route.</w:t>
            </w:r>
          </w:p>
        </w:tc>
      </w:tr>
    </w:tbl>
    <w:p w14:paraId="7AB86100" w14:textId="7BC0F258" w:rsidR="48116751" w:rsidRDefault="48116751" w:rsidP="48116751">
      <w:pPr>
        <w:pStyle w:val="Heading2"/>
      </w:pPr>
      <w:r w:rsidRPr="48116751">
        <w:rPr>
          <w:color w:val="64381F"/>
        </w:rPr>
        <w:t>Open opportunities</w:t>
      </w:r>
    </w:p>
    <w:p w14:paraId="474D02B4" w14:textId="1C110344" w:rsidR="48116751" w:rsidRDefault="48116751">
      <w:r>
        <w:t>No opportunity is currently open with this account, because no engagement exists. What follows is a qualified target list: each entry is anchored to a spending commitment or a strategic position JPMorgan has stated publicly, which is the only defensible basis for a first approach. Values are deliberately not forecast — there is no discovery behind them yet.</w:t>
      </w:r>
    </w:p>
    <w:tbl>
      <w:tblPr>
        <w:tblStyle w:val="TableGrid"/>
        <w:tblW w:w="0" w:type="auto"/>
        <w:tblLook w:val="0000" w:firstRow="0" w:lastRow="0" w:firstColumn="0" w:lastColumn="0" w:noHBand="0" w:noVBand="0"/>
      </w:tblPr>
      <w:tblGrid>
        <w:gridCol w:w="1900"/>
        <w:gridCol w:w="3730"/>
        <w:gridCol w:w="3730"/>
      </w:tblGrid>
      <w:tr w:rsidR="48116751" w14:paraId="4CBE2C82" w14:textId="77777777" w:rsidTr="48116751">
        <w:tc>
          <w:tcPr>
            <w:tcW w:w="1900" w:type="dxa"/>
          </w:tcPr>
          <w:p w14:paraId="447D6068" w14:textId="696861A4" w:rsidR="48116751" w:rsidRDefault="48116751">
            <w:r>
              <w:lastRenderedPageBreak/>
              <w:t>Target</w:t>
            </w:r>
          </w:p>
        </w:tc>
        <w:tc>
          <w:tcPr>
            <w:tcW w:w="3730" w:type="dxa"/>
          </w:tcPr>
          <w:p w14:paraId="5AF2C9F0" w14:textId="62464868" w:rsidR="48116751" w:rsidRDefault="48116751">
            <w:r>
              <w:t>Public evidence</w:t>
            </w:r>
          </w:p>
        </w:tc>
        <w:tc>
          <w:tcPr>
            <w:tcW w:w="3730" w:type="dxa"/>
          </w:tcPr>
          <w:p w14:paraId="2E190099" w14:textId="5B242F2C" w:rsidR="48116751" w:rsidRDefault="48116751">
            <w:r>
              <w:t>Angle and likely sponsor</w:t>
            </w:r>
          </w:p>
        </w:tc>
      </w:tr>
      <w:tr w:rsidR="48116751" w14:paraId="67E6FC8C" w14:textId="77777777" w:rsidTr="48116751">
        <w:tc>
          <w:tcPr>
            <w:tcW w:w="1900" w:type="dxa"/>
          </w:tcPr>
          <w:p w14:paraId="68BD712F" w14:textId="72398FA1" w:rsidR="48116751" w:rsidRDefault="48116751">
            <w:r>
              <w:t>Agent governance at scale</w:t>
            </w:r>
          </w:p>
        </w:tc>
        <w:tc>
          <w:tcPr>
            <w:tcW w:w="3730" w:type="dxa"/>
          </w:tcPr>
          <w:p w14:paraId="3DBC336C" w14:textId="6B177665" w:rsidR="48116751" w:rsidRDefault="48116751">
            <w:r>
              <w:t>LLM Suite is deployed to approximately 250,000 employees, and the firm told CNBC in June 2026 it will deploy longer-running autonomous agents during the year.</w:t>
            </w:r>
          </w:p>
        </w:tc>
        <w:tc>
          <w:tcPr>
            <w:tcW w:w="3730" w:type="dxa"/>
          </w:tcPr>
          <w:p w14:paraId="1BAC5DB1" w14:textId="63F55D29" w:rsidR="48116751" w:rsidRDefault="48116751">
            <w:r>
              <w:t>Autonomy at that headcount forces an evaluation, audit and escalation framework. Sponsor: Teresa Heitsenrether, with Ashley Bacon as the control gate.</w:t>
            </w:r>
          </w:p>
        </w:tc>
      </w:tr>
      <w:tr w:rsidR="48116751" w14:paraId="48008B01" w14:textId="77777777" w:rsidTr="48116751">
        <w:tc>
          <w:tcPr>
            <w:tcW w:w="1900" w:type="dxa"/>
          </w:tcPr>
          <w:p w14:paraId="7305B3C7" w14:textId="7B0ABD9E" w:rsidR="48116751" w:rsidRDefault="48116751">
            <w:r>
              <w:t>Technology cost-to-serve</w:t>
            </w:r>
          </w:p>
        </w:tc>
        <w:tc>
          <w:tcPr>
            <w:tcW w:w="3730" w:type="dxa"/>
          </w:tcPr>
          <w:p w14:paraId="6F6CC2D5" w14:textId="73E8A462" w:rsidR="48116751" w:rsidRDefault="48116751">
            <w:r>
              <w:t>The 2026 technology budget rises to $19.8 billion, up nearly $2 billion, of which roughly $2 billion is AI.</w:t>
            </w:r>
          </w:p>
        </w:tc>
        <w:tc>
          <w:tcPr>
            <w:tcW w:w="3730" w:type="dxa"/>
          </w:tcPr>
          <w:p w14:paraId="32E1451A" w14:textId="6CC68B26" w:rsidR="48116751" w:rsidRDefault="48116751">
            <w:r>
              <w:t>A budget growing 10 percent invites scrutiny of platform duplication and run-rate. Sponsor: Lori Beer.</w:t>
            </w:r>
          </w:p>
        </w:tc>
      </w:tr>
      <w:tr w:rsidR="48116751" w14:paraId="3B0CC5D5" w14:textId="77777777" w:rsidTr="48116751">
        <w:tc>
          <w:tcPr>
            <w:tcW w:w="1900" w:type="dxa"/>
          </w:tcPr>
          <w:p w14:paraId="2F3FC6D8" w14:textId="03DBEB9B" w:rsidR="48116751" w:rsidRDefault="48116751">
            <w:r>
              <w:t>Capital and RWA analytics</w:t>
            </w:r>
          </w:p>
        </w:tc>
        <w:tc>
          <w:tcPr>
            <w:tcW w:w="3730" w:type="dxa"/>
          </w:tcPr>
          <w:p w14:paraId="584A0624" w14:textId="7CB9D25F" w:rsidR="48116751" w:rsidRDefault="48116751">
            <w:r>
              <w:t>The firm estimates about $20 billion of additional capital, a 4 percent CET1 increase, from a $130 billion RWA increase under the March 2026 reproposals.</w:t>
            </w:r>
          </w:p>
        </w:tc>
        <w:tc>
          <w:tcPr>
            <w:tcW w:w="3730" w:type="dxa"/>
          </w:tcPr>
          <w:p w14:paraId="604D71F4" w14:textId="7597B923" w:rsidR="48116751" w:rsidRDefault="48116751">
            <w:r>
              <w:t>Precision in RWA attribution is worth real money at this scale. Sponsor: Jeremy Barnum's organisation.</w:t>
            </w:r>
          </w:p>
        </w:tc>
      </w:tr>
      <w:tr w:rsidR="48116751" w14:paraId="5AD538B6" w14:textId="77777777" w:rsidTr="48116751">
        <w:tc>
          <w:tcPr>
            <w:tcW w:w="1900" w:type="dxa"/>
          </w:tcPr>
          <w:p w14:paraId="218A96D5" w14:textId="0CAD1998" w:rsidR="48116751" w:rsidRDefault="48116751">
            <w:r>
              <w:t>Cyber resilience under AI</w:t>
            </w:r>
          </w:p>
        </w:tc>
        <w:tc>
          <w:tcPr>
            <w:tcW w:w="3730" w:type="dxa"/>
          </w:tcPr>
          <w:p w14:paraId="44A46778" w14:textId="058B005C" w:rsidR="48116751" w:rsidRDefault="48116751">
            <w:r>
              <w:t>Dimon said in April 2026 that AI has "made it worse" and "made it harder", after Treasury and Federal Reserve leadership briefed bank CEOs on AI-related cyber risk.</w:t>
            </w:r>
          </w:p>
        </w:tc>
        <w:tc>
          <w:tcPr>
            <w:tcW w:w="3730" w:type="dxa"/>
          </w:tcPr>
          <w:p w14:paraId="12A7442D" w14:textId="7E68E720" w:rsidR="48116751" w:rsidRDefault="48116751">
            <w:r>
              <w:t>Adversarial testing of AI-exposed surfaces. Sponsor: Ashley Bacon, jointly with Lori Beer.</w:t>
            </w:r>
          </w:p>
        </w:tc>
      </w:tr>
      <w:tr w:rsidR="48116751" w14:paraId="1CA445B9" w14:textId="77777777" w:rsidTr="48116751">
        <w:tc>
          <w:tcPr>
            <w:tcW w:w="1900" w:type="dxa"/>
          </w:tcPr>
          <w:p w14:paraId="66906AF0" w14:textId="157E4795" w:rsidR="48116751" w:rsidRDefault="48116751">
            <w:r>
              <w:t>Advisor and wealth productivity</w:t>
            </w:r>
          </w:p>
        </w:tc>
        <w:tc>
          <w:tcPr>
            <w:tcW w:w="3730" w:type="dxa"/>
          </w:tcPr>
          <w:p w14:paraId="7430AF75" w14:textId="0E5C2E59" w:rsidR="48116751" w:rsidRDefault="48116751">
            <w:r>
              <w:t>AWM assets under management reached $5.1 trillion, up 18 percent, with $50 billion of long-term net inflows and a record 44,000 first-time investors in the quarter.</w:t>
            </w:r>
          </w:p>
        </w:tc>
        <w:tc>
          <w:tcPr>
            <w:tcW w:w="3730" w:type="dxa"/>
          </w:tcPr>
          <w:p w14:paraId="34D245B5" w14:textId="073A151D" w:rsidR="48116751" w:rsidRDefault="48116751">
            <w:r>
              <w:t>Growth of that speed strains advisor onboarding and servicing. Sponsor: Mary Callahan Erdoes.</w:t>
            </w:r>
          </w:p>
        </w:tc>
      </w:tr>
    </w:tbl>
    <w:p w14:paraId="6222712B" w14:textId="57FFB3AF" w:rsidR="48116751" w:rsidRDefault="48116751" w:rsidP="48116751">
      <w:pPr>
        <w:pStyle w:val="Heading2"/>
      </w:pPr>
      <w:r w:rsidRPr="48116751">
        <w:rPr>
          <w:color w:val="64381F"/>
        </w:rPr>
        <w:t>Risks</w:t>
      </w:r>
    </w:p>
    <w:p w14:paraId="6002BA68" w14:textId="7509848E" w:rsidR="48116751" w:rsidRDefault="48116751">
      <w:r>
        <w:t>The risks below split into two kinds: risks to JPMorgan's own performance that would change its appetite to spend, and risks to our ability to win the account at all. The second kind is the more immediate problem.</w:t>
      </w:r>
    </w:p>
    <w:tbl>
      <w:tblPr>
        <w:tblStyle w:val="TableGrid"/>
        <w:tblW w:w="0" w:type="auto"/>
        <w:tblLook w:val="0000" w:firstRow="0" w:lastRow="0" w:firstColumn="0" w:lastColumn="0" w:noHBand="0" w:noVBand="0"/>
      </w:tblPr>
      <w:tblGrid>
        <w:gridCol w:w="2100"/>
        <w:gridCol w:w="3630"/>
        <w:gridCol w:w="3630"/>
      </w:tblGrid>
      <w:tr w:rsidR="48116751" w14:paraId="2BC1C7AF" w14:textId="77777777" w:rsidTr="48116751">
        <w:tc>
          <w:tcPr>
            <w:tcW w:w="2100" w:type="dxa"/>
          </w:tcPr>
          <w:p w14:paraId="5B6F2ADC" w14:textId="2E42BCCB" w:rsidR="48116751" w:rsidRDefault="48116751">
            <w:r>
              <w:t>Risk</w:t>
            </w:r>
          </w:p>
        </w:tc>
        <w:tc>
          <w:tcPr>
            <w:tcW w:w="3630" w:type="dxa"/>
          </w:tcPr>
          <w:p w14:paraId="7396B3B6" w14:textId="2720A38F" w:rsidR="48116751" w:rsidRDefault="48116751">
            <w:r>
              <w:t>Evidence</w:t>
            </w:r>
          </w:p>
        </w:tc>
        <w:tc>
          <w:tcPr>
            <w:tcW w:w="3630" w:type="dxa"/>
          </w:tcPr>
          <w:p w14:paraId="7E34B2B1" w14:textId="1FFE8A53" w:rsidR="48116751" w:rsidRDefault="48116751">
            <w:r>
              <w:t>How to handle it</w:t>
            </w:r>
          </w:p>
        </w:tc>
      </w:tr>
      <w:tr w:rsidR="48116751" w14:paraId="42CD9644" w14:textId="77777777" w:rsidTr="48116751">
        <w:tc>
          <w:tcPr>
            <w:tcW w:w="2100" w:type="dxa"/>
          </w:tcPr>
          <w:p w14:paraId="22421EE4" w14:textId="3713EAC8" w:rsidR="48116751" w:rsidRDefault="48116751">
            <w:r>
              <w:t>No incumbency whatsoever</w:t>
            </w:r>
          </w:p>
        </w:tc>
        <w:tc>
          <w:tcPr>
            <w:tcW w:w="3630" w:type="dxa"/>
          </w:tcPr>
          <w:p w14:paraId="1E697C7E" w14:textId="2FF1D18C" w:rsidR="48116751" w:rsidRDefault="48116751">
            <w:r>
              <w:t>The connected workspace holds no email, meeting, chat or file involving this account.</w:t>
            </w:r>
          </w:p>
        </w:tc>
        <w:tc>
          <w:tcPr>
            <w:tcW w:w="3630" w:type="dxa"/>
          </w:tcPr>
          <w:p w14:paraId="24AB3430" w14:textId="28CFB850" w:rsidR="48116751" w:rsidRDefault="48116751">
            <w:r>
              <w:t>Treat the first ninety days as relationship creation, not pursuit. Do not present a proposal before a discovery conversation has happened.</w:t>
            </w:r>
          </w:p>
        </w:tc>
      </w:tr>
      <w:tr w:rsidR="48116751" w14:paraId="24192F2B" w14:textId="77777777" w:rsidTr="48116751">
        <w:tc>
          <w:tcPr>
            <w:tcW w:w="2100" w:type="dxa"/>
          </w:tcPr>
          <w:p w14:paraId="2C75439A" w14:textId="3FE518C5" w:rsidR="48116751" w:rsidRDefault="48116751">
            <w:r>
              <w:t>Earnings quality is overstated at the headline</w:t>
            </w:r>
          </w:p>
        </w:tc>
        <w:tc>
          <w:tcPr>
            <w:tcW w:w="3630" w:type="dxa"/>
          </w:tcPr>
          <w:p w14:paraId="5F4FCF80" w14:textId="38C2FF89" w:rsidR="48116751" w:rsidRDefault="48116751">
            <w:r>
              <w:t>Of the $21.2 billion second-quarter net income, $4.2 billion after tax came from the Visa gain and other equity gains; the underlying figure is $16.9 billion.</w:t>
            </w:r>
          </w:p>
        </w:tc>
        <w:tc>
          <w:tcPr>
            <w:tcW w:w="3630" w:type="dxa"/>
          </w:tcPr>
          <w:p w14:paraId="73754855" w14:textId="31A0E64D" w:rsidR="48116751" w:rsidRDefault="48116751">
            <w:r>
              <w:t>Quote the underlying number. Using the headline signals that the reading was shallow.</w:t>
            </w:r>
          </w:p>
        </w:tc>
      </w:tr>
      <w:tr w:rsidR="48116751" w14:paraId="7794F817" w14:textId="77777777" w:rsidTr="48116751">
        <w:tc>
          <w:tcPr>
            <w:tcW w:w="2100" w:type="dxa"/>
          </w:tcPr>
          <w:p w14:paraId="4800A5CB" w14:textId="48B646C2" w:rsidR="48116751" w:rsidRDefault="48116751">
            <w:r>
              <w:t>Markets strength will not repeat</w:t>
            </w:r>
          </w:p>
        </w:tc>
        <w:tc>
          <w:tcPr>
            <w:tcW w:w="3630" w:type="dxa"/>
          </w:tcPr>
          <w:p w14:paraId="693C2A4B" w14:textId="41942D86" w:rsidR="48116751" w:rsidRDefault="48116751">
            <w:r>
              <w:t>Equity Markets revenue rose 86 percent year on year to $6.0 billion; total Markets revenue rose 35 percent.</w:t>
            </w:r>
          </w:p>
        </w:tc>
        <w:tc>
          <w:tcPr>
            <w:tcW w:w="3630" w:type="dxa"/>
          </w:tcPr>
          <w:p w14:paraId="2F878C4C" w14:textId="3A72144A" w:rsidR="48116751" w:rsidRDefault="48116751">
            <w:r>
              <w:t>Do not anchor a value case to a comparison that lapses. Anchor to structural spend such as the technology budget.</w:t>
            </w:r>
          </w:p>
        </w:tc>
      </w:tr>
      <w:tr w:rsidR="48116751" w14:paraId="1F427FDC" w14:textId="77777777" w:rsidTr="48116751">
        <w:tc>
          <w:tcPr>
            <w:tcW w:w="2100" w:type="dxa"/>
          </w:tcPr>
          <w:p w14:paraId="41AAB402" w14:textId="518774BF" w:rsidR="48116751" w:rsidRDefault="48116751">
            <w:r>
              <w:t>Consumer credit is deteriorating at the margin</w:t>
            </w:r>
          </w:p>
        </w:tc>
        <w:tc>
          <w:tcPr>
            <w:tcW w:w="3630" w:type="dxa"/>
          </w:tcPr>
          <w:p w14:paraId="71F2A349" w14:textId="4A655B83" w:rsidR="48116751" w:rsidRDefault="48116751">
            <w:r>
              <w:t>The Card Services net charge-off rate was 3.34 percent, and CCB credit provision was $2.2 billion with net charge-offs up $70 million.</w:t>
            </w:r>
          </w:p>
        </w:tc>
        <w:tc>
          <w:tcPr>
            <w:tcW w:w="3630" w:type="dxa"/>
          </w:tcPr>
          <w:p w14:paraId="53BA7243" w14:textId="43434247" w:rsidR="48116751" w:rsidRDefault="48116751">
            <w:r>
              <w:t>Expect consumer-side cost discipline. Position work there as loss reduction, not capability building.</w:t>
            </w:r>
          </w:p>
        </w:tc>
      </w:tr>
      <w:tr w:rsidR="48116751" w14:paraId="6EA5BA88" w14:textId="77777777" w:rsidTr="48116751">
        <w:tc>
          <w:tcPr>
            <w:tcW w:w="2100" w:type="dxa"/>
          </w:tcPr>
          <w:p w14:paraId="16BFC2EC" w14:textId="5A58A2BC" w:rsidR="48116751" w:rsidRDefault="48116751">
            <w:r>
              <w:lastRenderedPageBreak/>
              <w:t>Regulatory outcome is unresolved</w:t>
            </w:r>
          </w:p>
        </w:tc>
        <w:tc>
          <w:tcPr>
            <w:tcW w:w="3630" w:type="dxa"/>
          </w:tcPr>
          <w:p w14:paraId="563BA11A" w14:textId="53368980" w:rsidR="48116751" w:rsidRDefault="48116751">
            <w:r>
              <w:t>Barnum called the US G-SIB surcharge "still broken" and said surcharges will rise meaningfully over two years; JPMorgan is already at the 2.5 percent stress capital buffer floor.</w:t>
            </w:r>
          </w:p>
        </w:tc>
        <w:tc>
          <w:tcPr>
            <w:tcW w:w="3630" w:type="dxa"/>
          </w:tcPr>
          <w:p w14:paraId="551F94D3" w14:textId="4C147044" w:rsidR="48116751" w:rsidRDefault="48116751">
            <w:r>
              <w:t>Capital-related work may be deferred until the rules settle. Keep it as a second-wave target rather than the opening one.</w:t>
            </w:r>
          </w:p>
        </w:tc>
      </w:tr>
      <w:tr w:rsidR="48116751" w14:paraId="39183EDA" w14:textId="77777777" w:rsidTr="48116751">
        <w:tc>
          <w:tcPr>
            <w:tcW w:w="2100" w:type="dxa"/>
          </w:tcPr>
          <w:p w14:paraId="5CCBF82B" w14:textId="6329D0B9" w:rsidR="48116751" w:rsidRDefault="48116751">
            <w:r>
              <w:t>The firm builds rather than buys</w:t>
            </w:r>
          </w:p>
        </w:tc>
        <w:tc>
          <w:tcPr>
            <w:tcW w:w="3630" w:type="dxa"/>
          </w:tcPr>
          <w:p w14:paraId="2A4F45A1" w14:textId="5C07B77D" w:rsidR="48116751" w:rsidRDefault="48116751">
            <w:r>
              <w:t>A $19.8 billion internal technology budget and a proprietary LLM platform built in-house.</w:t>
            </w:r>
          </w:p>
        </w:tc>
        <w:tc>
          <w:tcPr>
            <w:tcW w:w="3630" w:type="dxa"/>
          </w:tcPr>
          <w:p w14:paraId="2646375F" w14:textId="54E59E41" w:rsidR="48116751" w:rsidRDefault="48116751">
            <w:r>
              <w:t>Lead with something they are not staffed to build — independent assurance, adversarial testing, external benchmarking — rather than a platform.</w:t>
            </w:r>
          </w:p>
        </w:tc>
      </w:tr>
    </w:tbl>
    <w:p w14:paraId="6E4BFFCB" w14:textId="14B6D99C" w:rsidR="48116751" w:rsidRDefault="48116751" w:rsidP="48116751">
      <w:pPr>
        <w:pStyle w:val="Heading2"/>
      </w:pPr>
      <w:r w:rsidRPr="48116751">
        <w:rPr>
          <w:color w:val="64381F"/>
        </w:rPr>
        <w:t>Competitive landscape</w:t>
      </w:r>
    </w:p>
    <w:p w14:paraId="2331AB8E" w14:textId="21A21F11" w:rsidR="48116751" w:rsidRDefault="48116751">
      <w:r>
        <w:t>JPMorgan competes across three distinct fronts and leads on all of them. Against the diversified banks — Bank of America, Citigroup and Wells Fargo — its advantage is breadth and technology investment; Citigroup is still simplifying, and Wells Fargo carries a longer regulatory history. Against the capital-markets houses, Goldman Sachs is more concentrated in investment banking and trading while Morgan Stanley leads in wealth, and JPMorgan's consumer and commercial base gives it a funding and diversification advantage neither has. Against the regional banks and the specialists — PNC, Truist, US Bancorp, Charles Schwab and BNY — the comparison is one of scale rather than strategy.</w:t>
      </w:r>
    </w:p>
    <w:p w14:paraId="474ED803" w14:textId="1B5EEEF0" w:rsidR="48116751" w:rsidRDefault="48116751">
      <w:r>
        <w:t>The market position shows in the fee league table: JPMorgan held the number one ranking for global investment banking fees with a 9.3 percent wallet share year to date, and second-quarter investment banking fees of $3.3 billion were the highest since 2021. The major US banks all reported second-quarter results on 14 July 2026 and broadly beat estimates, so JPMorgan's outperformance is relative rather than absolute — the whole sector had a strong quarter on trading and investment banking. Market capitalisations below are as at the March 2026 peer comparison.</w:t>
      </w:r>
    </w:p>
    <w:tbl>
      <w:tblPr>
        <w:tblStyle w:val="TableGrid"/>
        <w:tblW w:w="0" w:type="auto"/>
        <w:tblLook w:val="0000" w:firstRow="0" w:lastRow="0" w:firstColumn="0" w:lastColumn="0" w:noHBand="0" w:noVBand="0"/>
      </w:tblPr>
      <w:tblGrid>
        <w:gridCol w:w="2500"/>
        <w:gridCol w:w="1300"/>
        <w:gridCol w:w="5560"/>
      </w:tblGrid>
      <w:tr w:rsidR="48116751" w14:paraId="4720F723" w14:textId="77777777" w:rsidTr="48116751">
        <w:tc>
          <w:tcPr>
            <w:tcW w:w="2500" w:type="dxa"/>
          </w:tcPr>
          <w:p w14:paraId="50AD4F44" w14:textId="5694B302" w:rsidR="48116751" w:rsidRDefault="48116751">
            <w:r>
              <w:t>Institution</w:t>
            </w:r>
          </w:p>
        </w:tc>
        <w:tc>
          <w:tcPr>
            <w:tcW w:w="1300" w:type="dxa"/>
          </w:tcPr>
          <w:p w14:paraId="5CE4321A" w14:textId="4F7299C6" w:rsidR="48116751" w:rsidRDefault="48116751">
            <w:r>
              <w:t>Market cap ($B)</w:t>
            </w:r>
          </w:p>
        </w:tc>
        <w:tc>
          <w:tcPr>
            <w:tcW w:w="5560" w:type="dxa"/>
          </w:tcPr>
          <w:p w14:paraId="604742FB" w14:textId="4850808A" w:rsidR="48116751" w:rsidRDefault="48116751">
            <w:r>
              <w:t>Subsector and position relative to JPMorgan</w:t>
            </w:r>
          </w:p>
        </w:tc>
      </w:tr>
      <w:tr w:rsidR="48116751" w14:paraId="1978BCE5" w14:textId="77777777" w:rsidTr="48116751">
        <w:tc>
          <w:tcPr>
            <w:tcW w:w="2500" w:type="dxa"/>
          </w:tcPr>
          <w:p w14:paraId="3EB4D90A" w14:textId="5F65E0FF" w:rsidR="48116751" w:rsidRDefault="48116751">
            <w:r>
              <w:t>JPMorgan Chase &amp; Co.</w:t>
            </w:r>
          </w:p>
        </w:tc>
        <w:tc>
          <w:tcPr>
            <w:tcW w:w="1300" w:type="dxa"/>
          </w:tcPr>
          <w:p w14:paraId="7558F999" w14:textId="5843C7C3" w:rsidR="48116751" w:rsidRDefault="48116751">
            <w:r>
              <w:t>780.74</w:t>
            </w:r>
          </w:p>
        </w:tc>
        <w:tc>
          <w:tcPr>
            <w:tcW w:w="5560" w:type="dxa"/>
          </w:tcPr>
          <w:p w14:paraId="14EAADCD" w14:textId="5121AE87" w:rsidR="48116751" w:rsidRDefault="48116751">
            <w:r>
              <w:t>Diversified. The benchmark; number one in global investment banking fees.</w:t>
            </w:r>
          </w:p>
        </w:tc>
      </w:tr>
      <w:tr w:rsidR="48116751" w14:paraId="11E4A909" w14:textId="77777777" w:rsidTr="48116751">
        <w:tc>
          <w:tcPr>
            <w:tcW w:w="2500" w:type="dxa"/>
          </w:tcPr>
          <w:p w14:paraId="6D156E32" w14:textId="68370EFC" w:rsidR="48116751" w:rsidRDefault="48116751">
            <w:r>
              <w:t>Bank of America Corp.</w:t>
            </w:r>
          </w:p>
        </w:tc>
        <w:tc>
          <w:tcPr>
            <w:tcW w:w="1300" w:type="dxa"/>
          </w:tcPr>
          <w:p w14:paraId="44476E60" w14:textId="6114F5C0" w:rsidR="48116751" w:rsidRDefault="48116751">
            <w:r>
              <w:t>349.07</w:t>
            </w:r>
          </w:p>
        </w:tc>
        <w:tc>
          <w:tcPr>
            <w:tcW w:w="5560" w:type="dxa"/>
          </w:tcPr>
          <w:p w14:paraId="5771DA39" w14:textId="59F2DC84" w:rsidR="48116751" w:rsidRDefault="48116751">
            <w:r>
              <w:t>Diversified. Strong digital and US retail footprint; less than half JPMorgan's value.</w:t>
            </w:r>
          </w:p>
        </w:tc>
      </w:tr>
      <w:tr w:rsidR="48116751" w14:paraId="4BE640B8" w14:textId="77777777" w:rsidTr="48116751">
        <w:tc>
          <w:tcPr>
            <w:tcW w:w="2500" w:type="dxa"/>
          </w:tcPr>
          <w:p w14:paraId="1D8DA4F1" w14:textId="71083CF9" w:rsidR="48116751" w:rsidRDefault="48116751">
            <w:r>
              <w:t>Morgan Stanley</w:t>
            </w:r>
          </w:p>
        </w:tc>
        <w:tc>
          <w:tcPr>
            <w:tcW w:w="1300" w:type="dxa"/>
          </w:tcPr>
          <w:p w14:paraId="317BEA30" w14:textId="69E623BD" w:rsidR="48116751" w:rsidRDefault="48116751">
            <w:r>
              <w:t>254.49</w:t>
            </w:r>
          </w:p>
        </w:tc>
        <w:tc>
          <w:tcPr>
            <w:tcW w:w="5560" w:type="dxa"/>
          </w:tcPr>
          <w:p w14:paraId="48E18EED" w14:textId="62C40A81" w:rsidR="48116751" w:rsidRDefault="48116751">
            <w:r>
              <w:t>Capital markets. Leads in wealth and investment management; narrower base.</w:t>
            </w:r>
          </w:p>
        </w:tc>
      </w:tr>
      <w:tr w:rsidR="48116751" w14:paraId="673EA66D" w14:textId="77777777" w:rsidTr="48116751">
        <w:tc>
          <w:tcPr>
            <w:tcW w:w="2500" w:type="dxa"/>
          </w:tcPr>
          <w:p w14:paraId="713BC7FA" w14:textId="79D96AF6" w:rsidR="48116751" w:rsidRDefault="48116751">
            <w:r>
              <w:t>Goldman Sachs Group Inc.</w:t>
            </w:r>
          </w:p>
        </w:tc>
        <w:tc>
          <w:tcPr>
            <w:tcW w:w="1300" w:type="dxa"/>
          </w:tcPr>
          <w:p w14:paraId="4B7C500C" w14:textId="72B751BA" w:rsidR="48116751" w:rsidRDefault="48116751">
            <w:r>
              <w:t>253.28</w:t>
            </w:r>
          </w:p>
        </w:tc>
        <w:tc>
          <w:tcPr>
            <w:tcW w:w="5560" w:type="dxa"/>
          </w:tcPr>
          <w:p w14:paraId="78977F78" w14:textId="6B95387E" w:rsidR="48116751" w:rsidRDefault="48116751">
            <w:r>
              <w:t>Capital markets. Concentrated in banking, trading and asset management; little consumer.</w:t>
            </w:r>
          </w:p>
        </w:tc>
      </w:tr>
      <w:tr w:rsidR="48116751" w14:paraId="7EA35D4D" w14:textId="77777777" w:rsidTr="48116751">
        <w:tc>
          <w:tcPr>
            <w:tcW w:w="2500" w:type="dxa"/>
          </w:tcPr>
          <w:p w14:paraId="31A49D9A" w14:textId="02AA98F3" w:rsidR="48116751" w:rsidRDefault="48116751">
            <w:r>
              <w:t>Wells Fargo &amp; Co.</w:t>
            </w:r>
          </w:p>
        </w:tc>
        <w:tc>
          <w:tcPr>
            <w:tcW w:w="1300" w:type="dxa"/>
          </w:tcPr>
          <w:p w14:paraId="7CF7F2E8" w14:textId="7B887FB7" w:rsidR="48116751" w:rsidRDefault="48116751">
            <w:r>
              <w:t>248.15</w:t>
            </w:r>
          </w:p>
        </w:tc>
        <w:tc>
          <w:tcPr>
            <w:tcW w:w="5560" w:type="dxa"/>
          </w:tcPr>
          <w:p w14:paraId="2E560D5D" w14:textId="7466667B" w:rsidR="48116751" w:rsidRDefault="48116751">
            <w:r>
              <w:t>Diversified. Comparable US breadth, weaker global investment banking.</w:t>
            </w:r>
          </w:p>
        </w:tc>
      </w:tr>
      <w:tr w:rsidR="48116751" w14:paraId="4CE512C2" w14:textId="77777777" w:rsidTr="48116751">
        <w:tc>
          <w:tcPr>
            <w:tcW w:w="2500" w:type="dxa"/>
          </w:tcPr>
          <w:p w14:paraId="4EF5A662" w14:textId="0B7BC6F0" w:rsidR="48116751" w:rsidRDefault="48116751">
            <w:r>
              <w:t>Citigroup Inc.</w:t>
            </w:r>
          </w:p>
        </w:tc>
        <w:tc>
          <w:tcPr>
            <w:tcW w:w="1300" w:type="dxa"/>
          </w:tcPr>
          <w:p w14:paraId="7ECD4B74" w14:textId="0459ADB4" w:rsidR="48116751" w:rsidRDefault="48116751">
            <w:r>
              <w:t>186.35</w:t>
            </w:r>
          </w:p>
        </w:tc>
        <w:tc>
          <w:tcPr>
            <w:tcW w:w="5560" w:type="dxa"/>
          </w:tcPr>
          <w:p w14:paraId="564376E1" w14:textId="7D379478" w:rsidR="48116751" w:rsidRDefault="48116751">
            <w:r>
              <w:t>Diversified. Stronger emerging-markets presence; still executing simplification.</w:t>
            </w:r>
          </w:p>
        </w:tc>
      </w:tr>
      <w:tr w:rsidR="48116751" w14:paraId="4E49493B" w14:textId="77777777" w:rsidTr="48116751">
        <w:tc>
          <w:tcPr>
            <w:tcW w:w="2500" w:type="dxa"/>
          </w:tcPr>
          <w:p w14:paraId="37E36827" w14:textId="144CF4ED" w:rsidR="48116751" w:rsidRDefault="48116751">
            <w:r>
              <w:t>Charles Schwab Corp.</w:t>
            </w:r>
          </w:p>
        </w:tc>
        <w:tc>
          <w:tcPr>
            <w:tcW w:w="1300" w:type="dxa"/>
          </w:tcPr>
          <w:p w14:paraId="2CE7F62D" w14:textId="0D2ADBB1" w:rsidR="48116751" w:rsidRDefault="48116751">
            <w:r>
              <w:t>166.86</w:t>
            </w:r>
          </w:p>
        </w:tc>
        <w:tc>
          <w:tcPr>
            <w:tcW w:w="5560" w:type="dxa"/>
          </w:tcPr>
          <w:p w14:paraId="7B7DB959" w14:textId="0608C275" w:rsidR="48116751" w:rsidRDefault="48116751">
            <w:r>
              <w:t>Capital markets. Retail brokerage and low-cost investing; competes only in wealth.</w:t>
            </w:r>
          </w:p>
        </w:tc>
      </w:tr>
      <w:tr w:rsidR="48116751" w14:paraId="600360EA" w14:textId="77777777" w:rsidTr="48116751">
        <w:tc>
          <w:tcPr>
            <w:tcW w:w="2500" w:type="dxa"/>
          </w:tcPr>
          <w:p w14:paraId="3B44AE06" w14:textId="1D1E22EA" w:rsidR="48116751" w:rsidRDefault="48116751">
            <w:r>
              <w:t>PNC Financial Services Group</w:t>
            </w:r>
          </w:p>
        </w:tc>
        <w:tc>
          <w:tcPr>
            <w:tcW w:w="1300" w:type="dxa"/>
          </w:tcPr>
          <w:p w14:paraId="1A5C9543" w14:textId="15FC09AE" w:rsidR="48116751" w:rsidRDefault="48116751">
            <w:r>
              <w:t>83.14</w:t>
            </w:r>
          </w:p>
        </w:tc>
        <w:tc>
          <w:tcPr>
            <w:tcW w:w="5560" w:type="dxa"/>
          </w:tcPr>
          <w:p w14:paraId="223CC05C" w14:textId="0ED9F072" w:rsidR="48116751" w:rsidRDefault="48116751">
            <w:r>
              <w:t>Regional. US-focused, narrower product range.</w:t>
            </w:r>
          </w:p>
        </w:tc>
      </w:tr>
      <w:tr w:rsidR="48116751" w14:paraId="23788B1C" w14:textId="77777777" w:rsidTr="48116751">
        <w:tc>
          <w:tcPr>
            <w:tcW w:w="2500" w:type="dxa"/>
          </w:tcPr>
          <w:p w14:paraId="39854C60" w14:textId="25EF50E7" w:rsidR="48116751" w:rsidRDefault="48116751">
            <w:r>
              <w:lastRenderedPageBreak/>
              <w:t>US Bancorp</w:t>
            </w:r>
          </w:p>
        </w:tc>
        <w:tc>
          <w:tcPr>
            <w:tcW w:w="1300" w:type="dxa"/>
          </w:tcPr>
          <w:p w14:paraId="3A0B52DF" w14:textId="1ECD37AB" w:rsidR="48116751" w:rsidRDefault="48116751">
            <w:r>
              <w:t>81.37</w:t>
            </w:r>
          </w:p>
        </w:tc>
        <w:tc>
          <w:tcPr>
            <w:tcW w:w="5560" w:type="dxa"/>
          </w:tcPr>
          <w:p w14:paraId="60453F2D" w14:textId="17AB1E6F" w:rsidR="48116751" w:rsidRDefault="48116751">
            <w:r>
              <w:t>Regional. US-focused, narrower product range.</w:t>
            </w:r>
          </w:p>
        </w:tc>
      </w:tr>
      <w:tr w:rsidR="48116751" w14:paraId="52131DE1" w14:textId="77777777" w:rsidTr="48116751">
        <w:tc>
          <w:tcPr>
            <w:tcW w:w="2500" w:type="dxa"/>
          </w:tcPr>
          <w:p w14:paraId="19BC2BA4" w14:textId="2EC07EE4" w:rsidR="48116751" w:rsidRDefault="48116751">
            <w:r>
              <w:t>Bank of New York Mellon Corp.</w:t>
            </w:r>
          </w:p>
        </w:tc>
        <w:tc>
          <w:tcPr>
            <w:tcW w:w="1300" w:type="dxa"/>
          </w:tcPr>
          <w:p w14:paraId="357AD083" w14:textId="279E65A8" w:rsidR="48116751" w:rsidRDefault="48116751">
            <w:r>
              <w:t>79.30</w:t>
            </w:r>
          </w:p>
        </w:tc>
        <w:tc>
          <w:tcPr>
            <w:tcW w:w="5560" w:type="dxa"/>
          </w:tcPr>
          <w:p w14:paraId="6E092ABB" w14:textId="207C4C6C" w:rsidR="48116751" w:rsidRDefault="48116751">
            <w:r>
              <w:t>Asset management. Custody and asset servicing specialist.</w:t>
            </w:r>
          </w:p>
        </w:tc>
      </w:tr>
      <w:tr w:rsidR="48116751" w14:paraId="26E506C5" w14:textId="77777777" w:rsidTr="48116751">
        <w:tc>
          <w:tcPr>
            <w:tcW w:w="2500" w:type="dxa"/>
          </w:tcPr>
          <w:p w14:paraId="18E7DAC5" w14:textId="3791ACE1" w:rsidR="48116751" w:rsidRDefault="48116751">
            <w:r>
              <w:t>Truist Financial Corp.</w:t>
            </w:r>
          </w:p>
        </w:tc>
        <w:tc>
          <w:tcPr>
            <w:tcW w:w="1300" w:type="dxa"/>
          </w:tcPr>
          <w:p w14:paraId="1AE46CFF" w14:textId="306F93A5" w:rsidR="48116751" w:rsidRDefault="48116751">
            <w:r>
              <w:t>58.07</w:t>
            </w:r>
          </w:p>
        </w:tc>
        <w:tc>
          <w:tcPr>
            <w:tcW w:w="5560" w:type="dxa"/>
          </w:tcPr>
          <w:p w14:paraId="42E35087" w14:textId="294D7A69" w:rsidR="48116751" w:rsidRDefault="48116751">
            <w:r>
              <w:t>Regional. Smallest of the named peer set.</w:t>
            </w:r>
          </w:p>
        </w:tc>
      </w:tr>
    </w:tbl>
    <w:p w14:paraId="1292DA92" w14:textId="623EFDF1" w:rsidR="48116751" w:rsidRDefault="48116751" w:rsidP="48116751">
      <w:pPr>
        <w:pStyle w:val="Heading2"/>
      </w:pPr>
      <w:r w:rsidRPr="48116751">
        <w:rPr>
          <w:color w:val="64381F"/>
        </w:rPr>
        <w:t>Ninety-day action plan</w:t>
      </w:r>
    </w:p>
    <w:p w14:paraId="54167954" w14:textId="6AB94315" w:rsidR="48116751" w:rsidRDefault="48116751">
      <w:r>
        <w:t>The plan runs from 3 September to 2 December 2026 and is built for a standing start. The first month creates the record and the credibility; the second buys a conversation; the third converts one conversation into scoped work. JPMorgan reports third-quarter results in mid-October, which falls inside the window and is the natural moment to re-anchor the argument.</w:t>
      </w:r>
    </w:p>
    <w:tbl>
      <w:tblPr>
        <w:tblStyle w:val="TableGrid"/>
        <w:tblW w:w="0" w:type="auto"/>
        <w:tblLook w:val="0000" w:firstRow="0" w:lastRow="0" w:firstColumn="0" w:lastColumn="0" w:noHBand="0" w:noVBand="0"/>
      </w:tblPr>
      <w:tblGrid>
        <w:gridCol w:w="1300"/>
        <w:gridCol w:w="4830"/>
        <w:gridCol w:w="3230"/>
      </w:tblGrid>
      <w:tr w:rsidR="48116751" w14:paraId="300F976C" w14:textId="77777777" w:rsidTr="48116751">
        <w:tc>
          <w:tcPr>
            <w:tcW w:w="1300" w:type="dxa"/>
          </w:tcPr>
          <w:p w14:paraId="74A219FD" w14:textId="50562217" w:rsidR="48116751" w:rsidRDefault="48116751">
            <w:r>
              <w:t>Window</w:t>
            </w:r>
          </w:p>
        </w:tc>
        <w:tc>
          <w:tcPr>
            <w:tcW w:w="4830" w:type="dxa"/>
          </w:tcPr>
          <w:p w14:paraId="6EA9F8A5" w14:textId="493408DB" w:rsidR="48116751" w:rsidRDefault="48116751">
            <w:r>
              <w:t>Action</w:t>
            </w:r>
          </w:p>
        </w:tc>
        <w:tc>
          <w:tcPr>
            <w:tcW w:w="3230" w:type="dxa"/>
          </w:tcPr>
          <w:p w14:paraId="4563CBCB" w14:textId="4211EF9F" w:rsidR="48116751" w:rsidRDefault="48116751">
            <w:r>
              <w:t>Outcome that proves it worked</w:t>
            </w:r>
          </w:p>
        </w:tc>
      </w:tr>
      <w:tr w:rsidR="48116751" w14:paraId="2C24C66B" w14:textId="77777777" w:rsidTr="48116751">
        <w:tc>
          <w:tcPr>
            <w:tcW w:w="1300" w:type="dxa"/>
          </w:tcPr>
          <w:p w14:paraId="3AEA88A0" w14:textId="59275014" w:rsidR="48116751" w:rsidRDefault="48116751">
            <w:r>
              <w:t>Days 1–10</w:t>
            </w:r>
          </w:p>
        </w:tc>
        <w:tc>
          <w:tcPr>
            <w:tcW w:w="4830" w:type="dxa"/>
          </w:tcPr>
          <w:p w14:paraId="434DD347" w14:textId="520536D8" w:rsidR="48116751" w:rsidRDefault="48116751">
            <w:r>
              <w:t>Open an account record and start logging every touch. Nothing about this account currently exists in the workspace, so the absence of history is itself the first problem to fix.</w:t>
            </w:r>
          </w:p>
        </w:tc>
        <w:tc>
          <w:tcPr>
            <w:tcW w:w="3230" w:type="dxa"/>
          </w:tcPr>
          <w:p w14:paraId="4C448E4F" w14:textId="4AE31D9C" w:rsidR="48116751" w:rsidRDefault="48116751">
            <w:r>
              <w:t>A searchable account trail exists, so the next plan is not written from scratch.</w:t>
            </w:r>
          </w:p>
        </w:tc>
      </w:tr>
      <w:tr w:rsidR="48116751" w14:paraId="25A2BF65" w14:textId="77777777" w:rsidTr="48116751">
        <w:tc>
          <w:tcPr>
            <w:tcW w:w="1300" w:type="dxa"/>
          </w:tcPr>
          <w:p w14:paraId="2ABFDAE7" w14:textId="61F87E11" w:rsidR="48116751" w:rsidRDefault="48116751">
            <w:r>
              <w:t>Days 1–10</w:t>
            </w:r>
          </w:p>
        </w:tc>
        <w:tc>
          <w:tcPr>
            <w:tcW w:w="4830" w:type="dxa"/>
          </w:tcPr>
          <w:p w14:paraId="60AA7901" w14:textId="5AD664D5" w:rsidR="48116751" w:rsidRDefault="48116751">
            <w:r>
              <w:t>Read the primary sources end to end: the second-quarter 2026 earnings release and presentation, the 2025 Form 10-K, and Dimon's 2026 shareholder letter.</w:t>
            </w:r>
          </w:p>
        </w:tc>
        <w:tc>
          <w:tcPr>
            <w:tcW w:w="3230" w:type="dxa"/>
          </w:tcPr>
          <w:p w14:paraId="563316BC" w14:textId="53B44B99" w:rsidR="48116751" w:rsidRDefault="48116751">
            <w:r>
              <w:t>The pitch uses JPMorgan's own framing and figures rather than sector generalities.</w:t>
            </w:r>
          </w:p>
        </w:tc>
      </w:tr>
      <w:tr w:rsidR="48116751" w14:paraId="57F1FBC3" w14:textId="77777777" w:rsidTr="48116751">
        <w:tc>
          <w:tcPr>
            <w:tcW w:w="1300" w:type="dxa"/>
          </w:tcPr>
          <w:p w14:paraId="457B66B9" w14:textId="6AC9AC0E" w:rsidR="48116751" w:rsidRDefault="48116751">
            <w:r>
              <w:t>Days 5–15</w:t>
            </w:r>
          </w:p>
        </w:tc>
        <w:tc>
          <w:tcPr>
            <w:tcW w:w="4830" w:type="dxa"/>
          </w:tcPr>
          <w:p w14:paraId="66D13992" w14:textId="63A792D2" w:rsidR="48116751" w:rsidRDefault="48116751">
            <w:r>
              <w:t>Write a two-page point of view on governing autonomous agents across a 250,000-seat deployment — evaluation, escalation, audit trail, model risk.</w:t>
            </w:r>
          </w:p>
        </w:tc>
        <w:tc>
          <w:tcPr>
            <w:tcW w:w="3230" w:type="dxa"/>
          </w:tcPr>
          <w:p w14:paraId="71F6322C" w14:textId="5C857996" w:rsidR="48116751" w:rsidRDefault="48116751">
            <w:r>
              <w:t>A document worth forwarding internally, which is the only realistic cold-entry currency here.</w:t>
            </w:r>
          </w:p>
        </w:tc>
      </w:tr>
      <w:tr w:rsidR="48116751" w14:paraId="4E218238" w14:textId="77777777" w:rsidTr="48116751">
        <w:tc>
          <w:tcPr>
            <w:tcW w:w="1300" w:type="dxa"/>
          </w:tcPr>
          <w:p w14:paraId="317BD630" w14:textId="739ADA0B" w:rsidR="48116751" w:rsidRDefault="48116751">
            <w:r>
              <w:t>Days 10–20</w:t>
            </w:r>
          </w:p>
        </w:tc>
        <w:tc>
          <w:tcPr>
            <w:tcW w:w="4830" w:type="dxa"/>
          </w:tcPr>
          <w:p w14:paraId="21E1419A" w14:textId="6C78C0CF" w:rsidR="48116751" w:rsidRDefault="48116751">
            <w:r>
              <w:t>Identify named individuals inside the Chief Data and Analytics Office and the CIO organisation, one and two levels below Heitsenrether and Beer. Executive committee members are not the first call.</w:t>
            </w:r>
          </w:p>
        </w:tc>
        <w:tc>
          <w:tcPr>
            <w:tcW w:w="3230" w:type="dxa"/>
          </w:tcPr>
          <w:p w14:paraId="55DEB286" w14:textId="6556A793" w:rsidR="48116751" w:rsidRDefault="48116751">
            <w:r>
              <w:t>Six to ten named, reachable people with a stated reason to care.</w:t>
            </w:r>
          </w:p>
        </w:tc>
      </w:tr>
      <w:tr w:rsidR="48116751" w14:paraId="745232B2" w14:textId="77777777" w:rsidTr="48116751">
        <w:tc>
          <w:tcPr>
            <w:tcW w:w="1300" w:type="dxa"/>
          </w:tcPr>
          <w:p w14:paraId="536DA3A5" w14:textId="7C6C0808" w:rsidR="48116751" w:rsidRDefault="48116751">
            <w:r>
              <w:t>Days 15–30</w:t>
            </w:r>
          </w:p>
        </w:tc>
        <w:tc>
          <w:tcPr>
            <w:tcW w:w="4830" w:type="dxa"/>
          </w:tcPr>
          <w:p w14:paraId="7C7D4C37" w14:textId="7549EECC" w:rsidR="48116751" w:rsidRDefault="48116751">
            <w:r>
              <w:t>Map the supplier onboarding and third-party risk route. A firm of this size will not transact outside it, and the timeline is usually the binding constraint.</w:t>
            </w:r>
          </w:p>
        </w:tc>
        <w:tc>
          <w:tcPr>
            <w:tcW w:w="3230" w:type="dxa"/>
          </w:tcPr>
          <w:p w14:paraId="4AA81C04" w14:textId="6E27D590" w:rsidR="48116751" w:rsidRDefault="48116751">
            <w:r>
              <w:t>A realistic contracting lead time, so later commitments are not made against a fictional one.</w:t>
            </w:r>
          </w:p>
        </w:tc>
      </w:tr>
      <w:tr w:rsidR="48116751" w14:paraId="76AC84C4" w14:textId="77777777" w:rsidTr="48116751">
        <w:tc>
          <w:tcPr>
            <w:tcW w:w="1300" w:type="dxa"/>
          </w:tcPr>
          <w:p w14:paraId="30C8EF0D" w14:textId="053D3605" w:rsidR="48116751" w:rsidRDefault="48116751">
            <w:r>
              <w:t>Days 20–35</w:t>
            </w:r>
          </w:p>
        </w:tc>
        <w:tc>
          <w:tcPr>
            <w:tcW w:w="4830" w:type="dxa"/>
          </w:tcPr>
          <w:p w14:paraId="469C144B" w14:textId="7E1B1CC9" w:rsidR="48116751" w:rsidRDefault="48116751">
            <w:r>
              <w:t>Make first contact on the agent governance thesis. One approach, one asset, no product pitch.</w:t>
            </w:r>
          </w:p>
        </w:tc>
        <w:tc>
          <w:tcPr>
            <w:tcW w:w="3230" w:type="dxa"/>
          </w:tcPr>
          <w:p w14:paraId="73C4A587" w14:textId="76F9038D" w:rsidR="48116751" w:rsidRDefault="48116751">
            <w:r>
              <w:t>A reply. Silence after two attempts means the thesis or the contact is wrong — change one, not both.</w:t>
            </w:r>
          </w:p>
        </w:tc>
      </w:tr>
      <w:tr w:rsidR="48116751" w14:paraId="2EEDC8F5" w14:textId="77777777" w:rsidTr="48116751">
        <w:tc>
          <w:tcPr>
            <w:tcW w:w="1300" w:type="dxa"/>
          </w:tcPr>
          <w:p w14:paraId="275ADFB7" w14:textId="0E0E6402" w:rsidR="48116751" w:rsidRDefault="48116751">
            <w:r>
              <w:t>Days 30–45</w:t>
            </w:r>
          </w:p>
        </w:tc>
        <w:tc>
          <w:tcPr>
            <w:tcW w:w="4830" w:type="dxa"/>
          </w:tcPr>
          <w:p w14:paraId="44E81B98" w14:textId="06EC4AC6" w:rsidR="48116751" w:rsidRDefault="48116751">
            <w:r>
              <w:t>Test the second thesis in parallel: adversarial testing of AI-exposed surfaces, tied to Dimon's April 2026 remarks on AI-driven cyber risk.</w:t>
            </w:r>
          </w:p>
        </w:tc>
        <w:tc>
          <w:tcPr>
            <w:tcW w:w="3230" w:type="dxa"/>
          </w:tcPr>
          <w:p w14:paraId="1278B029" w14:textId="7FCA318A" w:rsidR="48116751" w:rsidRDefault="48116751">
            <w:r>
              <w:t>A second live thread, so the account does not rest on one person's inbox.</w:t>
            </w:r>
          </w:p>
        </w:tc>
      </w:tr>
      <w:tr w:rsidR="48116751" w14:paraId="35743414" w14:textId="77777777" w:rsidTr="48116751">
        <w:tc>
          <w:tcPr>
            <w:tcW w:w="1300" w:type="dxa"/>
          </w:tcPr>
          <w:p w14:paraId="119A41FF" w14:textId="16DF91FF" w:rsidR="48116751" w:rsidRDefault="48116751">
            <w:r>
              <w:t>Days 45–60</w:t>
            </w:r>
          </w:p>
        </w:tc>
        <w:tc>
          <w:tcPr>
            <w:tcW w:w="4830" w:type="dxa"/>
          </w:tcPr>
          <w:p w14:paraId="6C18F8DB" w14:textId="0FBD78C3" w:rsidR="48116751" w:rsidRDefault="48116751">
            <w:r>
              <w:t>Hold a discovery conversation. Ask what the agent rollout has already hit, and where assurance is currently coming from.</w:t>
            </w:r>
          </w:p>
        </w:tc>
        <w:tc>
          <w:tcPr>
            <w:tcW w:w="3230" w:type="dxa"/>
          </w:tcPr>
          <w:p w14:paraId="6D3F2B9C" w14:textId="089B5F87" w:rsidR="48116751" w:rsidRDefault="48116751">
            <w:r>
              <w:t>Written notes naming a specific unsolved problem in their words.</w:t>
            </w:r>
          </w:p>
        </w:tc>
      </w:tr>
      <w:tr w:rsidR="48116751" w14:paraId="2FC40ED4" w14:textId="77777777" w:rsidTr="48116751">
        <w:tc>
          <w:tcPr>
            <w:tcW w:w="1300" w:type="dxa"/>
          </w:tcPr>
          <w:p w14:paraId="47418264" w14:textId="1FB0BFFC" w:rsidR="48116751" w:rsidRDefault="48116751">
            <w:r>
              <w:t>Mid-October</w:t>
            </w:r>
          </w:p>
        </w:tc>
        <w:tc>
          <w:tcPr>
            <w:tcW w:w="4830" w:type="dxa"/>
          </w:tcPr>
          <w:p w14:paraId="2437572B" w14:textId="188EA6C0" w:rsidR="48116751" w:rsidRDefault="48116751">
            <w:r>
              <w:t>Re-read the third-quarter results the week they land and send a short, specific follow-up to every live contact.</w:t>
            </w:r>
          </w:p>
        </w:tc>
        <w:tc>
          <w:tcPr>
            <w:tcW w:w="3230" w:type="dxa"/>
          </w:tcPr>
          <w:p w14:paraId="6E1F806F" w14:textId="116C8D84" w:rsidR="48116751" w:rsidRDefault="48116751">
            <w:r>
              <w:t>A second contact with a reason, rather than a chase.</w:t>
            </w:r>
          </w:p>
        </w:tc>
      </w:tr>
      <w:tr w:rsidR="48116751" w14:paraId="4BEF4677" w14:textId="77777777" w:rsidTr="48116751">
        <w:tc>
          <w:tcPr>
            <w:tcW w:w="1300" w:type="dxa"/>
          </w:tcPr>
          <w:p w14:paraId="51B2D043" w14:textId="2881EDF9" w:rsidR="48116751" w:rsidRDefault="48116751">
            <w:r>
              <w:t>Days 60–75</w:t>
            </w:r>
          </w:p>
        </w:tc>
        <w:tc>
          <w:tcPr>
            <w:tcW w:w="4830" w:type="dxa"/>
          </w:tcPr>
          <w:p w14:paraId="1E34F530" w14:textId="215FD4BD" w:rsidR="48116751" w:rsidRDefault="48116751">
            <w:r>
              <w:t>Convert the discovery notes into a scoped pilot: fixed duration, fixed price, one measurable question answered.</w:t>
            </w:r>
          </w:p>
        </w:tc>
        <w:tc>
          <w:tcPr>
            <w:tcW w:w="3230" w:type="dxa"/>
          </w:tcPr>
          <w:p w14:paraId="4AF3F652" w14:textId="1A3DBB81" w:rsidR="48116751" w:rsidRDefault="48116751">
            <w:r>
              <w:t>A proposal built on their stated problem, not on this plan's assumptions.</w:t>
            </w:r>
          </w:p>
        </w:tc>
      </w:tr>
      <w:tr w:rsidR="48116751" w14:paraId="1C5979C4" w14:textId="77777777" w:rsidTr="48116751">
        <w:tc>
          <w:tcPr>
            <w:tcW w:w="1300" w:type="dxa"/>
          </w:tcPr>
          <w:p w14:paraId="423D5432" w14:textId="31531BF6" w:rsidR="48116751" w:rsidRDefault="48116751">
            <w:r>
              <w:lastRenderedPageBreak/>
              <w:t>Days 75–90</w:t>
            </w:r>
          </w:p>
        </w:tc>
        <w:tc>
          <w:tcPr>
            <w:tcW w:w="4830" w:type="dxa"/>
          </w:tcPr>
          <w:p w14:paraId="43ABEBD5" w14:textId="2A3102BA" w:rsidR="48116751" w:rsidRDefault="48116751">
            <w:r>
              <w:t>Review honestly. Judge on named contacts, replies and one scoped proposal — not on activity.</w:t>
            </w:r>
          </w:p>
        </w:tc>
        <w:tc>
          <w:tcPr>
            <w:tcW w:w="3230" w:type="dxa"/>
          </w:tcPr>
          <w:p w14:paraId="798563D4" w14:textId="230EE97E" w:rsidR="48116751" w:rsidRDefault="48116751">
            <w:r>
              <w:t>A decision to continue investing in the account or to stop, taken on evidence.</w:t>
            </w:r>
          </w:p>
        </w:tc>
      </w:tr>
    </w:tbl>
    <w:p w14:paraId="15AB9497" w14:textId="38AA7D86" w:rsidR="48116751" w:rsidRDefault="48116751" w:rsidP="48116751">
      <w:pPr>
        <w:pStyle w:val="Heading2"/>
      </w:pPr>
      <w:r w:rsidRPr="48116751">
        <w:rPr>
          <w:color w:val="64381F"/>
        </w:rPr>
        <w:t>Sources</w:t>
      </w:r>
    </w:p>
    <w:p w14:paraId="5B729ED8" w14:textId="22C35D7A" w:rsidR="48116751" w:rsidRDefault="48116751">
      <w:r>
        <w:t>Internal sources. A search of the connected Microsoft 365 workspace covering the mailbox and sent items, Teams chats and channel messages, the calendar, meeting transcripts, and SharePoint and OneDrive files returned no material relating to JPMorgan Chase or any other banking customer. Every figure and name in this plan is therefore drawn from the public sources below.</w:t>
      </w:r>
    </w:p>
    <w:p w14:paraId="33F84191" w14:textId="4D779F73" w:rsidR="48116751" w:rsidRDefault="48116751">
      <w:r w:rsidRPr="48116751">
        <w:rPr>
          <w:color w:val="3B3B3B"/>
          <w:sz w:val="20"/>
          <w:szCs w:val="20"/>
        </w:rPr>
        <w:t>JPMorgan Chase &amp; Co., second-quarter 2026 earnings press release, 14 July 2026. Source of all financial figures: net income, revenue, EPS, ROE, ROTCE, CET1, segment results, AUM, charge-off rates and Dimon's quoted commentary. jpmorganchase.com/ir</w:t>
      </w:r>
    </w:p>
    <w:p w14:paraId="22EB03F5" w14:textId="1BB6A192" w:rsidR="48116751" w:rsidRDefault="48116751">
      <w:r w:rsidRPr="48116751">
        <w:rPr>
          <w:color w:val="3B3B3B"/>
          <w:sz w:val="20"/>
          <w:szCs w:val="20"/>
        </w:rPr>
        <w:t>JPMorgan Chase &amp; Co., leadership page, jpmorganchase.com/about/leadership. Source of the Operating Committee names and titles and the eleven-member Board of Directors.</w:t>
      </w:r>
    </w:p>
    <w:p w14:paraId="148E4A71" w14:textId="74CD4681" w:rsidR="48116751" w:rsidRDefault="48116751">
      <w:r w:rsidRPr="48116751">
        <w:rPr>
          <w:color w:val="3B3B3B"/>
          <w:sz w:val="20"/>
          <w:szCs w:val="20"/>
        </w:rPr>
        <w:t>Hudson Labs, "JPMorgan Chase Competitors: JPM Top Peers 2026", 24 March 2026. Source of the market capitalisation table and the peer positioning.</w:t>
      </w:r>
    </w:p>
    <w:p w14:paraId="5F7562D0" w14:textId="2C8DFF54" w:rsidR="48116751" w:rsidRDefault="48116751">
      <w:r w:rsidRPr="48116751">
        <w:rPr>
          <w:color w:val="3B3B3B"/>
          <w:sz w:val="20"/>
          <w:szCs w:val="20"/>
        </w:rPr>
        <w:t>Banking Dive, "JPMorgan blasts capital proposals, estimates 4% increase", 14 April 2026. Source of the $20 billion capital estimate, the $130 billion RWA increase, the G-SIB commentary and Dimon's remarks on AI and cyber risk.</w:t>
      </w:r>
    </w:p>
    <w:p w14:paraId="68E9BF70" w14:textId="478F9C5E" w:rsidR="48116751" w:rsidRDefault="48116751">
      <w:r w:rsidRPr="48116751">
        <w:rPr>
          <w:color w:val="3B3B3B"/>
          <w:sz w:val="20"/>
          <w:szCs w:val="20"/>
        </w:rPr>
        <w:t>CNBC, "JPMorgan Chase to deploy more powerful AI agents this year", 9 June 2026, and contemporaneous reporting on the $19.8 billion 2026 technology budget and the LLM Suite deployment to approximately 250,000 employees.</w:t>
      </w:r>
    </w:p>
    <w:sectPr w:rsidR="48116751"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6333100">
    <w:abstractNumId w:val="8"/>
  </w:num>
  <w:num w:numId="2" w16cid:durableId="1301375942">
    <w:abstractNumId w:val="6"/>
  </w:num>
  <w:num w:numId="3" w16cid:durableId="1437948204">
    <w:abstractNumId w:val="5"/>
  </w:num>
  <w:num w:numId="4" w16cid:durableId="1675104658">
    <w:abstractNumId w:val="4"/>
  </w:num>
  <w:num w:numId="5" w16cid:durableId="780606448">
    <w:abstractNumId w:val="7"/>
  </w:num>
  <w:num w:numId="6" w16cid:durableId="1209486805">
    <w:abstractNumId w:val="3"/>
  </w:num>
  <w:num w:numId="7" w16cid:durableId="1776703671">
    <w:abstractNumId w:val="2"/>
  </w:num>
  <w:num w:numId="8" w16cid:durableId="23949139">
    <w:abstractNumId w:val="1"/>
  </w:num>
  <w:num w:numId="9" w16cid:durableId="2016765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CB0664"/>
    <w:rsid w:val="00EF0AE3"/>
    <w:rsid w:val="00F340E5"/>
    <w:rsid w:val="00FC693F"/>
    <w:rsid w:val="0200E81D"/>
    <w:rsid w:val="0C7A9B28"/>
    <w:rsid w:val="0D9B2D84"/>
    <w:rsid w:val="0FA98366"/>
    <w:rsid w:val="16D2383E"/>
    <w:rsid w:val="1B127DA8"/>
    <w:rsid w:val="1D81557D"/>
    <w:rsid w:val="1E246560"/>
    <w:rsid w:val="2661B231"/>
    <w:rsid w:val="2730243E"/>
    <w:rsid w:val="28302AC8"/>
    <w:rsid w:val="28CABB59"/>
    <w:rsid w:val="29B6EC7A"/>
    <w:rsid w:val="2FD35B78"/>
    <w:rsid w:val="3D0AC770"/>
    <w:rsid w:val="45DCAD81"/>
    <w:rsid w:val="47419453"/>
    <w:rsid w:val="48116751"/>
    <w:rsid w:val="4A670757"/>
    <w:rsid w:val="4C2D9751"/>
    <w:rsid w:val="4D8373C9"/>
    <w:rsid w:val="562FFBED"/>
    <w:rsid w:val="56545334"/>
    <w:rsid w:val="58CCE09D"/>
    <w:rsid w:val="598C8F2A"/>
    <w:rsid w:val="5BC2318B"/>
    <w:rsid w:val="635E57C5"/>
    <w:rsid w:val="6486E5FA"/>
    <w:rsid w:val="649C1086"/>
    <w:rsid w:val="65282395"/>
    <w:rsid w:val="6D13EF2D"/>
    <w:rsid w:val="6D79250A"/>
    <w:rsid w:val="6F4E789F"/>
    <w:rsid w:val="71458826"/>
    <w:rsid w:val="7D01E1CD"/>
    <w:rsid w:val="7ECA0B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0C34C1E-4E66-4F43-9EAE-93FE6480C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ece1660-89e4-4efe-8613-f619625afc8d" xsi:nil="true"/>
    <_ip_UnifiedCompliancePolicyProperties xmlns="http://schemas.microsoft.com/sharepoint/v3" xsi:nil="true"/>
    <lcf76f155ced4ddcb4097134ff3c332f xmlns="debf2d1a-3119-443f-9311-2f3fb0fd7de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3E96D4-B2A1-4BA4-8862-BD5BFED7C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bf2d1a-3119-443f-9311-2f3fb0fd7de8"/>
    <ds:schemaRef ds:uri="9ece1660-89e4-4efe-8613-f619625af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C80511B8-6396-4170-8B64-9CBFBFE3DF3C}">
  <ds:schemaRefs>
    <ds:schemaRef ds:uri="http://schemas.microsoft.com/office/2006/metadata/properties"/>
    <ds:schemaRef ds:uri="http://schemas.microsoft.com/office/infopath/2007/PartnerControls"/>
    <ds:schemaRef ds:uri="http://schemas.microsoft.com/sharepoint/v3"/>
    <ds:schemaRef ds:uri="9ece1660-89e4-4efe-8613-f619625afc8d"/>
    <ds:schemaRef ds:uri="debf2d1a-3119-443f-9311-2f3fb0fd7de8"/>
  </ds:schemaRefs>
</ds:datastoreItem>
</file>

<file path=customXml/itemProps4.xml><?xml version="1.0" encoding="utf-8"?>
<ds:datastoreItem xmlns:ds="http://schemas.openxmlformats.org/officeDocument/2006/customXml" ds:itemID="{0F0F2331-4E51-4258-A835-9D3E691A28F4}">
  <ds:schemaRefs>
    <ds:schemaRef ds:uri="http://schemas.microsoft.com/sharepoint/v3/contenttype/forms"/>
  </ds:schemaRefs>
</ds:datastoreItem>
</file>

<file path=docMetadata/LabelInfo.xml><?xml version="1.0" encoding="utf-8"?>
<clbl:labelList xmlns:clbl="http://schemas.microsoft.com/office/2020/mipLabelMetadata">
  <clbl:label id="{87867195-f2b8-4ac2-b0b6-6bb73cb33af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2361</Words>
  <Characters>13458</Characters>
  <Application>Microsoft Office Word</Application>
  <DocSecurity>0</DocSecurity>
  <Lines>112</Lines>
  <Paragraphs>31</Paragraphs>
  <ScaleCrop>false</ScaleCrop>
  <Manager/>
  <Company/>
  <LinksUpToDate>false</LinksUpToDate>
  <CharactersWithSpaces>15788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Bojan Buhac</cp:lastModifiedBy>
  <cp:revision>3</cp:revision>
  <dcterms:created xsi:type="dcterms:W3CDTF">2026-09-03T11:51:00Z</dcterms:created>
  <dcterms:modified xsi:type="dcterms:W3CDTF">2026-09-03T19:59:00Z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0x01010042410C10365B41458A488A2E06A7CDDA</vt:lpwstr>
  </property>
  <property fmtid="{D5CDD505-2E9C-101B-9397-08002B2CF9AE}" pid="3" name="MediaServiceImageTags">
    <vt:lpwstr/>
  </property>
</Properties>
</file>