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405EE" w:rsidRDefault="006405EE"/>
    <w:p w14:paraId="2AAEA92D" w14:textId="3007E85B" w:rsidR="281675E4" w:rsidRDefault="281675E4" w:rsidP="281675E4">
      <w:pPr>
        <w:pStyle w:val="Title"/>
      </w:pPr>
      <w:r w:rsidRPr="281675E4">
        <w:rPr>
          <w:b/>
          <w:bCs/>
          <w:color w:val="64381F"/>
        </w:rPr>
        <w:t>Account Plan — U.S. Bank (U.S. Bancorp)</w:t>
      </w:r>
    </w:p>
    <w:p w14:paraId="1B508AC9" w14:textId="7C93A57B" w:rsidR="281675E4" w:rsidRDefault="281675E4">
      <w:r w:rsidRPr="281675E4">
        <w:rPr>
          <w:i/>
          <w:iCs/>
          <w:color w:val="7A7A7A"/>
          <w:sz w:val="20"/>
          <w:szCs w:val="20"/>
        </w:rPr>
        <w:t>Prepared for Bojan Buhac, How2Demos · Q3 2026 · Prepared 3 September 2026</w:t>
      </w:r>
    </w:p>
    <w:p w14:paraId="4AB3DC48" w14:textId="65693EA2" w:rsidR="281675E4" w:rsidRDefault="281675E4" w:rsidP="281675E4">
      <w:pPr>
        <w:pStyle w:val="Heading1"/>
      </w:pPr>
      <w:r w:rsidRPr="281675E4">
        <w:rPr>
          <w:color w:val="64381F"/>
        </w:rPr>
        <w:t>How this plan was built — and where the gaps are</w:t>
      </w:r>
    </w:p>
    <w:p w14:paraId="43BB425F" w14:textId="2D7A280E" w:rsidR="281675E4" w:rsidRDefault="281675E4">
      <w:r>
        <w:t>This plan was requested with your Microsoft 365 content as the primary source. That search was run and it came up almost empty, so the honest starting point is that this document is built on public information, not on an internal evidence base. A search across your Outlook mail, Teams chats, calendar and SharePoint/OneDrive returned no banking or financial-services customer with activity in the current quarter. Your calendar holds no events between 1 July and 30 September 2026; your recent inbox is almost entirely Microsoft service notifications; and the only customer-shaped material in your files relates to Holcim/CRH, a TIGRIS statement of work, and a library of generic RFP templates on the Bids and Tenders site.</w:t>
      </w:r>
    </w:p>
    <w:p w14:paraId="54947CBA" w14:textId="77471532" w:rsidR="281675E4" w:rsidRDefault="281675E4">
      <w:r>
        <w:t>One banking signal does exist. On 2 June 2026 a colleague, Valene Samuels, activated an AI Administrator role in the How2Demos directory with the justification "Customer demo prep - US Bank". That single administrative record is the only reference to a banking customer anywhere in your workspace, and it is the reason this plan is written against U.S. Bancorp. It is thin evidence for calling U.S. Bank your most active banking customer, and the plan should be read as a public-source briefing to be corrected against CRM and account-team knowledge, not as a validated internal account record.</w:t>
      </w:r>
    </w:p>
    <w:p w14:paraId="445CC537" w14:textId="621FA966" w:rsidR="281675E4" w:rsidRDefault="281675E4">
      <w:r>
        <w:t xml:space="preserve">Everything </w:t>
      </w:r>
      <w:proofErr w:type="gramStart"/>
      <w:r>
        <w:t>below that</w:t>
      </w:r>
      <w:proofErr w:type="gramEnd"/>
      <w:r>
        <w:t xml:space="preserve"> carries a figure, date or name is sourced from the public record and cited in the Sources section. Fields that would normally come from internal systems — contract values, contact names, deal stages — are marked as open items rather than filled with plausible-looking numbers.</w:t>
      </w:r>
    </w:p>
    <w:p w14:paraId="4A5E19AC" w14:textId="7C7C8DD2" w:rsidR="281675E4" w:rsidRDefault="281675E4" w:rsidP="281675E4">
      <w:pPr>
        <w:pStyle w:val="Heading1"/>
      </w:pPr>
      <w:r w:rsidRPr="281675E4">
        <w:rPr>
          <w:color w:val="64381F"/>
        </w:rPr>
        <w:t>Executive summary</w:t>
      </w:r>
    </w:p>
    <w:p w14:paraId="51F6E8AE" w14:textId="4D70BD0E" w:rsidR="281675E4" w:rsidRDefault="281675E4">
      <w:r>
        <w:t>U.S. Bancorp, the Minneapolis-headquartered parent of U.S. Bank National Association, is the fifth-largest commercial bank in the United States. Its three major business lines serve 15 million clients across the U.S., Canada and Europe with a workforce of nearly 70,000, and it sits 105th on the Fortune 500. The consumer and business franchise it is currently modernising covers approximately 13 million consumers and 1.4 million businesses.</w:t>
      </w:r>
    </w:p>
    <w:p w14:paraId="5D551AD9" w14:textId="1D2A79BB" w:rsidR="281675E4" w:rsidRDefault="281675E4">
      <w:r>
        <w:t xml:space="preserve">The bank enters the second half of 2026 from a position of strength. Second-quarter results reported on 16 July 2026 showed record net revenue of $7,712 million, net income of $2,177 million and diluted earnings per share of $1.35, up 22 percent year over year. Return on tangible common equity reached 18.7 percent, the efficiency ratio improved to 57.1 percent, and the quarter delivered 400 basis points of positive operating leverage. Chief Executive Gunjan Kedia attributed </w:t>
      </w:r>
      <w:r>
        <w:lastRenderedPageBreak/>
        <w:t xml:space="preserve">the result to strong loan growth, a third consecutive quarter of record consumer deposits and broad-based fee income </w:t>
      </w:r>
      <w:proofErr w:type="gramStart"/>
      <w:r>
        <w:t>momentum, and</w:t>
      </w:r>
      <w:proofErr w:type="gramEnd"/>
      <w:r>
        <w:t xml:space="preserve"> characterised the outlook as a favourable economic backdrop with strong momentum.</w:t>
      </w:r>
    </w:p>
    <w:p w14:paraId="5964D068" w14:textId="4B453633" w:rsidR="281675E4" w:rsidRDefault="281675E4">
      <w:r>
        <w:t>Two structural moves define the account's near-term shape. The first is capital markets expansion: the acquisition of Condor Trading LP and its subsidiary BTIG closed effective 1 June 2026, contributing roughly $98 million in fee revenue and $84 million of noninterest expense in the quarter, and bringing institutional equity sales and trading, equity capital markets, electronic trading and M&amp;A advisory into the group. The second is a multi-year cloud and AI programme announced on 7 May 2026, under which the bank will migrate hundreds of mission-critical applications to Amazon Web Services and build generative AI capability on Amazon Bedrock, Amazon Nova Sonic and Amazon Connect.</w:t>
      </w:r>
    </w:p>
    <w:p w14:paraId="510990E9" w14:textId="48E8E4F9" w:rsidR="281675E4" w:rsidRDefault="281675E4">
      <w:r>
        <w:t xml:space="preserve">For a consulting relationship the implication is direct. Kedia has named revenue growth, </w:t>
      </w:r>
      <w:proofErr w:type="gramStart"/>
      <w:r>
        <w:t>strengthening</w:t>
      </w:r>
      <w:proofErr w:type="gramEnd"/>
      <w:r>
        <w:t xml:space="preserve"> the consumer and small business franchise, and becoming AI-native as her top priorities, while Chief Financial Officer John Stern has tied the bank's operating leverage story explicitly to the ongoing deployment of AI and automation tools. Spending is following the strategy: technology and communications </w:t>
      </w:r>
      <w:proofErr w:type="gramStart"/>
      <w:r>
        <w:t>expense</w:t>
      </w:r>
      <w:proofErr w:type="gramEnd"/>
      <w:r>
        <w:t xml:space="preserve"> grew 7.5 percent year over year to $573 million in the first quarter of 2026. The demand is real and funded, but the primary platform commitment is to AWS, which shapes where an advisory or Microsoft-centred engagement can credibly play.</w:t>
      </w:r>
    </w:p>
    <w:p w14:paraId="78154E93" w14:textId="646CB524" w:rsidR="281675E4" w:rsidRDefault="281675E4" w:rsidP="281675E4">
      <w:pPr>
        <w:pStyle w:val="Heading2"/>
      </w:pPr>
      <w:r w:rsidRPr="281675E4">
        <w:rPr>
          <w:color w:val="64381F"/>
        </w:rPr>
        <w:t>Key public metrics</w:t>
      </w:r>
    </w:p>
    <w:tbl>
      <w:tblPr>
        <w:tblStyle w:val="TableGrid"/>
        <w:tblW w:w="0" w:type="auto"/>
        <w:tblLook w:val="0000" w:firstRow="0" w:lastRow="0" w:firstColumn="0" w:lastColumn="0" w:noHBand="0" w:noVBand="0"/>
      </w:tblPr>
      <w:tblGrid>
        <w:gridCol w:w="3120"/>
        <w:gridCol w:w="3120"/>
        <w:gridCol w:w="3120"/>
      </w:tblGrid>
      <w:tr w:rsidR="281675E4" w14:paraId="616F9B8C" w14:textId="77777777" w:rsidTr="281675E4">
        <w:tc>
          <w:tcPr>
            <w:tcW w:w="3120" w:type="dxa"/>
          </w:tcPr>
          <w:p w14:paraId="3820AD7A" w14:textId="1C229EB8" w:rsidR="281675E4" w:rsidRDefault="281675E4">
            <w:r>
              <w:t>Measure</w:t>
            </w:r>
          </w:p>
        </w:tc>
        <w:tc>
          <w:tcPr>
            <w:tcW w:w="3120" w:type="dxa"/>
          </w:tcPr>
          <w:p w14:paraId="31B8BC48" w14:textId="1500857C" w:rsidR="281675E4" w:rsidRDefault="281675E4">
            <w:r>
              <w:t>Q2 2026</w:t>
            </w:r>
          </w:p>
        </w:tc>
        <w:tc>
          <w:tcPr>
            <w:tcW w:w="3120" w:type="dxa"/>
          </w:tcPr>
          <w:p w14:paraId="68A6528F" w14:textId="0DDE6C40" w:rsidR="281675E4" w:rsidRDefault="281675E4">
            <w:r>
              <w:t>Year-over-year</w:t>
            </w:r>
          </w:p>
        </w:tc>
      </w:tr>
      <w:tr w:rsidR="281675E4" w14:paraId="4093C5A8" w14:textId="77777777" w:rsidTr="281675E4">
        <w:tc>
          <w:tcPr>
            <w:tcW w:w="3120" w:type="dxa"/>
          </w:tcPr>
          <w:p w14:paraId="5F62C42A" w14:textId="24F3CCB5" w:rsidR="281675E4" w:rsidRDefault="281675E4">
            <w:r>
              <w:t>Net revenue</w:t>
            </w:r>
          </w:p>
        </w:tc>
        <w:tc>
          <w:tcPr>
            <w:tcW w:w="3120" w:type="dxa"/>
          </w:tcPr>
          <w:p w14:paraId="6CF3B6EE" w14:textId="1DD1B379" w:rsidR="281675E4" w:rsidRDefault="281675E4">
            <w:r>
              <w:t>$7,712 million (record)</w:t>
            </w:r>
          </w:p>
        </w:tc>
        <w:tc>
          <w:tcPr>
            <w:tcW w:w="3120" w:type="dxa"/>
          </w:tcPr>
          <w:p w14:paraId="709CBC65" w14:textId="16AF9A3D" w:rsidR="281675E4" w:rsidRDefault="281675E4">
            <w:r>
              <w:t>NII +7.5%, fee revenue +13.2%</w:t>
            </w:r>
          </w:p>
        </w:tc>
      </w:tr>
      <w:tr w:rsidR="281675E4" w14:paraId="6015B143" w14:textId="77777777" w:rsidTr="281675E4">
        <w:tc>
          <w:tcPr>
            <w:tcW w:w="3120" w:type="dxa"/>
          </w:tcPr>
          <w:p w14:paraId="24746DBD" w14:textId="2DC4FAB2" w:rsidR="281675E4" w:rsidRDefault="281675E4">
            <w:r>
              <w:t>Net income</w:t>
            </w:r>
          </w:p>
        </w:tc>
        <w:tc>
          <w:tcPr>
            <w:tcW w:w="3120" w:type="dxa"/>
          </w:tcPr>
          <w:p w14:paraId="11534F91" w14:textId="26A2E176" w:rsidR="281675E4" w:rsidRDefault="281675E4">
            <w:r>
              <w:t>$2,177 million</w:t>
            </w:r>
          </w:p>
        </w:tc>
        <w:tc>
          <w:tcPr>
            <w:tcW w:w="3120" w:type="dxa"/>
          </w:tcPr>
          <w:p w14:paraId="45383673" w14:textId="1F80C83A" w:rsidR="281675E4" w:rsidRDefault="281675E4">
            <w:r>
              <w:t>+20%</w:t>
            </w:r>
          </w:p>
        </w:tc>
      </w:tr>
      <w:tr w:rsidR="281675E4" w14:paraId="1BACFF7D" w14:textId="77777777" w:rsidTr="281675E4">
        <w:tc>
          <w:tcPr>
            <w:tcW w:w="3120" w:type="dxa"/>
          </w:tcPr>
          <w:p w14:paraId="11DFC3F4" w14:textId="369628AF" w:rsidR="281675E4" w:rsidRDefault="281675E4">
            <w:r>
              <w:t>Diluted EPS</w:t>
            </w:r>
          </w:p>
        </w:tc>
        <w:tc>
          <w:tcPr>
            <w:tcW w:w="3120" w:type="dxa"/>
          </w:tcPr>
          <w:p w14:paraId="409BA903" w14:textId="2F740F73" w:rsidR="281675E4" w:rsidRDefault="281675E4">
            <w:r>
              <w:t>$1.35</w:t>
            </w:r>
          </w:p>
        </w:tc>
        <w:tc>
          <w:tcPr>
            <w:tcW w:w="3120" w:type="dxa"/>
          </w:tcPr>
          <w:p w14:paraId="15CB9271" w14:textId="2851F637" w:rsidR="281675E4" w:rsidRDefault="281675E4">
            <w:r>
              <w:t>+22%</w:t>
            </w:r>
          </w:p>
        </w:tc>
      </w:tr>
      <w:tr w:rsidR="281675E4" w14:paraId="355E9DB2" w14:textId="77777777" w:rsidTr="281675E4">
        <w:tc>
          <w:tcPr>
            <w:tcW w:w="3120" w:type="dxa"/>
          </w:tcPr>
          <w:p w14:paraId="7A3720A4" w14:textId="3F6756AC" w:rsidR="281675E4" w:rsidRDefault="281675E4">
            <w:r>
              <w:t>Return on tangible common equity</w:t>
            </w:r>
          </w:p>
        </w:tc>
        <w:tc>
          <w:tcPr>
            <w:tcW w:w="3120" w:type="dxa"/>
          </w:tcPr>
          <w:p w14:paraId="1FC9512A" w14:textId="38453D70" w:rsidR="281675E4" w:rsidRDefault="281675E4">
            <w:r>
              <w:t>18.7%</w:t>
            </w:r>
          </w:p>
        </w:tc>
        <w:tc>
          <w:tcPr>
            <w:tcW w:w="3120" w:type="dxa"/>
          </w:tcPr>
          <w:p w14:paraId="65B79E11" w14:textId="31232434" w:rsidR="281675E4" w:rsidRDefault="281675E4">
            <w:r>
              <w:t>Cited by CEO as a headline result</w:t>
            </w:r>
          </w:p>
        </w:tc>
      </w:tr>
      <w:tr w:rsidR="281675E4" w14:paraId="55D9BE81" w14:textId="77777777" w:rsidTr="281675E4">
        <w:tc>
          <w:tcPr>
            <w:tcW w:w="3120" w:type="dxa"/>
          </w:tcPr>
          <w:p w14:paraId="2BD9D7F4" w14:textId="483884A9" w:rsidR="281675E4" w:rsidRDefault="281675E4">
            <w:r>
              <w:t>Efficiency ratio</w:t>
            </w:r>
          </w:p>
        </w:tc>
        <w:tc>
          <w:tcPr>
            <w:tcW w:w="3120" w:type="dxa"/>
          </w:tcPr>
          <w:p w14:paraId="23C13526" w14:textId="41166B6D" w:rsidR="281675E4" w:rsidRDefault="281675E4">
            <w:r>
              <w:t>57.1%</w:t>
            </w:r>
          </w:p>
        </w:tc>
        <w:tc>
          <w:tcPr>
            <w:tcW w:w="3120" w:type="dxa"/>
          </w:tcPr>
          <w:p w14:paraId="4B25002B" w14:textId="39F45231" w:rsidR="281675E4" w:rsidRDefault="281675E4">
            <w:r>
              <w:t>Improved YoY and vs. prior quarter</w:t>
            </w:r>
          </w:p>
        </w:tc>
      </w:tr>
      <w:tr w:rsidR="281675E4" w14:paraId="2B73F451" w14:textId="77777777" w:rsidTr="281675E4">
        <w:tc>
          <w:tcPr>
            <w:tcW w:w="3120" w:type="dxa"/>
          </w:tcPr>
          <w:p w14:paraId="4CF5E13C" w14:textId="5109B2A6" w:rsidR="281675E4" w:rsidRDefault="281675E4">
            <w:r>
              <w:t>Net interest margin</w:t>
            </w:r>
          </w:p>
        </w:tc>
        <w:tc>
          <w:tcPr>
            <w:tcW w:w="3120" w:type="dxa"/>
          </w:tcPr>
          <w:p w14:paraId="1DDB4621" w14:textId="49E7996A" w:rsidR="281675E4" w:rsidRDefault="281675E4">
            <w:r>
              <w:t>2.79%</w:t>
            </w:r>
          </w:p>
        </w:tc>
        <w:tc>
          <w:tcPr>
            <w:tcW w:w="3120" w:type="dxa"/>
          </w:tcPr>
          <w:p w14:paraId="27E077E6" w14:textId="42C5802E" w:rsidR="281675E4" w:rsidRDefault="281675E4">
            <w:r>
              <w:t>+13 basis points</w:t>
            </w:r>
          </w:p>
        </w:tc>
      </w:tr>
      <w:tr w:rsidR="281675E4" w14:paraId="2675F8E1" w14:textId="77777777" w:rsidTr="281675E4">
        <w:tc>
          <w:tcPr>
            <w:tcW w:w="3120" w:type="dxa"/>
          </w:tcPr>
          <w:p w14:paraId="57F4969F" w14:textId="59DAE0A3" w:rsidR="281675E4" w:rsidRDefault="281675E4">
            <w:r>
              <w:t>CET1 capital ratio</w:t>
            </w:r>
          </w:p>
        </w:tc>
        <w:tc>
          <w:tcPr>
            <w:tcW w:w="3120" w:type="dxa"/>
          </w:tcPr>
          <w:p w14:paraId="769AE270" w14:textId="52B8C767" w:rsidR="281675E4" w:rsidRDefault="281675E4">
            <w:r>
              <w:t xml:space="preserve">10.8% </w:t>
            </w:r>
            <w:proofErr w:type="gramStart"/>
            <w:r>
              <w:t>at</w:t>
            </w:r>
            <w:proofErr w:type="gramEnd"/>
            <w:r>
              <w:t xml:space="preserve"> 30 June 2026</w:t>
            </w:r>
          </w:p>
        </w:tc>
        <w:tc>
          <w:tcPr>
            <w:tcW w:w="3120" w:type="dxa"/>
          </w:tcPr>
          <w:p w14:paraId="2B07EF47" w14:textId="4B96AE2B" w:rsidR="281675E4" w:rsidRDefault="281675E4">
            <w:r>
              <w:t>Loans +7.1%, deposits +2.4% on average</w:t>
            </w:r>
          </w:p>
        </w:tc>
      </w:tr>
    </w:tbl>
    <w:p w14:paraId="38AA0132" w14:textId="5C1E31C3" w:rsidR="281675E4" w:rsidRDefault="281675E4">
      <w:r w:rsidRPr="281675E4">
        <w:rPr>
          <w:i/>
          <w:iCs/>
          <w:color w:val="7A7A7A"/>
          <w:sz w:val="18"/>
          <w:szCs w:val="18"/>
        </w:rPr>
        <w:t>Source: U.S. Bancorp second quarter 2026 results, published 16 July 2026.</w:t>
      </w:r>
    </w:p>
    <w:p w14:paraId="1C38F8E5" w14:textId="1A575B17" w:rsidR="281675E4" w:rsidRDefault="281675E4" w:rsidP="281675E4">
      <w:pPr>
        <w:pStyle w:val="Heading1"/>
      </w:pPr>
      <w:r w:rsidRPr="281675E4">
        <w:rPr>
          <w:color w:val="64381F"/>
        </w:rPr>
        <w:t>Relationship map</w:t>
      </w:r>
    </w:p>
    <w:p w14:paraId="46D71A86" w14:textId="7368C6F9" w:rsidR="281675E4" w:rsidRDefault="281675E4">
      <w:r>
        <w:t xml:space="preserve">No relationship data exists in your mail, chats, calendar or files for this account, so the map below is built from publicly named executives rather than from people you have </w:t>
      </w:r>
      <w:proofErr w:type="gramStart"/>
      <w:r>
        <w:t>actually met</w:t>
      </w:r>
      <w:proofErr w:type="gramEnd"/>
      <w:r>
        <w:t>. Treat it as a target map: it says who matters at the bank, not who knows you. The How2Demos side of the map is deliberately left open because there is no internal record of an account team.</w:t>
      </w:r>
    </w:p>
    <w:p w14:paraId="756FD054" w14:textId="1D88A86F" w:rsidR="281675E4" w:rsidRDefault="281675E4" w:rsidP="281675E4">
      <w:pPr>
        <w:pStyle w:val="Heading2"/>
      </w:pPr>
      <w:r w:rsidRPr="281675E4">
        <w:rPr>
          <w:color w:val="64381F"/>
        </w:rPr>
        <w:t>Publicly identified stakeholders at U.S. Bank</w:t>
      </w:r>
    </w:p>
    <w:tbl>
      <w:tblPr>
        <w:tblStyle w:val="TableGrid"/>
        <w:tblW w:w="0" w:type="auto"/>
        <w:tblLook w:val="0000" w:firstRow="0" w:lastRow="0" w:firstColumn="0" w:lastColumn="0" w:noHBand="0" w:noVBand="0"/>
      </w:tblPr>
      <w:tblGrid>
        <w:gridCol w:w="3120"/>
        <w:gridCol w:w="3120"/>
        <w:gridCol w:w="3120"/>
      </w:tblGrid>
      <w:tr w:rsidR="281675E4" w14:paraId="66CAB0F2" w14:textId="77777777" w:rsidTr="281675E4">
        <w:tc>
          <w:tcPr>
            <w:tcW w:w="3120" w:type="dxa"/>
          </w:tcPr>
          <w:p w14:paraId="4A7F2276" w14:textId="645B2361" w:rsidR="281675E4" w:rsidRDefault="281675E4">
            <w:r>
              <w:t>Name</w:t>
            </w:r>
          </w:p>
        </w:tc>
        <w:tc>
          <w:tcPr>
            <w:tcW w:w="3120" w:type="dxa"/>
          </w:tcPr>
          <w:p w14:paraId="343CD0BF" w14:textId="5D390A25" w:rsidR="281675E4" w:rsidRDefault="281675E4">
            <w:r>
              <w:t>Role</w:t>
            </w:r>
          </w:p>
        </w:tc>
        <w:tc>
          <w:tcPr>
            <w:tcW w:w="3120" w:type="dxa"/>
          </w:tcPr>
          <w:p w14:paraId="7D4D47F8" w14:textId="5616F0E9" w:rsidR="281675E4" w:rsidRDefault="281675E4">
            <w:r w:rsidRPr="281675E4">
              <w:rPr>
                <w:b/>
                <w:bCs/>
              </w:rPr>
              <w:t>Why they matter / known position</w:t>
            </w:r>
          </w:p>
        </w:tc>
      </w:tr>
      <w:tr w:rsidR="281675E4" w14:paraId="70192C51" w14:textId="77777777" w:rsidTr="281675E4">
        <w:tc>
          <w:tcPr>
            <w:tcW w:w="3120" w:type="dxa"/>
          </w:tcPr>
          <w:p w14:paraId="2373975B" w14:textId="6D2C515E" w:rsidR="281675E4" w:rsidRDefault="281675E4">
            <w:r>
              <w:lastRenderedPageBreak/>
              <w:t>Gunjan Kedia</w:t>
            </w:r>
          </w:p>
        </w:tc>
        <w:tc>
          <w:tcPr>
            <w:tcW w:w="3120" w:type="dxa"/>
          </w:tcPr>
          <w:p w14:paraId="754F2AC7" w14:textId="660A3822" w:rsidR="281675E4" w:rsidRDefault="281675E4">
            <w:r>
              <w:t>President and Chief Executive Officer</w:t>
            </w:r>
          </w:p>
        </w:tc>
        <w:tc>
          <w:tcPr>
            <w:tcW w:w="3120" w:type="dxa"/>
          </w:tcPr>
          <w:p w14:paraId="51568025" w14:textId="5EE81EE6" w:rsidR="281675E4" w:rsidRDefault="281675E4">
            <w:r>
              <w:t xml:space="preserve">Sets the three stated priorities: revenue growth, </w:t>
            </w:r>
            <w:proofErr w:type="gramStart"/>
            <w:r>
              <w:t>a stronger</w:t>
            </w:r>
            <w:proofErr w:type="gramEnd"/>
            <w:r>
              <w:t xml:space="preserve"> consumer and small business franchise, and becoming AI-native. Any proposal must ladder to one of these.</w:t>
            </w:r>
          </w:p>
        </w:tc>
      </w:tr>
      <w:tr w:rsidR="281675E4" w14:paraId="466F0ECE" w14:textId="77777777" w:rsidTr="281675E4">
        <w:tc>
          <w:tcPr>
            <w:tcW w:w="3120" w:type="dxa"/>
          </w:tcPr>
          <w:p w14:paraId="33E66BF7" w14:textId="75FD7F5B" w:rsidR="281675E4" w:rsidRDefault="281675E4">
            <w:r>
              <w:t>John Stern</w:t>
            </w:r>
          </w:p>
        </w:tc>
        <w:tc>
          <w:tcPr>
            <w:tcW w:w="3120" w:type="dxa"/>
          </w:tcPr>
          <w:p w14:paraId="370751A0" w14:textId="6EDB661F" w:rsidR="281675E4" w:rsidRDefault="281675E4">
            <w:r>
              <w:t>Chief Financial Officer</w:t>
            </w:r>
          </w:p>
        </w:tc>
        <w:tc>
          <w:tcPr>
            <w:tcW w:w="3120" w:type="dxa"/>
          </w:tcPr>
          <w:p w14:paraId="7D4B0FDB" w14:textId="67B94CE3" w:rsidR="281675E4" w:rsidRDefault="281675E4">
            <w:r>
              <w:t>Owns the operating leverage narrative and has publicly tied future efficiency gains to AI and automation deployment. The economic buyer for any productivity case.</w:t>
            </w:r>
          </w:p>
        </w:tc>
      </w:tr>
      <w:tr w:rsidR="281675E4" w14:paraId="61A481E5" w14:textId="77777777" w:rsidTr="281675E4">
        <w:tc>
          <w:tcPr>
            <w:tcW w:w="3120" w:type="dxa"/>
          </w:tcPr>
          <w:p w14:paraId="6D8A7B97" w14:textId="7ECEAD58" w:rsidR="281675E4" w:rsidRDefault="281675E4">
            <w:r>
              <w:t>Andy Bingenheimer</w:t>
            </w:r>
          </w:p>
        </w:tc>
        <w:tc>
          <w:tcPr>
            <w:tcW w:w="3120" w:type="dxa"/>
          </w:tcPr>
          <w:p w14:paraId="2F9247CE" w14:textId="77AC941C" w:rsidR="281675E4" w:rsidRDefault="281675E4">
            <w:r>
              <w:t>CIO, Corporate Functions</w:t>
            </w:r>
          </w:p>
        </w:tc>
        <w:tc>
          <w:tcPr>
            <w:tcW w:w="3120" w:type="dxa"/>
          </w:tcPr>
          <w:p w14:paraId="13D89AC9" w14:textId="708A7AE0" w:rsidR="281675E4" w:rsidRDefault="281675E4">
            <w:r>
              <w:t xml:space="preserve">Named spokesperson on </w:t>
            </w:r>
            <w:proofErr w:type="gramStart"/>
            <w:r>
              <w:t>the cloud</w:t>
            </w:r>
            <w:proofErr w:type="gramEnd"/>
            <w:r>
              <w:t xml:space="preserve"> transformation. Describes the estate as hundreds of contact centres and thousands of toll-free lines being consolidated onto a unified platform, with </w:t>
            </w:r>
            <w:proofErr w:type="gramStart"/>
            <w:r>
              <w:t>agentic</w:t>
            </w:r>
            <w:proofErr w:type="gramEnd"/>
            <w:r>
              <w:t xml:space="preserve"> self-service as the goal.</w:t>
            </w:r>
          </w:p>
        </w:tc>
      </w:tr>
      <w:tr w:rsidR="281675E4" w14:paraId="3FEAB06A" w14:textId="77777777" w:rsidTr="281675E4">
        <w:tc>
          <w:tcPr>
            <w:tcW w:w="3120" w:type="dxa"/>
          </w:tcPr>
          <w:p w14:paraId="7D57B64D" w14:textId="079FDB55" w:rsidR="281675E4" w:rsidRDefault="281675E4">
            <w:r>
              <w:t>Jeff Shelman</w:t>
            </w:r>
          </w:p>
        </w:tc>
        <w:tc>
          <w:tcPr>
            <w:tcW w:w="3120" w:type="dxa"/>
          </w:tcPr>
          <w:p w14:paraId="3A79B2D3" w14:textId="007DC219" w:rsidR="281675E4" w:rsidRDefault="281675E4">
            <w:r>
              <w:t>Enterprise External Communications</w:t>
            </w:r>
          </w:p>
        </w:tc>
        <w:tc>
          <w:tcPr>
            <w:tcW w:w="3120" w:type="dxa"/>
          </w:tcPr>
          <w:p w14:paraId="33124108" w14:textId="795BA8DD" w:rsidR="281675E4" w:rsidRDefault="281675E4">
            <w:r>
              <w:t>Media contact of record on both the Q2 results release and the AWS announcement. Useful for confirming public positioning before a pitch.</w:t>
            </w:r>
          </w:p>
        </w:tc>
      </w:tr>
      <w:tr w:rsidR="281675E4" w14:paraId="432333C4" w14:textId="77777777" w:rsidTr="281675E4">
        <w:tc>
          <w:tcPr>
            <w:tcW w:w="3120" w:type="dxa"/>
          </w:tcPr>
          <w:p w14:paraId="379BE982" w14:textId="10710952" w:rsidR="281675E4" w:rsidRDefault="281675E4">
            <w:r>
              <w:t>Brian Mauney</w:t>
            </w:r>
          </w:p>
        </w:tc>
        <w:tc>
          <w:tcPr>
            <w:tcW w:w="3120" w:type="dxa"/>
          </w:tcPr>
          <w:p w14:paraId="65978D3B" w14:textId="094EF016" w:rsidR="281675E4" w:rsidRDefault="281675E4">
            <w:r>
              <w:t>Investor Relations</w:t>
            </w:r>
          </w:p>
        </w:tc>
        <w:tc>
          <w:tcPr>
            <w:tcW w:w="3120" w:type="dxa"/>
          </w:tcPr>
          <w:p w14:paraId="364DC495" w14:textId="022CD6DA" w:rsidR="281675E4" w:rsidRDefault="281675E4">
            <w:r>
              <w:t>Investor contact on the quarterly release; the route to the earnings supplement and slide deck that underpin the figures in this plan.</w:t>
            </w:r>
          </w:p>
        </w:tc>
      </w:tr>
    </w:tbl>
    <w:p w14:paraId="5F390F9B" w14:textId="104578E5" w:rsidR="281675E4" w:rsidRDefault="281675E4" w:rsidP="281675E4">
      <w:pPr>
        <w:pStyle w:val="Heading2"/>
      </w:pPr>
      <w:r w:rsidRPr="281675E4">
        <w:rPr>
          <w:color w:val="64381F"/>
        </w:rPr>
        <w:t>Open items on the internal side</w:t>
      </w:r>
    </w:p>
    <w:p w14:paraId="183813DD" w14:textId="2A07FACE" w:rsidR="281675E4" w:rsidRDefault="281675E4">
      <w:r>
        <w:t xml:space="preserve">Four things are unknown and cannot be inferred from your workspace. Who at How2Demos owns this account and what their history with the bank is. Which named individuals at U.S. Bank the firm has </w:t>
      </w:r>
      <w:proofErr w:type="gramStart"/>
      <w:r>
        <w:t>actually spoken</w:t>
      </w:r>
      <w:proofErr w:type="gramEnd"/>
      <w:r>
        <w:t xml:space="preserve"> to, at what level, and how recently. What Valene Samuels was preparing on 2 June 2026 and whether that demo took place. And whether any commercial relationship exists at all, or whether this is a pursuit rather than an account. The fastest way to close all four is a conversation with Valene Samuels.</w:t>
      </w:r>
    </w:p>
    <w:p w14:paraId="30F3DFFD" w14:textId="1FFE3DA2" w:rsidR="281675E4" w:rsidRDefault="281675E4" w:rsidP="281675E4">
      <w:pPr>
        <w:pStyle w:val="Heading1"/>
      </w:pPr>
      <w:r w:rsidRPr="281675E4">
        <w:rPr>
          <w:color w:val="64381F"/>
        </w:rPr>
        <w:t>Open opportunities and risks</w:t>
      </w:r>
    </w:p>
    <w:p w14:paraId="55882546" w14:textId="732BBC39" w:rsidR="281675E4" w:rsidRDefault="281675E4">
      <w:r>
        <w:t>There is no pipeline record for this account in your workspace, so nothing below is a tracked deal. These are opportunity hypotheses derived from what the bank has said publicly about where it is spending and what it is trying to change. Each needs to be validated with the account owner before it is carried into a forecast.</w:t>
      </w:r>
    </w:p>
    <w:p w14:paraId="7DBC9709" w14:textId="75192534" w:rsidR="281675E4" w:rsidRDefault="281675E4" w:rsidP="281675E4">
      <w:pPr>
        <w:pStyle w:val="Heading2"/>
      </w:pPr>
      <w:r w:rsidRPr="281675E4">
        <w:rPr>
          <w:color w:val="64381F"/>
        </w:rPr>
        <w:lastRenderedPageBreak/>
        <w:t>Opportunity hypotheses</w:t>
      </w:r>
    </w:p>
    <w:tbl>
      <w:tblPr>
        <w:tblStyle w:val="TableGrid"/>
        <w:tblW w:w="0" w:type="auto"/>
        <w:tblLook w:val="0000" w:firstRow="0" w:lastRow="0" w:firstColumn="0" w:lastColumn="0" w:noHBand="0" w:noVBand="0"/>
      </w:tblPr>
      <w:tblGrid>
        <w:gridCol w:w="3120"/>
        <w:gridCol w:w="3120"/>
        <w:gridCol w:w="3120"/>
      </w:tblGrid>
      <w:tr w:rsidR="281675E4" w14:paraId="6ED0E7A8" w14:textId="77777777" w:rsidTr="281675E4">
        <w:tc>
          <w:tcPr>
            <w:tcW w:w="3120" w:type="dxa"/>
          </w:tcPr>
          <w:p w14:paraId="2F87B167" w14:textId="7597B923" w:rsidR="281675E4" w:rsidRDefault="281675E4">
            <w:r>
              <w:t>Opportunity</w:t>
            </w:r>
          </w:p>
        </w:tc>
        <w:tc>
          <w:tcPr>
            <w:tcW w:w="3120" w:type="dxa"/>
          </w:tcPr>
          <w:p w14:paraId="579ABC94" w14:textId="6E759FE7" w:rsidR="281675E4" w:rsidRDefault="281675E4">
            <w:r w:rsidRPr="281675E4">
              <w:rPr>
                <w:b/>
                <w:bCs/>
              </w:rPr>
              <w:t xml:space="preserve">Public </w:t>
            </w:r>
            <w:proofErr w:type="gramStart"/>
            <w:r w:rsidRPr="281675E4">
              <w:rPr>
                <w:b/>
                <w:bCs/>
              </w:rPr>
              <w:t>evidence it</w:t>
            </w:r>
            <w:proofErr w:type="gramEnd"/>
            <w:r w:rsidRPr="281675E4">
              <w:rPr>
                <w:b/>
                <w:bCs/>
              </w:rPr>
              <w:t xml:space="preserve"> is funded</w:t>
            </w:r>
          </w:p>
        </w:tc>
        <w:tc>
          <w:tcPr>
            <w:tcW w:w="3120" w:type="dxa"/>
          </w:tcPr>
          <w:p w14:paraId="53FF093D" w14:textId="675386AB" w:rsidR="281675E4" w:rsidRDefault="281675E4">
            <w:r w:rsidRPr="281675E4">
              <w:rPr>
                <w:b/>
                <w:bCs/>
              </w:rPr>
              <w:t>What to validate</w:t>
            </w:r>
          </w:p>
        </w:tc>
      </w:tr>
      <w:tr w:rsidR="281675E4" w14:paraId="57E99299" w14:textId="77777777" w:rsidTr="281675E4">
        <w:tc>
          <w:tcPr>
            <w:tcW w:w="3120" w:type="dxa"/>
          </w:tcPr>
          <w:p w14:paraId="182866EC" w14:textId="7E68E720" w:rsidR="281675E4" w:rsidRDefault="281675E4">
            <w:r>
              <w:t>Application modernisation delivery capacity</w:t>
            </w:r>
          </w:p>
        </w:tc>
        <w:tc>
          <w:tcPr>
            <w:tcW w:w="3120" w:type="dxa"/>
          </w:tcPr>
          <w:p w14:paraId="3AFC0873" w14:textId="7746CDE4" w:rsidR="281675E4" w:rsidRDefault="281675E4">
            <w:r>
              <w:t>Hundreds of mission-critical applications are being migrated to AWS in what the announcement calls one of the largest banking modernisation initiatives in the industry, covering payments, wealth and commercial banking.</w:t>
            </w:r>
          </w:p>
        </w:tc>
        <w:tc>
          <w:tcPr>
            <w:tcW w:w="3120" w:type="dxa"/>
          </w:tcPr>
          <w:p w14:paraId="5E04E341" w14:textId="7024B4A8" w:rsidR="281675E4" w:rsidRDefault="281675E4">
            <w:r>
              <w:t>Whether the bank buys migration delivery from partners of How2Demos's type, and which systems integrators already hold the work.</w:t>
            </w:r>
          </w:p>
        </w:tc>
      </w:tr>
      <w:tr w:rsidR="281675E4" w14:paraId="2853D8D7" w14:textId="77777777" w:rsidTr="281675E4">
        <w:tc>
          <w:tcPr>
            <w:tcW w:w="3120" w:type="dxa"/>
          </w:tcPr>
          <w:p w14:paraId="133DFAAE" w14:textId="073A151D" w:rsidR="281675E4" w:rsidRDefault="281675E4">
            <w:r>
              <w:t>AI agent enablement across lines of business</w:t>
            </w:r>
          </w:p>
        </w:tc>
        <w:tc>
          <w:tcPr>
            <w:tcW w:w="3120" w:type="dxa"/>
          </w:tcPr>
          <w:p w14:paraId="589E8652" w14:textId="0017FBE1" w:rsidR="281675E4" w:rsidRDefault="281675E4">
            <w:r>
              <w:t>Centralised capability to build, scale and deploy AI agents from mortgage and credit cards to wealth management and commercial banking, plus use cases in fraud detection, compliance automation and developer productivity.</w:t>
            </w:r>
          </w:p>
        </w:tc>
        <w:tc>
          <w:tcPr>
            <w:tcW w:w="3120" w:type="dxa"/>
          </w:tcPr>
          <w:p w14:paraId="6AFD1893" w14:textId="78F5E2A5" w:rsidR="281675E4" w:rsidRDefault="281675E4">
            <w:r>
              <w:t xml:space="preserve">Whether governance, adoption and change management are in scope for external </w:t>
            </w:r>
            <w:proofErr w:type="gramStart"/>
            <w:r>
              <w:t>help, or</w:t>
            </w:r>
            <w:proofErr w:type="gramEnd"/>
            <w:r>
              <w:t xml:space="preserve"> handled in-house alongside the AWS relationship.</w:t>
            </w:r>
          </w:p>
        </w:tc>
      </w:tr>
      <w:tr w:rsidR="281675E4" w14:paraId="5D7EA6A5" w14:textId="77777777" w:rsidTr="281675E4">
        <w:tc>
          <w:tcPr>
            <w:tcW w:w="3120" w:type="dxa"/>
          </w:tcPr>
          <w:p w14:paraId="4B9D4D6A" w14:textId="100B431A" w:rsidR="281675E4" w:rsidRDefault="281675E4">
            <w:r>
              <w:t>BTIG integration</w:t>
            </w:r>
          </w:p>
        </w:tc>
        <w:tc>
          <w:tcPr>
            <w:tcW w:w="3120" w:type="dxa"/>
          </w:tcPr>
          <w:p w14:paraId="19EB1CA6" w14:textId="08E929DE" w:rsidR="281675E4" w:rsidRDefault="281675E4">
            <w:r>
              <w:t>Acquisition closed 1 June 2026, bringing institutional equity sales and trading, equity capital markets, electronic trading and M&amp;A advisory into the group and adding roughly $84 million of noninterest expense in the quarter.</w:t>
            </w:r>
          </w:p>
        </w:tc>
        <w:tc>
          <w:tcPr>
            <w:tcW w:w="3120" w:type="dxa"/>
          </w:tcPr>
          <w:p w14:paraId="14AB250A" w14:textId="01C710A2" w:rsidR="281675E4" w:rsidRDefault="281675E4">
            <w:r>
              <w:t>The integration workstreams and their timeline. Post-merger technology and process integration typically runs 12 to 24 months and is where external capacity is bought.</w:t>
            </w:r>
          </w:p>
        </w:tc>
      </w:tr>
      <w:tr w:rsidR="281675E4" w14:paraId="61F91B8B" w14:textId="77777777" w:rsidTr="281675E4">
        <w:tc>
          <w:tcPr>
            <w:tcW w:w="3120" w:type="dxa"/>
          </w:tcPr>
          <w:p w14:paraId="188F051E" w14:textId="18DC7117" w:rsidR="281675E4" w:rsidRDefault="281675E4">
            <w:r>
              <w:t>Workforce upskilling</w:t>
            </w:r>
          </w:p>
        </w:tc>
        <w:tc>
          <w:tcPr>
            <w:tcW w:w="3120" w:type="dxa"/>
          </w:tcPr>
          <w:p w14:paraId="194202D3" w14:textId="11BA57DB" w:rsidR="281675E4" w:rsidRDefault="281675E4">
            <w:r>
              <w:t xml:space="preserve">The bank is establishing builder readiness programmes and upskilling technologists through structured cloud training, alongside a </w:t>
            </w:r>
            <w:proofErr w:type="gramStart"/>
            <w:r>
              <w:t>near</w:t>
            </w:r>
            <w:proofErr w:type="gramEnd"/>
            <w:r>
              <w:t>-70,000-person workforce.</w:t>
            </w:r>
          </w:p>
        </w:tc>
        <w:tc>
          <w:tcPr>
            <w:tcW w:w="3120" w:type="dxa"/>
          </w:tcPr>
          <w:p w14:paraId="694E9CD0" w14:textId="0A983E9F" w:rsidR="281675E4" w:rsidRDefault="281675E4">
            <w:r>
              <w:t>Whether the training scope extends beyond cloud engineering to business-side AI literacy, which is a different buying centre.</w:t>
            </w:r>
          </w:p>
        </w:tc>
      </w:tr>
    </w:tbl>
    <w:p w14:paraId="40FF4CB3" w14:textId="43AC95C9" w:rsidR="281675E4" w:rsidRDefault="281675E4" w:rsidP="281675E4">
      <w:pPr>
        <w:pStyle w:val="Heading2"/>
      </w:pPr>
      <w:r w:rsidRPr="281675E4">
        <w:rPr>
          <w:color w:val="64381F"/>
        </w:rPr>
        <w:t>Risks</w:t>
      </w:r>
    </w:p>
    <w:p w14:paraId="40AF719B" w14:textId="2754DAE9" w:rsidR="281675E4" w:rsidRDefault="281675E4">
      <w:r>
        <w:t>The largest risk is not commercial, it is evidentiary. This account has no footprint in your systems: no meetings, no email threads, no shared documents, no chat history. An account plan built on that base can be confidently wrong, and the first ninety days should be spent replacing assumption with record rather than advancing a pitch.</w:t>
      </w:r>
    </w:p>
    <w:p w14:paraId="47A1224A" w14:textId="1048BF49" w:rsidR="281675E4" w:rsidRDefault="281675E4">
      <w:r>
        <w:t xml:space="preserve">The second risk is platform alignment. U.S. Bank has committed publicly and at scale to AWS for its cloud foundation and to Amazon Bedrock, Nova Sonic and Connect for its generative AI layer. Any offer that presumes </w:t>
      </w:r>
      <w:proofErr w:type="gramStart"/>
      <w:r>
        <w:t>a Microsoft</w:t>
      </w:r>
      <w:proofErr w:type="gramEnd"/>
      <w:r>
        <w:t>-first architecture will meet an incumbent decision, not an open question. The credible positions are platform-neutral advisory, delivery capacity, governance and adoption — not a replatforming argument.</w:t>
      </w:r>
    </w:p>
    <w:p w14:paraId="1D2DFA12" w14:textId="53087B86" w:rsidR="281675E4" w:rsidRDefault="281675E4">
      <w:r>
        <w:t xml:space="preserve">The third is displacement risk from the bank's own efficiency programme. Stern has said future operating leverage will come in part from deploying AI and automation to improve efficiency. A </w:t>
      </w:r>
      <w:r>
        <w:lastRenderedPageBreak/>
        <w:t xml:space="preserve">bank pursuing that goal treats external </w:t>
      </w:r>
      <w:proofErr w:type="gramStart"/>
      <w:r>
        <w:t>spend</w:t>
      </w:r>
      <w:proofErr w:type="gramEnd"/>
      <w:r>
        <w:t xml:space="preserve"> as a cost line to be justified, which raises the bar on outcome-based commercial terms and shortens the tolerance for open-ended advisory work.</w:t>
      </w:r>
    </w:p>
    <w:p w14:paraId="37B60ADA" w14:textId="3B29C3E7" w:rsidR="281675E4" w:rsidRDefault="281675E4">
      <w:r>
        <w:t xml:space="preserve">The fourth is crowding. A modernisation of this profile at a </w:t>
      </w:r>
      <w:proofErr w:type="gramStart"/>
      <w:r>
        <w:t>top-five</w:t>
      </w:r>
      <w:proofErr w:type="gramEnd"/>
      <w:r>
        <w:t xml:space="preserve"> U.S. bank attracts every global systems integrator and the hyperscaler's own professional services organisation. A smaller firm wins on a specific, defensible niche, not on breadth — and the plan does not yet name that niche, because there is no internal record of what How2Demos has previously delivered here.</w:t>
      </w:r>
    </w:p>
    <w:p w14:paraId="69112907" w14:textId="10FD1B2B" w:rsidR="281675E4" w:rsidRDefault="281675E4" w:rsidP="281675E4">
      <w:pPr>
        <w:pStyle w:val="Heading1"/>
      </w:pPr>
      <w:r w:rsidRPr="281675E4">
        <w:rPr>
          <w:color w:val="64381F"/>
        </w:rPr>
        <w:t>Competitive landscape</w:t>
      </w:r>
    </w:p>
    <w:p w14:paraId="3457C825" w14:textId="50AC6726" w:rsidR="281675E4" w:rsidRDefault="281675E4">
      <w:r>
        <w:t xml:space="preserve">U.S. Bancorp competes as the fifth-largest commercial bank in the United States, below a top tier that is an order of magnitude larger. JPMorgan Chase leads the U.S. market on assets at roughly $3.5 trillion at the bank charter level, with Bank of America, Wells Fargo and Citibank forming the rest of the leading group. That gap is the strategic fact behind everything U.S. Bank is </w:t>
      </w:r>
      <w:proofErr w:type="gramStart"/>
      <w:r>
        <w:t>doing:</w:t>
      </w:r>
      <w:proofErr w:type="gramEnd"/>
      <w:r>
        <w:t xml:space="preserve"> it cannot outspend the top four on technology, so it competes on diversification, efficiency and the interconnection of its franchise.</w:t>
      </w:r>
    </w:p>
    <w:p w14:paraId="491F708D" w14:textId="1DD13BC1" w:rsidR="281675E4" w:rsidRDefault="281675E4">
      <w:r>
        <w:t>Kedia's own framing supports that reading. She points to a diversified business mix, an interconnected franchise and disciplined execution rather than scale, and the numbers back it. The efficiency ratio has improved from 66.4 percent in the first quarter of 2024 to 60.8 percent in 2025 and 58.2 percent in 2026, and the bank has now reported positive operating leverage for seven consecutive quarters with 400 basis points in the second quarter of 2026. This is a franchise winning on operating discipline, and it buys accordingly.</w:t>
      </w:r>
    </w:p>
    <w:p w14:paraId="1635918C" w14:textId="5E56032E" w:rsidR="281675E4" w:rsidRDefault="281675E4">
      <w:r>
        <w:t>The competitive moves worth watching are partnership-led rather than organic. The BTIG acquisition buys capital markets capability the bank could not build at speed. The NFL partnership announced 7 April 2026 covers banking and wealth management. A joint Prime Business Card and Amazon Business Card for small business clients was announced with Amazon on 31 March 2026, and a partnership with the AI-native platform Built streamlines construction lending. Elavon, the wholly owned payments subsidiary, expanded its All-In-One platform across North America, combining payment acceptance, point-of-sale software and business operations for hospitality, healthcare and retail merchants.</w:t>
      </w:r>
    </w:p>
    <w:p w14:paraId="6BE6937B" w14:textId="34DC26E9" w:rsidR="281675E4" w:rsidRDefault="281675E4">
      <w:r>
        <w:t>The pattern is consistent and it is the most useful thing in this section: U.S. Bank prefers to acquire or partner for capability rather than build it. That is a favourable posture for an external firm, provided the offer is specific enough to be bought as a capability rather than as generic consulting hours.</w:t>
      </w:r>
    </w:p>
    <w:p w14:paraId="2170D0AC" w14:textId="2CF0174C" w:rsidR="281675E4" w:rsidRDefault="281675E4" w:rsidP="281675E4">
      <w:pPr>
        <w:pStyle w:val="Heading1"/>
      </w:pPr>
      <w:r w:rsidRPr="281675E4">
        <w:rPr>
          <w:color w:val="64381F"/>
        </w:rPr>
        <w:t>90-day action plan</w:t>
      </w:r>
    </w:p>
    <w:p w14:paraId="358706B9" w14:textId="25F4EA26" w:rsidR="281675E4" w:rsidRDefault="281675E4">
      <w:r>
        <w:t xml:space="preserve">The plan below is </w:t>
      </w:r>
      <w:proofErr w:type="gramStart"/>
      <w:r>
        <w:t>weighted</w:t>
      </w:r>
      <w:proofErr w:type="gramEnd"/>
      <w:r>
        <w:t xml:space="preserve"> deliberately towards the first thirty days, because the binding constraint on this account is missing internal information rather than missing external research. Nothing here commits to a customer-facing move until the basic question of whether U.S. Bank is a customer, a prospect or a one-off demo has been answered.</w:t>
      </w:r>
    </w:p>
    <w:tbl>
      <w:tblPr>
        <w:tblStyle w:val="TableGrid"/>
        <w:tblW w:w="0" w:type="auto"/>
        <w:tblLook w:val="0000" w:firstRow="0" w:lastRow="0" w:firstColumn="0" w:lastColumn="0" w:noHBand="0" w:noVBand="0"/>
      </w:tblPr>
      <w:tblGrid>
        <w:gridCol w:w="2340"/>
        <w:gridCol w:w="2340"/>
        <w:gridCol w:w="2340"/>
        <w:gridCol w:w="2340"/>
      </w:tblGrid>
      <w:tr w:rsidR="281675E4" w14:paraId="37F9E962" w14:textId="77777777" w:rsidTr="281675E4">
        <w:tc>
          <w:tcPr>
            <w:tcW w:w="2340" w:type="dxa"/>
          </w:tcPr>
          <w:p w14:paraId="2C9B761B" w14:textId="78901C6D" w:rsidR="281675E4" w:rsidRDefault="281675E4">
            <w:r>
              <w:lastRenderedPageBreak/>
              <w:t>Window</w:t>
            </w:r>
          </w:p>
        </w:tc>
        <w:tc>
          <w:tcPr>
            <w:tcW w:w="2340" w:type="dxa"/>
          </w:tcPr>
          <w:p w14:paraId="41EC247B" w14:textId="716E0331" w:rsidR="281675E4" w:rsidRDefault="281675E4">
            <w:r>
              <w:t>Action</w:t>
            </w:r>
          </w:p>
        </w:tc>
        <w:tc>
          <w:tcPr>
            <w:tcW w:w="2340" w:type="dxa"/>
          </w:tcPr>
          <w:p w14:paraId="78DEE551" w14:textId="6A4BE9F5" w:rsidR="281675E4" w:rsidRDefault="281675E4">
            <w:r>
              <w:t>Owner</w:t>
            </w:r>
          </w:p>
        </w:tc>
        <w:tc>
          <w:tcPr>
            <w:tcW w:w="2340" w:type="dxa"/>
          </w:tcPr>
          <w:p w14:paraId="603FF526" w14:textId="6329D0B9" w:rsidR="281675E4" w:rsidRDefault="281675E4">
            <w:r w:rsidRPr="281675E4">
              <w:rPr>
                <w:b/>
                <w:bCs/>
              </w:rPr>
              <w:t>Success test</w:t>
            </w:r>
          </w:p>
        </w:tc>
      </w:tr>
      <w:tr w:rsidR="281675E4" w14:paraId="15A1B25A" w14:textId="77777777" w:rsidTr="281675E4">
        <w:tc>
          <w:tcPr>
            <w:tcW w:w="2340" w:type="dxa"/>
          </w:tcPr>
          <w:p w14:paraId="3ED8B9D5" w14:textId="7A3F312E" w:rsidR="281675E4" w:rsidRDefault="281675E4">
            <w:r>
              <w:t>Days 1-10</w:t>
            </w:r>
          </w:p>
        </w:tc>
        <w:tc>
          <w:tcPr>
            <w:tcW w:w="2340" w:type="dxa"/>
          </w:tcPr>
          <w:p w14:paraId="5A2EC6D1" w14:textId="731D17F2" w:rsidR="281675E4" w:rsidRDefault="281675E4">
            <w:r>
              <w:t>Debrief Valene Samuels on the 2 June demo preparation: what was demonstrated, to whom, and what followed.</w:t>
            </w:r>
          </w:p>
        </w:tc>
        <w:tc>
          <w:tcPr>
            <w:tcW w:w="2340" w:type="dxa"/>
          </w:tcPr>
          <w:p w14:paraId="69977A8D" w14:textId="6BFAFEB6" w:rsidR="281675E4" w:rsidRDefault="281675E4">
            <w:r>
              <w:t>Bojan Buhac</w:t>
            </w:r>
          </w:p>
        </w:tc>
        <w:tc>
          <w:tcPr>
            <w:tcW w:w="2340" w:type="dxa"/>
          </w:tcPr>
          <w:p w14:paraId="688EBE8B" w14:textId="64D8E57A" w:rsidR="281675E4" w:rsidRDefault="281675E4">
            <w:r>
              <w:t>A written account of the engagement to date, or confirmation that none occurred.</w:t>
            </w:r>
          </w:p>
        </w:tc>
      </w:tr>
      <w:tr w:rsidR="281675E4" w14:paraId="707B6077" w14:textId="77777777" w:rsidTr="281675E4">
        <w:tc>
          <w:tcPr>
            <w:tcW w:w="2340" w:type="dxa"/>
          </w:tcPr>
          <w:p w14:paraId="5DA75119" w14:textId="7BEE45EF" w:rsidR="281675E4" w:rsidRDefault="281675E4">
            <w:r>
              <w:t>Days 1-10</w:t>
            </w:r>
          </w:p>
        </w:tc>
        <w:tc>
          <w:tcPr>
            <w:tcW w:w="2340" w:type="dxa"/>
          </w:tcPr>
          <w:p w14:paraId="3F2A0055" w14:textId="74CC2CB3" w:rsidR="281675E4" w:rsidRDefault="281675E4">
            <w:r>
              <w:t xml:space="preserve">Establish whether U.S. Bank exists in the CRM or contracting </w:t>
            </w:r>
            <w:proofErr w:type="gramStart"/>
            <w:r>
              <w:t>records, and</w:t>
            </w:r>
            <w:proofErr w:type="gramEnd"/>
            <w:r>
              <w:t xml:space="preserve"> identify the account owner if one is assigned.</w:t>
            </w:r>
          </w:p>
        </w:tc>
        <w:tc>
          <w:tcPr>
            <w:tcW w:w="2340" w:type="dxa"/>
          </w:tcPr>
          <w:p w14:paraId="11D6C074" w14:textId="6DAA1377" w:rsidR="281675E4" w:rsidRDefault="281675E4">
            <w:r>
              <w:t>Bojan Buhac</w:t>
            </w:r>
          </w:p>
        </w:tc>
        <w:tc>
          <w:tcPr>
            <w:tcW w:w="2340" w:type="dxa"/>
          </w:tcPr>
          <w:p w14:paraId="23F59A48" w14:textId="6687FA3B" w:rsidR="281675E4" w:rsidRDefault="281675E4">
            <w:proofErr w:type="gramStart"/>
            <w:r>
              <w:t>Account</w:t>
            </w:r>
            <w:proofErr w:type="gramEnd"/>
            <w:r>
              <w:t xml:space="preserve"> classified as customer, active pursuit, or unqualified lead.</w:t>
            </w:r>
          </w:p>
        </w:tc>
      </w:tr>
      <w:tr w:rsidR="281675E4" w14:paraId="27F06996" w14:textId="77777777" w:rsidTr="281675E4">
        <w:tc>
          <w:tcPr>
            <w:tcW w:w="2340" w:type="dxa"/>
          </w:tcPr>
          <w:p w14:paraId="4B330538" w14:textId="7D9D5AB0" w:rsidR="281675E4" w:rsidRDefault="281675E4">
            <w:r>
              <w:t>Days 10-20</w:t>
            </w:r>
          </w:p>
        </w:tc>
        <w:tc>
          <w:tcPr>
            <w:tcW w:w="2340" w:type="dxa"/>
          </w:tcPr>
          <w:p w14:paraId="1F3DC4E3" w14:textId="767B4174" w:rsidR="281675E4" w:rsidRDefault="281675E4">
            <w:r>
              <w:t>Create a shared account workspace so future mail, meetings and documents are captured against the account rather than scattered.</w:t>
            </w:r>
          </w:p>
        </w:tc>
        <w:tc>
          <w:tcPr>
            <w:tcW w:w="2340" w:type="dxa"/>
          </w:tcPr>
          <w:p w14:paraId="71EF2ADF" w14:textId="6F592838" w:rsidR="281675E4" w:rsidRDefault="281675E4">
            <w:r>
              <w:t>Bojan Buhac with the FSI team</w:t>
            </w:r>
          </w:p>
        </w:tc>
        <w:tc>
          <w:tcPr>
            <w:tcW w:w="2340" w:type="dxa"/>
          </w:tcPr>
          <w:p w14:paraId="30020B7B" w14:textId="68370EFC" w:rsidR="281675E4" w:rsidRDefault="281675E4">
            <w:r>
              <w:t xml:space="preserve">A single location holding the plan, contact list and activity log. The existing FSI team site is currently empty and is </w:t>
            </w:r>
            <w:proofErr w:type="gramStart"/>
            <w:r>
              <w:t>the</w:t>
            </w:r>
            <w:proofErr w:type="gramEnd"/>
            <w:r>
              <w:t xml:space="preserve"> natural home.</w:t>
            </w:r>
          </w:p>
        </w:tc>
      </w:tr>
      <w:tr w:rsidR="281675E4" w14:paraId="25171F54" w14:textId="77777777" w:rsidTr="281675E4">
        <w:tc>
          <w:tcPr>
            <w:tcW w:w="2340" w:type="dxa"/>
          </w:tcPr>
          <w:p w14:paraId="7CD7D18F" w14:textId="7F4C6F71" w:rsidR="281675E4" w:rsidRDefault="281675E4">
            <w:r>
              <w:t>Days 10-30</w:t>
            </w:r>
          </w:p>
        </w:tc>
        <w:tc>
          <w:tcPr>
            <w:tcW w:w="2340" w:type="dxa"/>
          </w:tcPr>
          <w:p w14:paraId="56AC2453" w14:textId="782A5635" w:rsidR="281675E4" w:rsidRDefault="281675E4">
            <w:r>
              <w:t>Read the Q2 2026 earnings supplement and slide presentation in full and extract the segment-level detail this plan summarises only at group level.</w:t>
            </w:r>
          </w:p>
        </w:tc>
        <w:tc>
          <w:tcPr>
            <w:tcW w:w="2340" w:type="dxa"/>
          </w:tcPr>
          <w:p w14:paraId="719F480D" w14:textId="71083CF9" w:rsidR="281675E4" w:rsidRDefault="281675E4">
            <w:r>
              <w:t>Bojan Buhac</w:t>
            </w:r>
          </w:p>
        </w:tc>
        <w:tc>
          <w:tcPr>
            <w:tcW w:w="2340" w:type="dxa"/>
          </w:tcPr>
          <w:p w14:paraId="452FAA4E" w14:textId="69E623BD" w:rsidR="281675E4" w:rsidRDefault="281675E4">
            <w:r>
              <w:t xml:space="preserve">Segment view of where growth and cost pressure </w:t>
            </w:r>
            <w:proofErr w:type="gramStart"/>
            <w:r>
              <w:t>actually sit</w:t>
            </w:r>
            <w:proofErr w:type="gramEnd"/>
            <w:r>
              <w:t>.</w:t>
            </w:r>
          </w:p>
        </w:tc>
      </w:tr>
      <w:tr w:rsidR="281675E4" w14:paraId="70C05396" w14:textId="77777777" w:rsidTr="281675E4">
        <w:tc>
          <w:tcPr>
            <w:tcW w:w="2340" w:type="dxa"/>
          </w:tcPr>
          <w:p w14:paraId="31C3785F" w14:textId="00FB8432" w:rsidR="281675E4" w:rsidRDefault="281675E4">
            <w:r>
              <w:t>Days 20-40</w:t>
            </w:r>
          </w:p>
        </w:tc>
        <w:tc>
          <w:tcPr>
            <w:tcW w:w="2340" w:type="dxa"/>
          </w:tcPr>
          <w:p w14:paraId="18872282" w14:textId="79D96AF6" w:rsidR="281675E4" w:rsidRDefault="281675E4">
            <w:r>
              <w:t xml:space="preserve">Choose one niche and drop the rest. Test each opportunity hypothesis against what How2Demos has </w:t>
            </w:r>
            <w:proofErr w:type="gramStart"/>
            <w:r>
              <w:t>actually delivered</w:t>
            </w:r>
            <w:proofErr w:type="gramEnd"/>
            <w:r>
              <w:t xml:space="preserve"> elsewhere and can evidence.</w:t>
            </w:r>
          </w:p>
        </w:tc>
        <w:tc>
          <w:tcPr>
            <w:tcW w:w="2340" w:type="dxa"/>
          </w:tcPr>
          <w:p w14:paraId="7831E594" w14:textId="72B751BA" w:rsidR="281675E4" w:rsidRDefault="281675E4">
            <w:r>
              <w:t>Bojan Buhac with practice leadership</w:t>
            </w:r>
          </w:p>
        </w:tc>
        <w:tc>
          <w:tcPr>
            <w:tcW w:w="2340" w:type="dxa"/>
          </w:tcPr>
          <w:p w14:paraId="37F7A915" w14:textId="6B95387E" w:rsidR="281675E4" w:rsidRDefault="281675E4">
            <w:r>
              <w:t>One named offer with references, not a capability menu.</w:t>
            </w:r>
          </w:p>
        </w:tc>
      </w:tr>
      <w:tr w:rsidR="281675E4" w14:paraId="16A750CB" w14:textId="77777777" w:rsidTr="281675E4">
        <w:tc>
          <w:tcPr>
            <w:tcW w:w="2340" w:type="dxa"/>
          </w:tcPr>
          <w:p w14:paraId="667C0C9F" w14:textId="02AA98F3" w:rsidR="281675E4" w:rsidRDefault="281675E4">
            <w:r>
              <w:t>Days 30-50</w:t>
            </w:r>
          </w:p>
        </w:tc>
        <w:tc>
          <w:tcPr>
            <w:tcW w:w="2340" w:type="dxa"/>
          </w:tcPr>
          <w:p w14:paraId="469D29C1" w14:textId="7B887FB7" w:rsidR="281675E4" w:rsidRDefault="281675E4">
            <w:r>
              <w:t>Map the buying centre for that niche and identify a warm route in, using the directory and any shared connections rather than cold outreach.</w:t>
            </w:r>
          </w:p>
        </w:tc>
        <w:tc>
          <w:tcPr>
            <w:tcW w:w="2340" w:type="dxa"/>
          </w:tcPr>
          <w:p w14:paraId="12F91753" w14:textId="7466667B" w:rsidR="281675E4" w:rsidRDefault="281675E4">
            <w:r>
              <w:t>Bojan Buhac</w:t>
            </w:r>
          </w:p>
        </w:tc>
        <w:tc>
          <w:tcPr>
            <w:tcW w:w="2340" w:type="dxa"/>
          </w:tcPr>
          <w:p w14:paraId="27D979D8" w14:textId="6D444D3F" w:rsidR="281675E4" w:rsidRDefault="281675E4">
            <w:r>
              <w:t>At least two named individuals below executive level with a plausible introduction path.</w:t>
            </w:r>
          </w:p>
        </w:tc>
      </w:tr>
      <w:tr w:rsidR="281675E4" w14:paraId="4FEE143F" w14:textId="77777777" w:rsidTr="281675E4">
        <w:tc>
          <w:tcPr>
            <w:tcW w:w="2340" w:type="dxa"/>
          </w:tcPr>
          <w:p w14:paraId="3B00D80A" w14:textId="0459ADB4" w:rsidR="281675E4" w:rsidRDefault="281675E4">
            <w:r>
              <w:t>Days 40-60</w:t>
            </w:r>
          </w:p>
        </w:tc>
        <w:tc>
          <w:tcPr>
            <w:tcW w:w="2340" w:type="dxa"/>
          </w:tcPr>
          <w:p w14:paraId="5B0A9DB4" w14:textId="7D379478" w:rsidR="281675E4" w:rsidRDefault="281675E4">
            <w:r>
              <w:t xml:space="preserve">Build a point of view document aimed at the operating leverage argument, framed around efficiency and </w:t>
            </w:r>
            <w:r>
              <w:lastRenderedPageBreak/>
              <w:t>time-to-value rather than technology choice.</w:t>
            </w:r>
          </w:p>
        </w:tc>
        <w:tc>
          <w:tcPr>
            <w:tcW w:w="2340" w:type="dxa"/>
          </w:tcPr>
          <w:p w14:paraId="100D20EF" w14:textId="76157B3C" w:rsidR="281675E4" w:rsidRDefault="281675E4">
            <w:r>
              <w:lastRenderedPageBreak/>
              <w:t>Bojan Buhac</w:t>
            </w:r>
          </w:p>
        </w:tc>
        <w:tc>
          <w:tcPr>
            <w:tcW w:w="2340" w:type="dxa"/>
          </w:tcPr>
          <w:p w14:paraId="12389638" w14:textId="6EF36200" w:rsidR="281675E4" w:rsidRDefault="281675E4">
            <w:r>
              <w:t>A short paper a CFO organisation would forward internally.</w:t>
            </w:r>
          </w:p>
        </w:tc>
      </w:tr>
      <w:tr w:rsidR="281675E4" w14:paraId="45AD9E70" w14:textId="77777777" w:rsidTr="281675E4">
        <w:tc>
          <w:tcPr>
            <w:tcW w:w="2340" w:type="dxa"/>
          </w:tcPr>
          <w:p w14:paraId="4A1DDFDF" w14:textId="0608C275" w:rsidR="281675E4" w:rsidRDefault="281675E4">
            <w:r>
              <w:t>Days 60-75</w:t>
            </w:r>
          </w:p>
        </w:tc>
        <w:tc>
          <w:tcPr>
            <w:tcW w:w="2340" w:type="dxa"/>
          </w:tcPr>
          <w:p w14:paraId="3E74254D" w14:textId="7EE6A939" w:rsidR="281675E4" w:rsidRDefault="281675E4">
            <w:r>
              <w:t>Secure one discovery conversation and use it to test the niche rather than to present.</w:t>
            </w:r>
          </w:p>
        </w:tc>
        <w:tc>
          <w:tcPr>
            <w:tcW w:w="2340" w:type="dxa"/>
          </w:tcPr>
          <w:p w14:paraId="47B51602" w14:textId="77C48FFD" w:rsidR="281675E4" w:rsidRDefault="281675E4">
            <w:r>
              <w:t>Bojan Buhac</w:t>
            </w:r>
          </w:p>
        </w:tc>
        <w:tc>
          <w:tcPr>
            <w:tcW w:w="2340" w:type="dxa"/>
          </w:tcPr>
          <w:p w14:paraId="598070D2" w14:textId="70A276C1" w:rsidR="281675E4" w:rsidRDefault="281675E4">
            <w:r>
              <w:t xml:space="preserve">A meeting </w:t>
            </w:r>
            <w:proofErr w:type="gramStart"/>
            <w:r>
              <w:t>held</w:t>
            </w:r>
            <w:proofErr w:type="gramEnd"/>
            <w:r>
              <w:t xml:space="preserve"> and a written debrief filed to the account workspace.</w:t>
            </w:r>
          </w:p>
        </w:tc>
      </w:tr>
      <w:tr w:rsidR="281675E4" w14:paraId="2F225B1A" w14:textId="77777777" w:rsidTr="281675E4">
        <w:tc>
          <w:tcPr>
            <w:tcW w:w="2340" w:type="dxa"/>
          </w:tcPr>
          <w:p w14:paraId="48BE9523" w14:textId="07B7D736" w:rsidR="281675E4" w:rsidRDefault="281675E4">
            <w:r>
              <w:t>Days 75-90</w:t>
            </w:r>
          </w:p>
        </w:tc>
        <w:tc>
          <w:tcPr>
            <w:tcW w:w="2340" w:type="dxa"/>
          </w:tcPr>
          <w:p w14:paraId="5BC0FDA7" w14:textId="0095BDFA" w:rsidR="281675E4" w:rsidRDefault="281675E4">
            <w:r>
              <w:t xml:space="preserve">Reissue this plan with internal evidence in place of </w:t>
            </w:r>
            <w:proofErr w:type="gramStart"/>
            <w:r>
              <w:t>assumption, and</w:t>
            </w:r>
            <w:proofErr w:type="gramEnd"/>
            <w:r>
              <w:t xml:space="preserve"> take a go or no-go decision on continued investment in the account.</w:t>
            </w:r>
          </w:p>
        </w:tc>
        <w:tc>
          <w:tcPr>
            <w:tcW w:w="2340" w:type="dxa"/>
          </w:tcPr>
          <w:p w14:paraId="65184259" w14:textId="7973A4BE" w:rsidR="281675E4" w:rsidRDefault="281675E4">
            <w:r>
              <w:t>Bojan Buhac</w:t>
            </w:r>
          </w:p>
        </w:tc>
        <w:tc>
          <w:tcPr>
            <w:tcW w:w="2340" w:type="dxa"/>
          </w:tcPr>
          <w:p w14:paraId="696795D8" w14:textId="72518B82" w:rsidR="281675E4" w:rsidRDefault="281675E4">
            <w:r>
              <w:t xml:space="preserve">A version 2 plan whose relationship </w:t>
            </w:r>
            <w:proofErr w:type="gramStart"/>
            <w:r>
              <w:t>map</w:t>
            </w:r>
            <w:proofErr w:type="gramEnd"/>
            <w:r>
              <w:t xml:space="preserve"> and pipeline sections contain real records, or a documented decision to stand down.</w:t>
            </w:r>
          </w:p>
        </w:tc>
      </w:tr>
    </w:tbl>
    <w:p w14:paraId="15C69E57" w14:textId="25E83D42" w:rsidR="281675E4" w:rsidRDefault="281675E4" w:rsidP="281675E4">
      <w:pPr>
        <w:pStyle w:val="Heading1"/>
      </w:pPr>
      <w:r w:rsidRPr="281675E4">
        <w:rPr>
          <w:color w:val="64381F"/>
        </w:rPr>
        <w:t>Sources</w:t>
      </w:r>
    </w:p>
    <w:p w14:paraId="615FD36F" w14:textId="104E60F7" w:rsidR="281675E4" w:rsidRDefault="281675E4" w:rsidP="281675E4">
      <w:pPr>
        <w:pStyle w:val="Heading2"/>
      </w:pPr>
      <w:r w:rsidRPr="281675E4">
        <w:rPr>
          <w:color w:val="64381F"/>
        </w:rPr>
        <w:t>Internal (Microsoft 365)</w:t>
      </w:r>
    </w:p>
    <w:p w14:paraId="488E2A79" w14:textId="7A194EF2" w:rsidR="281675E4" w:rsidRDefault="281675E4">
      <w:r>
        <w:t>Privileged Identity Management notification, "PIM: Valene Samuels activated the AI Administrator role assignment", Microsoft Security, received 2 June 2026 — justification field reads "Customer demo prep - US Bank". This is the sole internal reference to a banking customer.</w:t>
      </w:r>
    </w:p>
    <w:p w14:paraId="6DC975F8" w14:textId="70215327" w:rsidR="281675E4" w:rsidRDefault="281675E4">
      <w:r>
        <w:t xml:space="preserve">Searches returning no banking or financial-services activity: Outlook mail and Teams chat keyword searches; calendar view for 1 July to 30 September 2026 (no events); SharePoint and OneDrive file searches; SharePoint site search, which surfaced only the FSI - Team site (document library empty apart from an empty Copilot Prompts folder) and the Bids and Tenders site (twenty-three generic RFP templates, </w:t>
      </w:r>
      <w:proofErr w:type="gramStart"/>
      <w:r>
        <w:t>none</w:t>
      </w:r>
      <w:proofErr w:type="gramEnd"/>
      <w:r>
        <w:t xml:space="preserve"> banking-specific).</w:t>
      </w:r>
    </w:p>
    <w:p w14:paraId="326A65FA" w14:textId="2672A53B" w:rsidR="281675E4" w:rsidRDefault="281675E4" w:rsidP="281675E4">
      <w:pPr>
        <w:pStyle w:val="Heading2"/>
      </w:pPr>
      <w:r w:rsidRPr="281675E4">
        <w:rPr>
          <w:color w:val="64381F"/>
        </w:rPr>
        <w:t>External (public web)</w:t>
      </w:r>
    </w:p>
    <w:p w14:paraId="13042E68" w14:textId="722AED3E" w:rsidR="281675E4" w:rsidRDefault="281675E4">
      <w:r>
        <w:t>U.S. Bancorp, "U.S. Bancorp reports second quarter 2026 results", 16 July 2026. Q2 financial metrics, CEO commentary, BTIG completion and Elavon All-In-One expansion. https://www.usbank.com/about-us-bank/news-and-stories/article-library/us-bancorp-reports-second-quarter-2026-results.html</w:t>
      </w:r>
    </w:p>
    <w:p w14:paraId="74031295" w14:textId="1A4A23F7" w:rsidR="281675E4" w:rsidRDefault="281675E4">
      <w:r>
        <w:t>AWS press release, "U.S. Bank Expands Collaboration with AWS to Accelerate Progressive Technology Transformation and AI-Driven Customer Experience Innovation", 7 May 2026. Migration scope, Bedrock and Nova Sonic capability, Andy Bingenheimer and Scott Mullins quotes, company profile figures. https://press.aboutamazon.com/aws/2026/5/u-s-bank-expands-collaboration-with-aws-to-accelerate-progressive-technology-transformation-and-ai-driven-customer-experience-innovation</w:t>
      </w:r>
    </w:p>
    <w:p w14:paraId="1735538A" w14:textId="13D5CE82" w:rsidR="281675E4" w:rsidRDefault="281675E4">
      <w:r>
        <w:t>FinAi News, Whitney McDonald, "U.S. Bank CEO breaks down top priorities, including AI-native efforts", 16 April 2026. Kedia's stated priorities, efficiency ratio series, Q1 revenue and technology expense, NFL, Amazon card and Built partnerships. https://finainews.com/banking/u-s-bank-ceo-breaks-down-top-priorities-including-ai-native-efforts/</w:t>
      </w:r>
    </w:p>
    <w:p w14:paraId="43F1984E" w14:textId="570072E0" w:rsidR="281675E4" w:rsidRDefault="281675E4">
      <w:r>
        <w:lastRenderedPageBreak/>
        <w:t>BankRegReports, "The Largest Banks in America by Assets (2026)". Peer ranking context for the U.S. commercial banking market. https://www.bankregreports.com/blog/largest-banks-in-america-by-assets/</w:t>
      </w:r>
    </w:p>
    <w:p w14:paraId="510C93D1" w14:textId="712DC3BA" w:rsidR="281675E4" w:rsidRDefault="281675E4">
      <w:r w:rsidRPr="281675E4">
        <w:rPr>
          <w:i/>
          <w:iCs/>
          <w:color w:val="7A7A7A"/>
          <w:sz w:val="18"/>
          <w:szCs w:val="18"/>
        </w:rPr>
        <w:t xml:space="preserve">Web research </w:t>
      </w:r>
      <w:proofErr w:type="gramStart"/>
      <w:r w:rsidRPr="281675E4">
        <w:rPr>
          <w:i/>
          <w:iCs/>
          <w:color w:val="7A7A7A"/>
          <w:sz w:val="18"/>
          <w:szCs w:val="18"/>
        </w:rPr>
        <w:t>conducted</w:t>
      </w:r>
      <w:proofErr w:type="gramEnd"/>
      <w:r w:rsidRPr="281675E4">
        <w:rPr>
          <w:i/>
          <w:iCs/>
          <w:color w:val="7A7A7A"/>
          <w:sz w:val="18"/>
          <w:szCs w:val="18"/>
        </w:rPr>
        <w:t xml:space="preserve"> 3 September 2026. Figures should be re-verified against the Q3 2026 release before the plan is used externally.</w:t>
      </w:r>
    </w:p>
    <w:sectPr w:rsidR="281675E4"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9618935">
    <w:abstractNumId w:val="8"/>
  </w:num>
  <w:num w:numId="2" w16cid:durableId="750390646">
    <w:abstractNumId w:val="6"/>
  </w:num>
  <w:num w:numId="3" w16cid:durableId="1333215457">
    <w:abstractNumId w:val="5"/>
  </w:num>
  <w:num w:numId="4" w16cid:durableId="889421675">
    <w:abstractNumId w:val="4"/>
  </w:num>
  <w:num w:numId="5" w16cid:durableId="590624202">
    <w:abstractNumId w:val="7"/>
  </w:num>
  <w:num w:numId="6" w16cid:durableId="2036348915">
    <w:abstractNumId w:val="3"/>
  </w:num>
  <w:num w:numId="7" w16cid:durableId="1645348503">
    <w:abstractNumId w:val="2"/>
  </w:num>
  <w:num w:numId="8" w16cid:durableId="932779942">
    <w:abstractNumId w:val="1"/>
  </w:num>
  <w:num w:numId="9" w16cid:durableId="1427993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507C"/>
    <w:rsid w:val="0029639D"/>
    <w:rsid w:val="003129C3"/>
    <w:rsid w:val="00326F90"/>
    <w:rsid w:val="006405EE"/>
    <w:rsid w:val="00AA1D8D"/>
    <w:rsid w:val="00B47730"/>
    <w:rsid w:val="00CB0664"/>
    <w:rsid w:val="00F61BA8"/>
    <w:rsid w:val="00FC693F"/>
    <w:rsid w:val="02121EE4"/>
    <w:rsid w:val="0279C37E"/>
    <w:rsid w:val="03B439AF"/>
    <w:rsid w:val="04888DA0"/>
    <w:rsid w:val="0608E24D"/>
    <w:rsid w:val="0E1FF226"/>
    <w:rsid w:val="0E849EF8"/>
    <w:rsid w:val="1085D65E"/>
    <w:rsid w:val="113AEC96"/>
    <w:rsid w:val="1CB0F2B1"/>
    <w:rsid w:val="1D9EEF3B"/>
    <w:rsid w:val="20454601"/>
    <w:rsid w:val="228A2A9C"/>
    <w:rsid w:val="25F760D8"/>
    <w:rsid w:val="26ED2476"/>
    <w:rsid w:val="27B66A9B"/>
    <w:rsid w:val="281675E4"/>
    <w:rsid w:val="28BAEF97"/>
    <w:rsid w:val="28CF06BF"/>
    <w:rsid w:val="2CBC7553"/>
    <w:rsid w:val="398A304D"/>
    <w:rsid w:val="3A6D05B4"/>
    <w:rsid w:val="3BF49E8E"/>
    <w:rsid w:val="3EDE99B5"/>
    <w:rsid w:val="3F80E17E"/>
    <w:rsid w:val="4072DA9C"/>
    <w:rsid w:val="410549D0"/>
    <w:rsid w:val="43411802"/>
    <w:rsid w:val="480BF27D"/>
    <w:rsid w:val="4B7C066E"/>
    <w:rsid w:val="4D67F4D5"/>
    <w:rsid w:val="4F6CD0A7"/>
    <w:rsid w:val="4FBC7EE7"/>
    <w:rsid w:val="55DA6029"/>
    <w:rsid w:val="5634A092"/>
    <w:rsid w:val="5800098E"/>
    <w:rsid w:val="5D627395"/>
    <w:rsid w:val="5DD797E3"/>
    <w:rsid w:val="65C430F7"/>
    <w:rsid w:val="6A4E66AF"/>
    <w:rsid w:val="6FB28182"/>
    <w:rsid w:val="70873735"/>
    <w:rsid w:val="7215C7BA"/>
    <w:rsid w:val="731EE16E"/>
    <w:rsid w:val="78CDC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D405DDB-30A5-45DE-8B2C-12AB6672D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0EA7C5-8421-4F17-897A-6937176ED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FA07F57-B73A-4FDA-99E7-CC47965F80C5}">
  <ds:schemaRefs>
    <ds:schemaRef ds:uri="http://schemas.microsoft.com/sharepoint/v3/contenttype/forms"/>
  </ds:schemaRefs>
</ds:datastoreItem>
</file>

<file path=customXml/itemProps4.xml><?xml version="1.0" encoding="utf-8"?>
<ds:datastoreItem xmlns:ds="http://schemas.openxmlformats.org/officeDocument/2006/customXml" ds:itemID="{C6C7DFDD-416C-460E-BB00-BCD8E7954CC3}">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b3405559-59d9-471c-b95a-994a94f9a309}"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2562</Words>
  <Characters>14605</Characters>
  <Application>Microsoft Office Word</Application>
  <DocSecurity>0</DocSecurity>
  <Lines>121</Lines>
  <Paragraphs>34</Paragraphs>
  <ScaleCrop>false</ScaleCrop>
  <Manager/>
  <Company/>
  <LinksUpToDate>false</LinksUpToDate>
  <CharactersWithSpaces>17133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3</cp:revision>
  <dcterms:created xsi:type="dcterms:W3CDTF">2026-09-03T11:48:00Z</dcterms:created>
  <dcterms:modified xsi:type="dcterms:W3CDTF">2026-09-03T19:59:00Z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y fmtid="{D5CDD505-2E9C-101B-9397-08002B2CF9AE}" pid="4" name="docLang">
    <vt:lpwstr>en</vt:lpwstr>
  </property>
</Properties>
</file>