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C148D" w14:textId="638078C2" w:rsidR="5EFA27C7" w:rsidRDefault="5EFA27C7" w:rsidP="5EFA27C7">
      <w:pPr>
        <w:pStyle w:val="Title"/>
      </w:pPr>
      <w:r w:rsidRPr="5EFA27C7">
        <w:rPr>
          <w:b/>
          <w:bCs/>
          <w:color w:val="64381F"/>
        </w:rPr>
        <w:t>U.S. Bank Account Plan</w:t>
      </w:r>
    </w:p>
    <w:p w14:paraId="3761C149" w14:textId="664642CE" w:rsidR="5EFA27C7" w:rsidRDefault="5EFA27C7">
      <w:r w:rsidRPr="5EFA27C7">
        <w:rPr>
          <w:i/>
          <w:iCs/>
          <w:color w:val="595959" w:themeColor="text1" w:themeTint="A6"/>
          <w:sz w:val="24"/>
          <w:szCs w:val="24"/>
        </w:rPr>
        <w:t>Q3 2026 (July to September) with a 90-day action plan through early December 2026</w:t>
      </w:r>
    </w:p>
    <w:p w14:paraId="7D7D45F9" w14:textId="2253E176" w:rsidR="5EFA27C7" w:rsidRDefault="5EFA27C7">
      <w:r w:rsidRPr="5EFA27C7">
        <w:rPr>
          <w:color w:val="595959" w:themeColor="text1" w:themeTint="A6"/>
          <w:sz w:val="20"/>
          <w:szCs w:val="20"/>
        </w:rPr>
        <w:t xml:space="preserve">Prepared by Bojan Buhac, Consultant, How2Demos. Prepared </w:t>
      </w:r>
      <w:proofErr w:type="gramStart"/>
      <w:r w:rsidRPr="5EFA27C7">
        <w:rPr>
          <w:color w:val="595959" w:themeColor="text1" w:themeTint="A6"/>
          <w:sz w:val="20"/>
          <w:szCs w:val="20"/>
        </w:rPr>
        <w:t>on</w:t>
      </w:r>
      <w:proofErr w:type="gramEnd"/>
      <w:r w:rsidRPr="5EFA27C7">
        <w:rPr>
          <w:color w:val="595959" w:themeColor="text1" w:themeTint="A6"/>
          <w:sz w:val="20"/>
          <w:szCs w:val="20"/>
        </w:rPr>
        <w:t xml:space="preserve"> 3 September 2026.</w:t>
      </w:r>
    </w:p>
    <w:p w14:paraId="4D7885E8" w14:textId="296EF597" w:rsidR="5EFA27C7" w:rsidRDefault="5EFA27C7" w:rsidP="5EFA27C7">
      <w:pPr>
        <w:pStyle w:val="Heading1"/>
      </w:pPr>
      <w:r w:rsidRPr="5EFA27C7">
        <w:rPr>
          <w:color w:val="64381F"/>
        </w:rPr>
        <w:t>Executive Summary</w:t>
      </w:r>
    </w:p>
    <w:p w14:paraId="2E9A6B34" w14:textId="70C4363A" w:rsidR="5EFA27C7" w:rsidRDefault="5EFA27C7">
      <w:r>
        <w:t>U.S. Bancorp (NYSE: USB), the Minneapolis-based parent of U.S. Bank, enters the second half of 2026 with strong momentum. On 16 July 2026 it reported record second-quarter net revenue of $7,712 million, net income of $2,177 million (up 20% year-over-year), diluted EPS of $1.35 (up 22%), an efficiency ratio of 57.1% and 400 basis points of positive operating leverage. It completed the BTIG acquisition on 1 June 2026, expanding its capital markets business, and Elavon extended its All-In-One payments platform across North America (U.S. Bancorp Q2 2026 results, usbank.com).</w:t>
      </w:r>
    </w:p>
    <w:p w14:paraId="62B9F892" w14:textId="2922B3A7" w:rsidR="5EFA27C7" w:rsidRDefault="5EFA27C7">
      <w:r>
        <w:t>CEO Gunjan Kedia has set three public priorities: revenue growth, a stronger consumer and small-business franchise, and becoming an AI-native bank. Technology and communications spend grew 7.5% year-over-year to $573 million in Q1 2026, and CFO John Stern has tied future operating leverage to the ongoing deployment of AI and automation (FinAi News, 16 April 2026). U.S. Bank has used Microsoft Azure as its primary cloud provider since February 2022 and has adopted Microsoft 365 and Teams enterprise-wide, which makes Copilot, Copilot Studio agents and Azure AI a natural extension of an existing relationship (U.S. Bank company blog, 23 February 2022).</w:t>
      </w:r>
    </w:p>
    <w:p w14:paraId="165A6BCB" w14:textId="10341A52" w:rsidR="5EFA27C7" w:rsidRDefault="5EFA27C7">
      <w:r>
        <w:t>Internally, the account is at an early stage. A search of your email, Teams chats, meetings and SharePoint/OneDrive for July to September 2026 returned no correspondence, meetings or files with U.S. Bank. The only trace is a 2 June 2026 admin notification in which a How2Demos colleague, Valene Samuels, activated an AI Administrator role with the justification "Customer demo prep - US Bank". That demo appears to be the entry point, and this plan is built to convert it into a qualified pipeline over the next 90 days. The internal sections below therefore state gaps plainly rather than assume relationship depth that the data does not show.</w:t>
      </w:r>
    </w:p>
    <w:p w14:paraId="6ABBD090" w14:textId="5D30BA83" w:rsidR="5EFA27C7" w:rsidRDefault="5EFA27C7" w:rsidP="5EFA27C7">
      <w:pPr>
        <w:pStyle w:val="Heading1"/>
      </w:pPr>
      <w:r w:rsidRPr="5EFA27C7">
        <w:rPr>
          <w:color w:val="64381F"/>
        </w:rPr>
        <w:t>Relationship Map</w:t>
      </w:r>
    </w:p>
    <w:p w14:paraId="7E458D41" w14:textId="465DED34" w:rsidR="5EFA27C7" w:rsidRDefault="5EFA27C7">
      <w:r>
        <w:t>The table lists the known internal touchpoints and the publicly identifiable U.S. Bank executives whose priorities this plan addresses. No named U.S. Bank buyer, sponsor or day-to-day contact appears in your M365 data; those rows are to be filled during the first 30 days.</w:t>
      </w:r>
    </w:p>
    <w:tbl>
      <w:tblPr>
        <w:tblStyle w:val="LightList-Accent1"/>
        <w:tblW w:w="0" w:type="auto"/>
        <w:tblLook w:val="0000" w:firstRow="0" w:lastRow="0" w:firstColumn="0" w:lastColumn="0" w:noHBand="0" w:noVBand="0"/>
      </w:tblPr>
      <w:tblGrid>
        <w:gridCol w:w="2340"/>
        <w:gridCol w:w="2340"/>
        <w:gridCol w:w="2340"/>
        <w:gridCol w:w="2340"/>
      </w:tblGrid>
      <w:tr w:rsidR="5EFA27C7" w14:paraId="55910CE2"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536E0C11" w14:textId="0C2F577F" w:rsidR="5EFA27C7" w:rsidRDefault="5EFA27C7">
            <w:r>
              <w:t>Name</w:t>
            </w:r>
          </w:p>
        </w:tc>
        <w:tc>
          <w:tcPr>
            <w:tcW w:w="2340" w:type="dxa"/>
          </w:tcPr>
          <w:p w14:paraId="129BB6C3" w14:textId="050D3E43" w:rsidR="5EFA27C7" w:rsidRDefault="5EFA27C7">
            <w:pPr>
              <w:cnfStyle w:val="000000100000" w:firstRow="0" w:lastRow="0" w:firstColumn="0" w:lastColumn="0" w:oddVBand="0" w:evenVBand="0" w:oddHBand="1" w:evenHBand="0" w:firstRowFirstColumn="0" w:firstRowLastColumn="0" w:lastRowFirstColumn="0" w:lastRowLastColumn="0"/>
            </w:pPr>
            <w:r>
              <w:t>Organization and role</w:t>
            </w:r>
          </w:p>
        </w:tc>
        <w:tc>
          <w:tcPr>
            <w:cnfStyle w:val="000010000000" w:firstRow="0" w:lastRow="0" w:firstColumn="0" w:lastColumn="0" w:oddVBand="1" w:evenVBand="0" w:oddHBand="0" w:evenHBand="0" w:firstRowFirstColumn="0" w:firstRowLastColumn="0" w:lastRowFirstColumn="0" w:lastRowLastColumn="0"/>
            <w:tcW w:w="2340" w:type="dxa"/>
          </w:tcPr>
          <w:p w14:paraId="666CB4B9" w14:textId="7DEB2507" w:rsidR="5EFA27C7" w:rsidRDefault="5EFA27C7">
            <w:r>
              <w:t>Relevance to the account</w:t>
            </w:r>
          </w:p>
        </w:tc>
        <w:tc>
          <w:tcPr>
            <w:tcW w:w="2340" w:type="dxa"/>
          </w:tcPr>
          <w:p w14:paraId="3A255F5C" w14:textId="76C90BCB" w:rsidR="5EFA27C7" w:rsidRDefault="5EFA27C7">
            <w:pPr>
              <w:cnfStyle w:val="000000100000" w:firstRow="0" w:lastRow="0" w:firstColumn="0" w:lastColumn="0" w:oddVBand="0" w:evenVBand="0" w:oddHBand="1" w:evenHBand="0" w:firstRowFirstColumn="0" w:firstRowLastColumn="0" w:lastRowFirstColumn="0" w:lastRowLastColumn="0"/>
            </w:pPr>
            <w:r>
              <w:t>Source</w:t>
            </w:r>
          </w:p>
        </w:tc>
      </w:tr>
      <w:tr w:rsidR="5EFA27C7" w14:paraId="42F59DB7"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46626764" w14:textId="0DDE6C40" w:rsidR="5EFA27C7" w:rsidRDefault="5EFA27C7">
            <w:r>
              <w:t>Bojan Buhac</w:t>
            </w:r>
          </w:p>
        </w:tc>
        <w:tc>
          <w:tcPr>
            <w:tcW w:w="2340" w:type="dxa"/>
          </w:tcPr>
          <w:p w14:paraId="391B7564" w14:textId="06BC5304" w:rsidR="5EFA27C7" w:rsidRDefault="5EFA27C7">
            <w:pPr>
              <w:cnfStyle w:val="000000000000" w:firstRow="0" w:lastRow="0" w:firstColumn="0" w:lastColumn="0" w:oddVBand="0" w:evenVBand="0" w:oddHBand="0" w:evenHBand="0" w:firstRowFirstColumn="0" w:firstRowLastColumn="0" w:lastRowFirstColumn="0" w:lastRowLastColumn="0"/>
            </w:pPr>
            <w:r>
              <w:t>How2Demos, Consultant (account owner)</w:t>
            </w:r>
          </w:p>
        </w:tc>
        <w:tc>
          <w:tcPr>
            <w:cnfStyle w:val="000010000000" w:firstRow="0" w:lastRow="0" w:firstColumn="0" w:lastColumn="0" w:oddVBand="1" w:evenVBand="0" w:oddHBand="0" w:evenHBand="0" w:firstRowFirstColumn="0" w:firstRowLastColumn="0" w:lastRowFirstColumn="0" w:lastRowLastColumn="0"/>
            <w:tcW w:w="2340" w:type="dxa"/>
          </w:tcPr>
          <w:p w14:paraId="34749E1A" w14:textId="7F9A39C8" w:rsidR="5EFA27C7" w:rsidRDefault="5EFA27C7">
            <w:r>
              <w:t>Author of this plan; owns the 90-day actions</w:t>
            </w:r>
          </w:p>
        </w:tc>
        <w:tc>
          <w:tcPr>
            <w:tcW w:w="2340" w:type="dxa"/>
          </w:tcPr>
          <w:p w14:paraId="29689A5E" w14:textId="7878208C" w:rsidR="5EFA27C7" w:rsidRDefault="5EFA27C7">
            <w:pPr>
              <w:cnfStyle w:val="000000000000" w:firstRow="0" w:lastRow="0" w:firstColumn="0" w:lastColumn="0" w:oddVBand="0" w:evenVBand="0" w:oddHBand="0" w:evenHBand="0" w:firstRowFirstColumn="0" w:firstRowLastColumn="0" w:lastRowFirstColumn="0" w:lastRowLastColumn="0"/>
            </w:pPr>
            <w:r>
              <w:t>M365 profile</w:t>
            </w:r>
          </w:p>
        </w:tc>
      </w:tr>
      <w:tr w:rsidR="5EFA27C7" w14:paraId="146E4C3D"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1AE01184" w14:textId="0F8D8101" w:rsidR="5EFA27C7" w:rsidRDefault="5EFA27C7">
            <w:r>
              <w:t>Valene Samuels</w:t>
            </w:r>
          </w:p>
        </w:tc>
        <w:tc>
          <w:tcPr>
            <w:tcW w:w="2340" w:type="dxa"/>
          </w:tcPr>
          <w:p w14:paraId="6DE5C045" w14:textId="086B67C5" w:rsidR="5EFA27C7" w:rsidRDefault="5EFA27C7">
            <w:pPr>
              <w:cnfStyle w:val="000000100000" w:firstRow="0" w:lastRow="0" w:firstColumn="0" w:lastColumn="0" w:oddVBand="0" w:evenVBand="0" w:oddHBand="1" w:evenHBand="0" w:firstRowFirstColumn="0" w:firstRowLastColumn="0" w:lastRowFirstColumn="0" w:lastRowLastColumn="0"/>
            </w:pPr>
            <w:r>
              <w:t>How2Demos</w:t>
            </w:r>
          </w:p>
        </w:tc>
        <w:tc>
          <w:tcPr>
            <w:cnfStyle w:val="000010000000" w:firstRow="0" w:lastRow="0" w:firstColumn="0" w:lastColumn="0" w:oddVBand="1" w:evenVBand="0" w:oddHBand="0" w:evenHBand="0" w:firstRowFirstColumn="0" w:firstRowLastColumn="0" w:lastRowFirstColumn="0" w:lastRowLastColumn="0"/>
            <w:tcW w:w="2340" w:type="dxa"/>
          </w:tcPr>
          <w:p w14:paraId="4F415A9B" w14:textId="01494E89" w:rsidR="5EFA27C7" w:rsidRDefault="5EFA27C7">
            <w:r>
              <w:t xml:space="preserve">Activated AI </w:t>
            </w:r>
            <w:r>
              <w:lastRenderedPageBreak/>
              <w:t>Administrator role on 2 June 2026 for "Customer demo prep - US Bank"; likely ran or supported the initial demo</w:t>
            </w:r>
          </w:p>
        </w:tc>
        <w:tc>
          <w:tcPr>
            <w:tcW w:w="2340" w:type="dxa"/>
          </w:tcPr>
          <w:p w14:paraId="654A7108" w14:textId="7A27354D" w:rsidR="5EFA27C7" w:rsidRDefault="5EFA27C7">
            <w:pPr>
              <w:cnfStyle w:val="000000100000" w:firstRow="0" w:lastRow="0" w:firstColumn="0" w:lastColumn="0" w:oddVBand="0" w:evenVBand="0" w:oddHBand="1" w:evenHBand="0" w:firstRowFirstColumn="0" w:firstRowLastColumn="0" w:lastRowFirstColumn="0" w:lastRowLastColumn="0"/>
            </w:pPr>
            <w:r>
              <w:lastRenderedPageBreak/>
              <w:t xml:space="preserve">Admin notification </w:t>
            </w:r>
            <w:r>
              <w:lastRenderedPageBreak/>
              <w:t>email, 2 June 2026</w:t>
            </w:r>
          </w:p>
        </w:tc>
      </w:tr>
      <w:tr w:rsidR="5EFA27C7" w14:paraId="28BFF679"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3EBB0283" w14:textId="113C95C2" w:rsidR="5EFA27C7" w:rsidRDefault="5EFA27C7">
            <w:r>
              <w:lastRenderedPageBreak/>
              <w:t>Lisa Taylor</w:t>
            </w:r>
          </w:p>
        </w:tc>
        <w:tc>
          <w:tcPr>
            <w:tcW w:w="2340" w:type="dxa"/>
          </w:tcPr>
          <w:p w14:paraId="2779258C" w14:textId="0A1A7C86" w:rsidR="5EFA27C7" w:rsidRDefault="5EFA27C7">
            <w:pPr>
              <w:cnfStyle w:val="000000000000" w:firstRow="0" w:lastRow="0" w:firstColumn="0" w:lastColumn="0" w:oddVBand="0" w:evenVBand="0" w:oddHBand="0" w:evenHBand="0" w:firstRowFirstColumn="0" w:firstRowLastColumn="0" w:lastRowFirstColumn="0" w:lastRowLastColumn="0"/>
            </w:pPr>
            <w:r>
              <w:t>How2Demos, Director Human Resources (manager)</w:t>
            </w:r>
          </w:p>
        </w:tc>
        <w:tc>
          <w:tcPr>
            <w:cnfStyle w:val="000010000000" w:firstRow="0" w:lastRow="0" w:firstColumn="0" w:lastColumn="0" w:oddVBand="1" w:evenVBand="0" w:oddHBand="0" w:evenHBand="0" w:firstRowFirstColumn="0" w:firstRowLastColumn="0" w:lastRowFirstColumn="0" w:lastRowLastColumn="0"/>
            <w:tcW w:w="2340" w:type="dxa"/>
          </w:tcPr>
          <w:p w14:paraId="219B0AD6" w14:textId="02F8634A" w:rsidR="5EFA27C7" w:rsidRDefault="5EFA27C7">
            <w:r>
              <w:t>Internal escalation and resourcing</w:t>
            </w:r>
          </w:p>
        </w:tc>
        <w:tc>
          <w:tcPr>
            <w:tcW w:w="2340" w:type="dxa"/>
          </w:tcPr>
          <w:p w14:paraId="5913421B" w14:textId="7BD64A0E" w:rsidR="5EFA27C7" w:rsidRDefault="5EFA27C7">
            <w:pPr>
              <w:cnfStyle w:val="000000000000" w:firstRow="0" w:lastRow="0" w:firstColumn="0" w:lastColumn="0" w:oddVBand="0" w:evenVBand="0" w:oddHBand="0" w:evenHBand="0" w:firstRowFirstColumn="0" w:firstRowLastColumn="0" w:lastRowFirstColumn="0" w:lastRowLastColumn="0"/>
            </w:pPr>
            <w:r>
              <w:t>M365 profile</w:t>
            </w:r>
          </w:p>
        </w:tc>
      </w:tr>
      <w:tr w:rsidR="5EFA27C7" w14:paraId="1D12A230"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1CD8C186" w14:textId="12EBAA83" w:rsidR="5EFA27C7" w:rsidRDefault="5EFA27C7">
            <w:r>
              <w:t>Gunjan Kedia</w:t>
            </w:r>
          </w:p>
        </w:tc>
        <w:tc>
          <w:tcPr>
            <w:tcW w:w="2340" w:type="dxa"/>
          </w:tcPr>
          <w:p w14:paraId="5F6D6EA5" w14:textId="0BC99147" w:rsidR="5EFA27C7" w:rsidRDefault="5EFA27C7">
            <w:pPr>
              <w:cnfStyle w:val="000000100000" w:firstRow="0" w:lastRow="0" w:firstColumn="0" w:lastColumn="0" w:oddVBand="0" w:evenVBand="0" w:oddHBand="1" w:evenHBand="0" w:firstRowFirstColumn="0" w:firstRowLastColumn="0" w:lastRowFirstColumn="0" w:lastRowLastColumn="0"/>
            </w:pPr>
            <w:r>
              <w:t>U.S. Bancorp, CEO</w:t>
            </w:r>
          </w:p>
        </w:tc>
        <w:tc>
          <w:tcPr>
            <w:cnfStyle w:val="000010000000" w:firstRow="0" w:lastRow="0" w:firstColumn="0" w:lastColumn="0" w:oddVBand="1" w:evenVBand="0" w:oddHBand="0" w:evenHBand="0" w:firstRowFirstColumn="0" w:firstRowLastColumn="0" w:lastRowFirstColumn="0" w:lastRowLastColumn="0"/>
            <w:tcW w:w="2340" w:type="dxa"/>
          </w:tcPr>
          <w:p w14:paraId="43366DFF" w14:textId="04A7780B" w:rsidR="5EFA27C7" w:rsidRDefault="5EFA27C7">
            <w:r>
              <w:t>Sets the AI-native, revenue-growth and payments-transformation agenda</w:t>
            </w:r>
          </w:p>
        </w:tc>
        <w:tc>
          <w:tcPr>
            <w:tcW w:w="2340" w:type="dxa"/>
          </w:tcPr>
          <w:p w14:paraId="70681702" w14:textId="7D855ECF" w:rsidR="5EFA27C7" w:rsidRDefault="5EFA27C7">
            <w:pPr>
              <w:cnfStyle w:val="000000100000" w:firstRow="0" w:lastRow="0" w:firstColumn="0" w:lastColumn="0" w:oddVBand="0" w:evenVBand="0" w:oddHBand="1" w:evenHBand="0" w:firstRowFirstColumn="0" w:firstRowLastColumn="0" w:lastRowFirstColumn="0" w:lastRowLastColumn="0"/>
            </w:pPr>
            <w:r>
              <w:t>FinAi News, 16 Apr 2026; Banking Dive, 12 Jun 2025</w:t>
            </w:r>
          </w:p>
        </w:tc>
      </w:tr>
      <w:tr w:rsidR="5EFA27C7" w14:paraId="365B3AD5"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6D0F6E89" w14:textId="149ABF44" w:rsidR="5EFA27C7" w:rsidRDefault="5EFA27C7">
            <w:r>
              <w:t>John Stern</w:t>
            </w:r>
          </w:p>
        </w:tc>
        <w:tc>
          <w:tcPr>
            <w:tcW w:w="2340" w:type="dxa"/>
          </w:tcPr>
          <w:p w14:paraId="3F08BC06" w14:textId="0D78A608" w:rsidR="5EFA27C7" w:rsidRDefault="5EFA27C7">
            <w:pPr>
              <w:cnfStyle w:val="000000000000" w:firstRow="0" w:lastRow="0" w:firstColumn="0" w:lastColumn="0" w:oddVBand="0" w:evenVBand="0" w:oddHBand="0" w:evenHBand="0" w:firstRowFirstColumn="0" w:firstRowLastColumn="0" w:lastRowFirstColumn="0" w:lastRowLastColumn="0"/>
            </w:pPr>
            <w:r>
              <w:t>U.S. Bancorp, CFO</w:t>
            </w:r>
          </w:p>
        </w:tc>
        <w:tc>
          <w:tcPr>
            <w:cnfStyle w:val="000010000000" w:firstRow="0" w:lastRow="0" w:firstColumn="0" w:lastColumn="0" w:oddVBand="1" w:evenVBand="0" w:oddHBand="0" w:evenHBand="0" w:firstRowFirstColumn="0" w:firstRowLastColumn="0" w:lastRowFirstColumn="0" w:lastRowLastColumn="0"/>
            <w:tcW w:w="2340" w:type="dxa"/>
          </w:tcPr>
          <w:p w14:paraId="38C12D46" w14:textId="06568CCC" w:rsidR="5EFA27C7" w:rsidRDefault="5EFA27C7">
            <w:r>
              <w:t>Links AI and automation to operating leverage; controls the efficiency narrative</w:t>
            </w:r>
          </w:p>
        </w:tc>
        <w:tc>
          <w:tcPr>
            <w:tcW w:w="2340" w:type="dxa"/>
          </w:tcPr>
          <w:p w14:paraId="55DFF108" w14:textId="7F347390" w:rsidR="5EFA27C7" w:rsidRDefault="5EFA27C7">
            <w:pPr>
              <w:cnfStyle w:val="000000000000" w:firstRow="0" w:lastRow="0" w:firstColumn="0" w:lastColumn="0" w:oddVBand="0" w:evenVBand="0" w:oddHBand="0" w:evenHBand="0" w:firstRowFirstColumn="0" w:firstRowLastColumn="0" w:lastRowFirstColumn="0" w:lastRowLastColumn="0"/>
            </w:pPr>
            <w:r>
              <w:t>FinAi News, 16 Apr 2026</w:t>
            </w:r>
          </w:p>
        </w:tc>
      </w:tr>
      <w:tr w:rsidR="5EFA27C7" w14:paraId="6843F04F"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3C04ABE8" w14:textId="1649D405" w:rsidR="5EFA27C7" w:rsidRDefault="5EFA27C7">
            <w:r>
              <w:t>Todder Moning</w:t>
            </w:r>
          </w:p>
        </w:tc>
        <w:tc>
          <w:tcPr>
            <w:tcW w:w="2340" w:type="dxa"/>
          </w:tcPr>
          <w:p w14:paraId="327877FA" w14:textId="0F27BAC9" w:rsidR="5EFA27C7" w:rsidRDefault="5EFA27C7">
            <w:pPr>
              <w:cnfStyle w:val="000000100000" w:firstRow="0" w:lastRow="0" w:firstColumn="0" w:lastColumn="0" w:oddVBand="0" w:evenVBand="0" w:oddHBand="1" w:evenHBand="0" w:firstRowFirstColumn="0" w:firstRowLastColumn="0" w:lastRowFirstColumn="0" w:lastRowLastColumn="0"/>
            </w:pPr>
            <w:r>
              <w:t>U.S. Bank, Head of R&amp;D</w:t>
            </w:r>
          </w:p>
        </w:tc>
        <w:tc>
          <w:tcPr>
            <w:cnfStyle w:val="000010000000" w:firstRow="0" w:lastRow="0" w:firstColumn="0" w:lastColumn="0" w:oddVBand="1" w:evenVBand="0" w:oddHBand="0" w:evenHBand="0" w:firstRowFirstColumn="0" w:firstRowLastColumn="0" w:lastRowFirstColumn="0" w:lastRowLastColumn="0"/>
            <w:tcW w:w="2340" w:type="dxa"/>
          </w:tcPr>
          <w:p w14:paraId="794DB719" w14:textId="0805A18D" w:rsidR="5EFA27C7" w:rsidRDefault="5EFA27C7">
            <w:r>
              <w:t>Drives technology and AI initiatives; focused on orchestration and system-wide AI integration</w:t>
            </w:r>
          </w:p>
        </w:tc>
        <w:tc>
          <w:tcPr>
            <w:tcW w:w="2340" w:type="dxa"/>
          </w:tcPr>
          <w:p w14:paraId="74D063F5" w14:textId="00E38851" w:rsidR="5EFA27C7" w:rsidRDefault="5EFA27C7">
            <w:pPr>
              <w:cnfStyle w:val="000000100000" w:firstRow="0" w:lastRow="0" w:firstColumn="0" w:lastColumn="0" w:oddVBand="0" w:evenVBand="0" w:oddHBand="1" w:evenHBand="0" w:firstRowFirstColumn="0" w:firstRowLastColumn="0" w:lastRowFirstColumn="0" w:lastRowLastColumn="0"/>
            </w:pPr>
            <w:r>
              <w:t>FinAi News, 20 Jan 2026</w:t>
            </w:r>
          </w:p>
        </w:tc>
      </w:tr>
      <w:tr w:rsidR="5EFA27C7" w14:paraId="17B2BB7F"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6F7BE9BF" w14:textId="17F8E8C6" w:rsidR="5EFA27C7" w:rsidRDefault="5EFA27C7">
            <w:r>
              <w:t>Prageeth Sandakalum</w:t>
            </w:r>
          </w:p>
        </w:tc>
        <w:tc>
          <w:tcPr>
            <w:tcW w:w="2340" w:type="dxa"/>
          </w:tcPr>
          <w:p w14:paraId="670585FF" w14:textId="10D6CF8A" w:rsidR="5EFA27C7" w:rsidRDefault="5EFA27C7">
            <w:pPr>
              <w:cnfStyle w:val="000000000000" w:firstRow="0" w:lastRow="0" w:firstColumn="0" w:lastColumn="0" w:oddVBand="0" w:evenVBand="0" w:oddHBand="0" w:evenHBand="0" w:firstRowFirstColumn="0" w:firstRowLastColumn="0" w:lastRowFirstColumn="0" w:lastRowLastColumn="0"/>
            </w:pPr>
            <w:r>
              <w:t>U.S. Bank, VP and Principal Product Manager, Digital, Data and AI</w:t>
            </w:r>
          </w:p>
        </w:tc>
        <w:tc>
          <w:tcPr>
            <w:cnfStyle w:val="000010000000" w:firstRow="0" w:lastRow="0" w:firstColumn="0" w:lastColumn="0" w:oddVBand="1" w:evenVBand="0" w:oddHBand="0" w:evenHBand="0" w:firstRowFirstColumn="0" w:firstRowLastColumn="0" w:lastRowFirstColumn="0" w:lastRowLastColumn="0"/>
            <w:tcW w:w="2340" w:type="dxa"/>
          </w:tcPr>
          <w:p w14:paraId="66CB275D" w14:textId="09B4B64E" w:rsidR="5EFA27C7" w:rsidRDefault="5EFA27C7">
            <w:r>
              <w:t>Product-level owner for digital, data and AI use cases</w:t>
            </w:r>
          </w:p>
        </w:tc>
        <w:tc>
          <w:tcPr>
            <w:tcW w:w="2340" w:type="dxa"/>
          </w:tcPr>
          <w:p w14:paraId="4D512BFA" w14:textId="02929D12" w:rsidR="5EFA27C7" w:rsidRDefault="5EFA27C7">
            <w:pPr>
              <w:cnfStyle w:val="000000000000" w:firstRow="0" w:lastRow="0" w:firstColumn="0" w:lastColumn="0" w:oddVBand="0" w:evenVBand="0" w:oddHBand="0" w:evenHBand="0" w:firstRowFirstColumn="0" w:firstRowLastColumn="0" w:lastRowFirstColumn="0" w:lastRowLastColumn="0"/>
            </w:pPr>
            <w:r>
              <w:t>FinAi News, 20 Jan 2026</w:t>
            </w:r>
          </w:p>
        </w:tc>
      </w:tr>
      <w:tr w:rsidR="5EFA27C7" w14:paraId="3771A42E"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388A8086" w14:textId="19A7FD87" w:rsidR="5EFA27C7" w:rsidRDefault="5EFA27C7">
            <w:r>
              <w:t>Executive sponsor, technical champion, procurement contact</w:t>
            </w:r>
          </w:p>
        </w:tc>
        <w:tc>
          <w:tcPr>
            <w:tcW w:w="2340" w:type="dxa"/>
          </w:tcPr>
          <w:p w14:paraId="51279563" w14:textId="1285E44B" w:rsidR="5EFA27C7" w:rsidRDefault="5EFA27C7">
            <w:pPr>
              <w:cnfStyle w:val="000000100000" w:firstRow="0" w:lastRow="0" w:firstColumn="0" w:lastColumn="0" w:oddVBand="0" w:evenVBand="0" w:oddHBand="1" w:evenHBand="0" w:firstRowFirstColumn="0" w:firstRowLastColumn="0" w:lastRowFirstColumn="0" w:lastRowLastColumn="0"/>
            </w:pPr>
            <w:r>
              <w:t>U.S. Bank (to be identified)</w:t>
            </w:r>
          </w:p>
        </w:tc>
        <w:tc>
          <w:tcPr>
            <w:cnfStyle w:val="000010000000" w:firstRow="0" w:lastRow="0" w:firstColumn="0" w:lastColumn="0" w:oddVBand="1" w:evenVBand="0" w:oddHBand="0" w:evenHBand="0" w:firstRowFirstColumn="0" w:firstRowLastColumn="0" w:lastRowFirstColumn="0" w:lastRowLastColumn="0"/>
            <w:tcW w:w="2340" w:type="dxa"/>
          </w:tcPr>
          <w:p w14:paraId="6B0652D7" w14:textId="0B63CB0F" w:rsidR="5EFA27C7" w:rsidRDefault="5EFA27C7">
            <w:r>
              <w:t>Not present in email, Teams, meetings or files; identify via the June demo attendee list</w:t>
            </w:r>
          </w:p>
        </w:tc>
        <w:tc>
          <w:tcPr>
            <w:tcW w:w="2340" w:type="dxa"/>
          </w:tcPr>
          <w:p w14:paraId="42307288" w14:textId="0441B1D3" w:rsidR="5EFA27C7" w:rsidRDefault="5EFA27C7">
            <w:pPr>
              <w:cnfStyle w:val="000000100000" w:firstRow="0" w:lastRow="0" w:firstColumn="0" w:lastColumn="0" w:oddVBand="0" w:evenVBand="0" w:oddHBand="1" w:evenHBand="0" w:firstRowFirstColumn="0" w:firstRowLastColumn="0" w:lastRowFirstColumn="0" w:lastRowLastColumn="0"/>
            </w:pPr>
            <w:r>
              <w:t>Gap</w:t>
            </w:r>
          </w:p>
        </w:tc>
      </w:tr>
    </w:tbl>
    <w:p w14:paraId="68362E36" w14:textId="1E485600" w:rsidR="5EFA27C7" w:rsidRDefault="5EFA27C7">
      <w:r>
        <w:t xml:space="preserve"> </w:t>
      </w:r>
    </w:p>
    <w:p w14:paraId="6CA734D5" w14:textId="203B4BD9" w:rsidR="5EFA27C7" w:rsidRDefault="5EFA27C7" w:rsidP="5EFA27C7">
      <w:pPr>
        <w:pStyle w:val="Heading1"/>
      </w:pPr>
      <w:r w:rsidRPr="5EFA27C7">
        <w:rPr>
          <w:color w:val="64381F"/>
        </w:rPr>
        <w:t>Open Opportunities and Risks</w:t>
      </w:r>
    </w:p>
    <w:p w14:paraId="642FCC85" w14:textId="7507C55B" w:rsidR="5EFA27C7" w:rsidRDefault="5EFA27C7" w:rsidP="5EFA27C7">
      <w:pPr>
        <w:pStyle w:val="Heading2"/>
      </w:pPr>
      <w:r w:rsidRPr="5EFA27C7">
        <w:rPr>
          <w:color w:val="64381F"/>
        </w:rPr>
        <w:t>Opportunities</w:t>
      </w:r>
    </w:p>
    <w:p w14:paraId="3A3FC9ED" w14:textId="2543FAA6" w:rsidR="5EFA27C7" w:rsidRDefault="5EFA27C7">
      <w:r>
        <w:t xml:space="preserve">Each opportunity below is anchored to a stated U.S. Bank priority and to How2Demos capabilities evidenced in your own SharePoint work, notably the Copilot Studio agent architecture in T.I.G.RE.S SOW v1.7 (TITAN Group, 16 July 2026) and the agent governance framework in the Zava S2P Pillar documents (AIAC </w:t>
      </w:r>
      <w:proofErr w:type="gramStart"/>
      <w:r>
        <w:t>Evidences</w:t>
      </w:r>
      <w:proofErr w:type="gramEnd"/>
      <w:r>
        <w:t xml:space="preserve"> site). None of these opportunities is yet qualified with the customer; estimated value is deliberately left open until discovery is complete.</w:t>
      </w:r>
    </w:p>
    <w:tbl>
      <w:tblPr>
        <w:tblStyle w:val="LightList-Accent1"/>
        <w:tblW w:w="0" w:type="auto"/>
        <w:tblLook w:val="0000" w:firstRow="0" w:lastRow="0" w:firstColumn="0" w:lastColumn="0" w:noHBand="0" w:noVBand="0"/>
      </w:tblPr>
      <w:tblGrid>
        <w:gridCol w:w="2340"/>
        <w:gridCol w:w="2340"/>
        <w:gridCol w:w="2340"/>
        <w:gridCol w:w="2340"/>
      </w:tblGrid>
      <w:tr w:rsidR="5EFA27C7" w14:paraId="7C6D443A"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75317985" w14:textId="7ECEAD58" w:rsidR="5EFA27C7" w:rsidRDefault="5EFA27C7">
            <w:r>
              <w:t>Opportunity</w:t>
            </w:r>
          </w:p>
        </w:tc>
        <w:tc>
          <w:tcPr>
            <w:tcW w:w="2340" w:type="dxa"/>
          </w:tcPr>
          <w:p w14:paraId="793B3F95" w14:textId="77AC941C" w:rsidR="5EFA27C7" w:rsidRDefault="5EFA27C7">
            <w:pPr>
              <w:cnfStyle w:val="000000100000" w:firstRow="0" w:lastRow="0" w:firstColumn="0" w:lastColumn="0" w:oddVBand="0" w:evenVBand="0" w:oddHBand="1" w:evenHBand="0" w:firstRowFirstColumn="0" w:firstRowLastColumn="0" w:lastRowFirstColumn="0" w:lastRowLastColumn="0"/>
            </w:pPr>
            <w:r>
              <w:t>Customer driver (public)</w:t>
            </w:r>
          </w:p>
        </w:tc>
        <w:tc>
          <w:tcPr>
            <w:cnfStyle w:val="000010000000" w:firstRow="0" w:lastRow="0" w:firstColumn="0" w:lastColumn="0" w:oddVBand="1" w:evenVBand="0" w:oddHBand="0" w:evenHBand="0" w:firstRowFirstColumn="0" w:firstRowLastColumn="0" w:lastRowFirstColumn="0" w:lastRowLastColumn="0"/>
            <w:tcW w:w="2340" w:type="dxa"/>
          </w:tcPr>
          <w:p w14:paraId="4A651CEF" w14:textId="708A7AE0" w:rsidR="5EFA27C7" w:rsidRDefault="5EFA27C7">
            <w:r>
              <w:t>How2Demos angle</w:t>
            </w:r>
          </w:p>
        </w:tc>
        <w:tc>
          <w:tcPr>
            <w:tcW w:w="2340" w:type="dxa"/>
          </w:tcPr>
          <w:p w14:paraId="393BC3A7" w14:textId="696861A4" w:rsidR="5EFA27C7" w:rsidRDefault="5EFA27C7">
            <w:pPr>
              <w:cnfStyle w:val="000000100000" w:firstRow="0" w:lastRow="0" w:firstColumn="0" w:lastColumn="0" w:oddVBand="0" w:evenVBand="0" w:oddHBand="1" w:evenHBand="0" w:firstRowFirstColumn="0" w:firstRowLastColumn="0" w:lastRowFirstColumn="0" w:lastRowLastColumn="0"/>
            </w:pPr>
            <w:r>
              <w:t>Stage</w:t>
            </w:r>
          </w:p>
        </w:tc>
      </w:tr>
      <w:tr w:rsidR="5EFA27C7" w14:paraId="50CFBED6"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2B52ECDB" w14:textId="007DC219" w:rsidR="5EFA27C7" w:rsidRDefault="5EFA27C7">
            <w:r>
              <w:t xml:space="preserve">Follow-through on the </w:t>
            </w:r>
            <w:r>
              <w:lastRenderedPageBreak/>
              <w:t>June 2026 Copilot demo</w:t>
            </w:r>
          </w:p>
        </w:tc>
        <w:tc>
          <w:tcPr>
            <w:tcW w:w="2340" w:type="dxa"/>
          </w:tcPr>
          <w:p w14:paraId="24BAE69E" w14:textId="795BA8DD" w:rsidR="5EFA27C7" w:rsidRDefault="5EFA27C7">
            <w:pPr>
              <w:cnfStyle w:val="000000000000" w:firstRow="0" w:lastRow="0" w:firstColumn="0" w:lastColumn="0" w:oddVBand="0" w:evenVBand="0" w:oddHBand="0" w:evenHBand="0" w:firstRowFirstColumn="0" w:firstRowLastColumn="0" w:lastRowFirstColumn="0" w:lastRowLastColumn="0"/>
            </w:pPr>
            <w:r>
              <w:lastRenderedPageBreak/>
              <w:t xml:space="preserve">AI-native priority; AI </w:t>
            </w:r>
            <w:r>
              <w:lastRenderedPageBreak/>
              <w:t>already deployed in 2025 for customer service, fraud detection, content creation and data analysis (FinAi News, 20 Jan 2026)</w:t>
            </w:r>
          </w:p>
        </w:tc>
        <w:tc>
          <w:tcPr>
            <w:cnfStyle w:val="000010000000" w:firstRow="0" w:lastRow="0" w:firstColumn="0" w:lastColumn="0" w:oddVBand="1" w:evenVBand="0" w:oddHBand="0" w:evenHBand="0" w:firstRowFirstColumn="0" w:firstRowLastColumn="0" w:lastRowFirstColumn="0" w:lastRowLastColumn="0"/>
            <w:tcW w:w="2340" w:type="dxa"/>
          </w:tcPr>
          <w:p w14:paraId="68C8F619" w14:textId="72398FA1" w:rsidR="5EFA27C7" w:rsidRDefault="5EFA27C7">
            <w:r>
              <w:lastRenderedPageBreak/>
              <w:t xml:space="preserve">Reconnect with demo </w:t>
            </w:r>
            <w:r>
              <w:lastRenderedPageBreak/>
              <w:t>attendees; convert to a scoped pilot with success criteria</w:t>
            </w:r>
          </w:p>
        </w:tc>
        <w:tc>
          <w:tcPr>
            <w:tcW w:w="2340" w:type="dxa"/>
          </w:tcPr>
          <w:p w14:paraId="1069AD7E" w14:textId="6B177665" w:rsidR="5EFA27C7" w:rsidRDefault="5EFA27C7">
            <w:pPr>
              <w:cnfStyle w:val="000000000000" w:firstRow="0" w:lastRow="0" w:firstColumn="0" w:lastColumn="0" w:oddVBand="0" w:evenVBand="0" w:oddHBand="0" w:evenHBand="0" w:firstRowFirstColumn="0" w:firstRowLastColumn="0" w:lastRowFirstColumn="0" w:lastRowLastColumn="0"/>
            </w:pPr>
            <w:r>
              <w:lastRenderedPageBreak/>
              <w:t>Demo held; no follow-</w:t>
            </w:r>
            <w:r>
              <w:lastRenderedPageBreak/>
              <w:t>up recorded</w:t>
            </w:r>
          </w:p>
        </w:tc>
      </w:tr>
      <w:tr w:rsidR="5EFA27C7" w14:paraId="1C89BB90"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2EA78566" w14:textId="022CD6DA" w:rsidR="5EFA27C7" w:rsidRDefault="5EFA27C7">
            <w:r>
              <w:lastRenderedPageBreak/>
              <w:t>Strategy and competitive-intelligence agent for Corporate Strategy or BTIG integration teams</w:t>
            </w:r>
          </w:p>
        </w:tc>
        <w:tc>
          <w:tcPr>
            <w:tcW w:w="2340" w:type="dxa"/>
          </w:tcPr>
          <w:p w14:paraId="23EFA927" w14:textId="7B0ABD9E" w:rsidR="5EFA27C7" w:rsidRDefault="5EFA27C7">
            <w:pPr>
              <w:cnfStyle w:val="000000100000" w:firstRow="0" w:lastRow="0" w:firstColumn="0" w:lastColumn="0" w:oddVBand="0" w:evenVBand="0" w:oddHBand="1" w:evenHBand="0" w:firstRowFirstColumn="0" w:firstRowLastColumn="0" w:lastRowFirstColumn="0" w:lastRowLastColumn="0"/>
            </w:pPr>
            <w:r>
              <w:t>BTIG acquisition closed 1 June 2026; leadership emphasis on deepening client relationships and capital markets momentum (Q2 2026 results)</w:t>
            </w:r>
          </w:p>
        </w:tc>
        <w:tc>
          <w:tcPr>
            <w:cnfStyle w:val="000010000000" w:firstRow="0" w:lastRow="0" w:firstColumn="0" w:lastColumn="0" w:oddVBand="1" w:evenVBand="0" w:oddHBand="0" w:evenHBand="0" w:firstRowFirstColumn="0" w:firstRowLastColumn="0" w:lastRowFirstColumn="0" w:lastRowLastColumn="0"/>
            <w:tcW w:w="2340" w:type="dxa"/>
          </w:tcPr>
          <w:p w14:paraId="7F08D9A9" w14:textId="73E8A462" w:rsidR="5EFA27C7" w:rsidRDefault="5EFA27C7">
            <w:r>
              <w:t>Reuse the T.I.G.RE.S Copilot Studio pattern: internal SharePoint knowledge plus curated external sources, trend reports and early-warning signals</w:t>
            </w:r>
          </w:p>
        </w:tc>
        <w:tc>
          <w:tcPr>
            <w:tcW w:w="2340" w:type="dxa"/>
          </w:tcPr>
          <w:p w14:paraId="2C3EFB49" w14:textId="6CC68B26" w:rsidR="5EFA27C7" w:rsidRDefault="5EFA27C7">
            <w:pPr>
              <w:cnfStyle w:val="000000100000" w:firstRow="0" w:lastRow="0" w:firstColumn="0" w:lastColumn="0" w:oddVBand="0" w:evenVBand="0" w:oddHBand="1" w:evenHBand="0" w:firstRowFirstColumn="0" w:firstRowLastColumn="0" w:lastRowFirstColumn="0" w:lastRowLastColumn="0"/>
            </w:pPr>
            <w:r>
              <w:t>Idea</w:t>
            </w:r>
          </w:p>
        </w:tc>
      </w:tr>
      <w:tr w:rsidR="5EFA27C7" w14:paraId="28C93EC0"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690A6FEA" w14:textId="03DBEB9B" w:rsidR="5EFA27C7" w:rsidRDefault="5EFA27C7">
            <w:r>
              <w:t>Agent governance and AI Center of Excellence framework</w:t>
            </w:r>
          </w:p>
        </w:tc>
        <w:tc>
          <w:tcPr>
            <w:tcW w:w="2340" w:type="dxa"/>
          </w:tcPr>
          <w:p w14:paraId="316D2DF9" w14:textId="7CB9D25F" w:rsidR="5EFA27C7" w:rsidRDefault="5EFA27C7">
            <w:pPr>
              <w:cnfStyle w:val="000000000000" w:firstRow="0" w:lastRow="0" w:firstColumn="0" w:lastColumn="0" w:oddVBand="0" w:evenVBand="0" w:oddHBand="0" w:evenHBand="0" w:firstRowFirstColumn="0" w:firstRowLastColumn="0" w:lastRowFirstColumn="0" w:lastRowLastColumn="0"/>
            </w:pPr>
            <w:r>
              <w:t>Regulated bank scaling AI across functions; CFO ties operating leverage to AI deployment (FinAi News, 16 Apr 2026)</w:t>
            </w:r>
          </w:p>
        </w:tc>
        <w:tc>
          <w:tcPr>
            <w:cnfStyle w:val="000010000000" w:firstRow="0" w:lastRow="0" w:firstColumn="0" w:lastColumn="0" w:oddVBand="1" w:evenVBand="0" w:oddHBand="0" w:evenHBand="0" w:firstRowFirstColumn="0" w:firstRowLastColumn="0" w:lastRowFirstColumn="0" w:lastRowLastColumn="0"/>
            <w:tcW w:w="2340" w:type="dxa"/>
          </w:tcPr>
          <w:p w14:paraId="625DC1CD" w14:textId="7597B923" w:rsidR="5EFA27C7" w:rsidRDefault="5EFA27C7">
            <w:r>
              <w:t>Adapt the five-pillar governance templates (strategy, technology and data, security and governance) used on the Zava S2P Agent engagement</w:t>
            </w:r>
          </w:p>
        </w:tc>
        <w:tc>
          <w:tcPr>
            <w:tcW w:w="2340" w:type="dxa"/>
          </w:tcPr>
          <w:p w14:paraId="3404E3D8" w14:textId="6E759FE7" w:rsidR="5EFA27C7" w:rsidRDefault="5EFA27C7">
            <w:pPr>
              <w:cnfStyle w:val="000000000000" w:firstRow="0" w:lastRow="0" w:firstColumn="0" w:lastColumn="0" w:oddVBand="0" w:evenVBand="0" w:oddHBand="0" w:evenHBand="0" w:firstRowFirstColumn="0" w:firstRowLastColumn="0" w:lastRowFirstColumn="0" w:lastRowLastColumn="0"/>
            </w:pPr>
            <w:r>
              <w:t>Idea</w:t>
            </w:r>
          </w:p>
        </w:tc>
      </w:tr>
      <w:tr w:rsidR="5EFA27C7" w14:paraId="19C32E72"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4A4963B6" w14:textId="058B005C" w:rsidR="5EFA27C7" w:rsidRDefault="5EFA27C7">
            <w:r>
              <w:t>Payments and small-business workflow automation with Elavon or Elan</w:t>
            </w:r>
          </w:p>
        </w:tc>
        <w:tc>
          <w:tcPr>
            <w:tcW w:w="2340" w:type="dxa"/>
          </w:tcPr>
          <w:p w14:paraId="19BD7479" w14:textId="7E68E720" w:rsidR="5EFA27C7" w:rsidRDefault="5EFA27C7">
            <w:pPr>
              <w:cnfStyle w:val="000000100000" w:firstRow="0" w:lastRow="0" w:firstColumn="0" w:lastColumn="0" w:oddVBand="0" w:evenVBand="0" w:oddHBand="1" w:evenHBand="0" w:firstRowFirstColumn="0" w:firstRowLastColumn="0" w:lastRowFirstColumn="0" w:lastRowLastColumn="0"/>
            </w:pPr>
            <w:r>
              <w:t xml:space="preserve">Payments </w:t>
            </w:r>
            <w:proofErr w:type="gramStart"/>
            <w:r>
              <w:t>is</w:t>
            </w:r>
            <w:proofErr w:type="gramEnd"/>
            <w:r>
              <w:t xml:space="preserve"> about 25% of revenue; Elan serves about 1,400 bank and credit-union card programs; shift to software-led merchant services (Banking Dive, 12 Jun 2025)</w:t>
            </w:r>
          </w:p>
        </w:tc>
        <w:tc>
          <w:tcPr>
            <w:cnfStyle w:val="000010000000" w:firstRow="0" w:lastRow="0" w:firstColumn="0" w:lastColumn="0" w:oddVBand="1" w:evenVBand="0" w:oddHBand="0" w:evenHBand="0" w:firstRowFirstColumn="0" w:firstRowLastColumn="0" w:lastRowFirstColumn="0" w:lastRowLastColumn="0"/>
            <w:tcW w:w="2340" w:type="dxa"/>
          </w:tcPr>
          <w:p w14:paraId="6550B488" w14:textId="7746CDE4" w:rsidR="5EFA27C7" w:rsidRDefault="5EFA27C7">
            <w:r>
              <w:t>Copilot agents over Dynamics 365 and Power Platform for merchant onboarding and partner-bank servicing; builds on the 2022 Elavon and Dynamics 365 payments integration</w:t>
            </w:r>
          </w:p>
        </w:tc>
        <w:tc>
          <w:tcPr>
            <w:tcW w:w="2340" w:type="dxa"/>
          </w:tcPr>
          <w:p w14:paraId="581D024B" w14:textId="7024B4A8" w:rsidR="5EFA27C7" w:rsidRDefault="5EFA27C7">
            <w:pPr>
              <w:cnfStyle w:val="000000100000" w:firstRow="0" w:lastRow="0" w:firstColumn="0" w:lastColumn="0" w:oddVBand="0" w:evenVBand="0" w:oddHBand="1" w:evenHBand="0" w:firstRowFirstColumn="0" w:firstRowLastColumn="0" w:lastRowFirstColumn="0" w:lastRowLastColumn="0"/>
            </w:pPr>
            <w:r>
              <w:t>Idea</w:t>
            </w:r>
          </w:p>
        </w:tc>
      </w:tr>
      <w:tr w:rsidR="5EFA27C7" w14:paraId="1D304C75"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38C47D9F" w14:textId="073A151D" w:rsidR="5EFA27C7" w:rsidRDefault="5EFA27C7">
            <w:r>
              <w:t>Employee productivity with Microsoft 365 Copilot</w:t>
            </w:r>
          </w:p>
        </w:tc>
        <w:tc>
          <w:tcPr>
            <w:tcW w:w="2340" w:type="dxa"/>
          </w:tcPr>
          <w:p w14:paraId="4452C6F1" w14:textId="0017FBE1" w:rsidR="5EFA27C7" w:rsidRDefault="5EFA27C7">
            <w:pPr>
              <w:cnfStyle w:val="000000000000" w:firstRow="0" w:lastRow="0" w:firstColumn="0" w:lastColumn="0" w:oddVBand="0" w:evenVBand="0" w:oddHBand="0" w:evenHBand="0" w:firstRowFirstColumn="0" w:firstRowLastColumn="0" w:lastRowFirstColumn="0" w:lastRowLastColumn="0"/>
            </w:pPr>
            <w:r>
              <w:t>Roughly 70,000 employees already on Microsoft 365 and Teams (U.S. Bank blog, 23 Feb 2022; FinAi News, 20 Jan 2026)</w:t>
            </w:r>
          </w:p>
        </w:tc>
        <w:tc>
          <w:tcPr>
            <w:cnfStyle w:val="000010000000" w:firstRow="0" w:lastRow="0" w:firstColumn="0" w:lastColumn="0" w:oddVBand="1" w:evenVBand="0" w:oddHBand="0" w:evenHBand="0" w:firstRowFirstColumn="0" w:firstRowLastColumn="0" w:lastRowFirstColumn="0" w:lastRowLastColumn="0"/>
            <w:tcW w:w="2340" w:type="dxa"/>
          </w:tcPr>
          <w:p w14:paraId="70D619A0" w14:textId="78F5E2A5" w:rsidR="5EFA27C7" w:rsidRDefault="5EFA27C7">
            <w:r>
              <w:t>Adoption and change-management services, scenario libraries by line of business</w:t>
            </w:r>
          </w:p>
        </w:tc>
        <w:tc>
          <w:tcPr>
            <w:tcW w:w="2340" w:type="dxa"/>
          </w:tcPr>
          <w:p w14:paraId="67C64BC8" w14:textId="71D3C969" w:rsidR="5EFA27C7" w:rsidRDefault="5EFA27C7">
            <w:pPr>
              <w:cnfStyle w:val="000000000000" w:firstRow="0" w:lastRow="0" w:firstColumn="0" w:lastColumn="0" w:oddVBand="0" w:evenVBand="0" w:oddHBand="0" w:evenHBand="0" w:firstRowFirstColumn="0" w:firstRowLastColumn="0" w:lastRowFirstColumn="0" w:lastRowLastColumn="0"/>
            </w:pPr>
            <w:r>
              <w:t>Idea</w:t>
            </w:r>
          </w:p>
        </w:tc>
      </w:tr>
    </w:tbl>
    <w:p w14:paraId="47EBB30E" w14:textId="3E6EA05E" w:rsidR="5EFA27C7" w:rsidRDefault="5EFA27C7">
      <w:r>
        <w:t xml:space="preserve"> </w:t>
      </w:r>
    </w:p>
    <w:p w14:paraId="70DF38B1" w14:textId="65B8EC84" w:rsidR="5EFA27C7" w:rsidRDefault="5EFA27C7" w:rsidP="5EFA27C7">
      <w:pPr>
        <w:pStyle w:val="Heading2"/>
      </w:pPr>
      <w:r w:rsidRPr="5EFA27C7">
        <w:rPr>
          <w:color w:val="64381F"/>
        </w:rPr>
        <w:t>Risks</w:t>
      </w:r>
    </w:p>
    <w:tbl>
      <w:tblPr>
        <w:tblStyle w:val="LightList-Accent1"/>
        <w:tblW w:w="0" w:type="auto"/>
        <w:tblLook w:val="0000" w:firstRow="0" w:lastRow="0" w:firstColumn="0" w:lastColumn="0" w:noHBand="0" w:noVBand="0"/>
      </w:tblPr>
      <w:tblGrid>
        <w:gridCol w:w="3120"/>
        <w:gridCol w:w="3120"/>
        <w:gridCol w:w="3120"/>
      </w:tblGrid>
      <w:tr w:rsidR="5EFA27C7" w14:paraId="5893CEF2"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20" w:type="dxa"/>
          </w:tcPr>
          <w:p w14:paraId="6B59F364" w14:textId="18DC7117" w:rsidR="5EFA27C7" w:rsidRDefault="5EFA27C7">
            <w:r>
              <w:t>Risk</w:t>
            </w:r>
          </w:p>
        </w:tc>
        <w:tc>
          <w:tcPr>
            <w:tcW w:w="3120" w:type="dxa"/>
          </w:tcPr>
          <w:p w14:paraId="3EB071BA" w14:textId="11BA57DB" w:rsidR="5EFA27C7" w:rsidRDefault="5EFA27C7">
            <w:pPr>
              <w:cnfStyle w:val="000000100000" w:firstRow="0" w:lastRow="0" w:firstColumn="0" w:lastColumn="0" w:oddVBand="0" w:evenVBand="0" w:oddHBand="1" w:evenHBand="0" w:firstRowFirstColumn="0" w:firstRowLastColumn="0" w:lastRowFirstColumn="0" w:lastRowLastColumn="0"/>
            </w:pPr>
            <w:r>
              <w:t>Why it matters</w:t>
            </w:r>
          </w:p>
        </w:tc>
        <w:tc>
          <w:tcPr>
            <w:cnfStyle w:val="000010000000" w:firstRow="0" w:lastRow="0" w:firstColumn="0" w:lastColumn="0" w:oddVBand="1" w:evenVBand="0" w:oddHBand="0" w:evenHBand="0" w:firstRowFirstColumn="0" w:firstRowLastColumn="0" w:lastRowFirstColumn="0" w:lastRowLastColumn="0"/>
            <w:tcW w:w="3120" w:type="dxa"/>
          </w:tcPr>
          <w:p w14:paraId="59342A48" w14:textId="0A983E9F" w:rsidR="5EFA27C7" w:rsidRDefault="5EFA27C7">
            <w:r>
              <w:t>Mitigation</w:t>
            </w:r>
          </w:p>
        </w:tc>
      </w:tr>
      <w:tr w:rsidR="5EFA27C7" w14:paraId="6618BC02" w14:textId="77777777" w:rsidTr="5EFA27C7">
        <w:tc>
          <w:tcPr>
            <w:cnfStyle w:val="000010000000" w:firstRow="0" w:lastRow="0" w:firstColumn="0" w:lastColumn="0" w:oddVBand="1" w:evenVBand="0" w:oddHBand="0" w:evenHBand="0" w:firstRowFirstColumn="0" w:firstRowLastColumn="0" w:lastRowFirstColumn="0" w:lastRowLastColumn="0"/>
            <w:tcW w:w="3120" w:type="dxa"/>
          </w:tcPr>
          <w:p w14:paraId="16588055" w14:textId="21AD9F14" w:rsidR="5EFA27C7" w:rsidRDefault="5EFA27C7">
            <w:r>
              <w:t>No active relationship on record</w:t>
            </w:r>
          </w:p>
        </w:tc>
        <w:tc>
          <w:tcPr>
            <w:tcW w:w="3120" w:type="dxa"/>
          </w:tcPr>
          <w:p w14:paraId="5072F0B0" w14:textId="1A8B85D8" w:rsidR="5EFA27C7" w:rsidRDefault="5EFA27C7">
            <w:pPr>
              <w:cnfStyle w:val="000000000000" w:firstRow="0" w:lastRow="0" w:firstColumn="0" w:lastColumn="0" w:oddVBand="0" w:evenVBand="0" w:oddHBand="0" w:evenHBand="0" w:firstRowFirstColumn="0" w:firstRowLastColumn="0" w:lastRowFirstColumn="0" w:lastRowLastColumn="0"/>
            </w:pPr>
            <w:r>
              <w:t>Three months without any email, chat, meeting or file activity after the June demo suggests the opportunity has gone cold or is owned elsewhere</w:t>
            </w:r>
          </w:p>
        </w:tc>
        <w:tc>
          <w:tcPr>
            <w:cnfStyle w:val="000010000000" w:firstRow="0" w:lastRow="0" w:firstColumn="0" w:lastColumn="0" w:oddVBand="1" w:evenVBand="0" w:oddHBand="0" w:evenHBand="0" w:firstRowFirstColumn="0" w:firstRowLastColumn="0" w:lastRowFirstColumn="0" w:lastRowLastColumn="0"/>
            <w:tcW w:w="3120" w:type="dxa"/>
          </w:tcPr>
          <w:p w14:paraId="205A4B1E" w14:textId="13696C9C" w:rsidR="5EFA27C7" w:rsidRDefault="5EFA27C7">
            <w:r>
              <w:t>Confirm ownership with Valene Samuels this week; re-engage demo attendees within 14 days</w:t>
            </w:r>
          </w:p>
        </w:tc>
      </w:tr>
      <w:tr w:rsidR="5EFA27C7" w14:paraId="4FFB7576"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20" w:type="dxa"/>
          </w:tcPr>
          <w:p w14:paraId="12D9D8FD" w14:textId="2A7ECD11" w:rsidR="5EFA27C7" w:rsidRDefault="5EFA27C7">
            <w:r>
              <w:t>Unknown buying center</w:t>
            </w:r>
          </w:p>
        </w:tc>
        <w:tc>
          <w:tcPr>
            <w:tcW w:w="3120" w:type="dxa"/>
          </w:tcPr>
          <w:p w14:paraId="7A802B05" w14:textId="235CB3D5" w:rsidR="5EFA27C7" w:rsidRDefault="5EFA27C7">
            <w:pPr>
              <w:cnfStyle w:val="000000100000" w:firstRow="0" w:lastRow="0" w:firstColumn="0" w:lastColumn="0" w:oddVBand="0" w:evenVBand="0" w:oddHBand="1" w:evenHBand="0" w:firstRowFirstColumn="0" w:firstRowLastColumn="0" w:lastRowFirstColumn="0" w:lastRowLastColumn="0"/>
            </w:pPr>
            <w:r>
              <w:t xml:space="preserve">No executive sponsor, </w:t>
            </w:r>
            <w:r>
              <w:lastRenderedPageBreak/>
              <w:t>technical champion or procurement contact is identified</w:t>
            </w:r>
          </w:p>
        </w:tc>
        <w:tc>
          <w:tcPr>
            <w:cnfStyle w:val="000010000000" w:firstRow="0" w:lastRow="0" w:firstColumn="0" w:lastColumn="0" w:oddVBand="1" w:evenVBand="0" w:oddHBand="0" w:evenHBand="0" w:firstRowFirstColumn="0" w:firstRowLastColumn="0" w:lastRowFirstColumn="0" w:lastRowLastColumn="0"/>
            <w:tcW w:w="3120" w:type="dxa"/>
          </w:tcPr>
          <w:p w14:paraId="653D0733" w14:textId="1C3A9A99" w:rsidR="5EFA27C7" w:rsidRDefault="5EFA27C7">
            <w:r>
              <w:lastRenderedPageBreak/>
              <w:t xml:space="preserve">Map the buying center in the </w:t>
            </w:r>
            <w:r>
              <w:lastRenderedPageBreak/>
              <w:t>first 30 days using the demo attendee list and public leadership</w:t>
            </w:r>
          </w:p>
        </w:tc>
      </w:tr>
      <w:tr w:rsidR="5EFA27C7" w14:paraId="6DC13593" w14:textId="77777777" w:rsidTr="5EFA27C7">
        <w:tc>
          <w:tcPr>
            <w:cnfStyle w:val="000010000000" w:firstRow="0" w:lastRow="0" w:firstColumn="0" w:lastColumn="0" w:oddVBand="1" w:evenVBand="0" w:oddHBand="0" w:evenHBand="0" w:firstRowFirstColumn="0" w:firstRowLastColumn="0" w:lastRowFirstColumn="0" w:lastRowLastColumn="0"/>
            <w:tcW w:w="3120" w:type="dxa"/>
          </w:tcPr>
          <w:p w14:paraId="159583DD" w14:textId="334FFB0E" w:rsidR="5EFA27C7" w:rsidRDefault="5EFA27C7">
            <w:r>
              <w:lastRenderedPageBreak/>
              <w:t>Regulatory and data-governance scrutiny</w:t>
            </w:r>
          </w:p>
        </w:tc>
        <w:tc>
          <w:tcPr>
            <w:tcW w:w="3120" w:type="dxa"/>
          </w:tcPr>
          <w:p w14:paraId="5D114ECC" w14:textId="2C2DE1D2" w:rsidR="5EFA27C7" w:rsidRDefault="5EFA27C7">
            <w:pPr>
              <w:cnfStyle w:val="000000000000" w:firstRow="0" w:lastRow="0" w:firstColumn="0" w:lastColumn="0" w:oddVBand="0" w:evenVBand="0" w:oddHBand="0" w:evenHBand="0" w:firstRowFirstColumn="0" w:firstRowLastColumn="0" w:lastRowFirstColumn="0" w:lastRowLastColumn="0"/>
            </w:pPr>
            <w:r>
              <w:t>A $695 billion bank must show model governance, data classification and access controls before scaling agents</w:t>
            </w:r>
          </w:p>
        </w:tc>
        <w:tc>
          <w:tcPr>
            <w:cnfStyle w:val="000010000000" w:firstRow="0" w:lastRow="0" w:firstColumn="0" w:lastColumn="0" w:oddVBand="1" w:evenVBand="0" w:oddHBand="0" w:evenHBand="0" w:firstRowFirstColumn="0" w:firstRowLastColumn="0" w:lastRowFirstColumn="0" w:lastRowLastColumn="0"/>
            <w:tcW w:w="3120" w:type="dxa"/>
          </w:tcPr>
          <w:p w14:paraId="48607225" w14:textId="250BC896" w:rsidR="5EFA27C7" w:rsidRDefault="5EFA27C7">
            <w:r>
              <w:t>Lead with the governance framework; propose a Pillar-based assessment as the first paid engagement</w:t>
            </w:r>
          </w:p>
        </w:tc>
      </w:tr>
      <w:tr w:rsidR="5EFA27C7" w14:paraId="77E70CE3"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20" w:type="dxa"/>
          </w:tcPr>
          <w:p w14:paraId="31B6238C" w14:textId="3C21290B" w:rsidR="5EFA27C7" w:rsidRDefault="5EFA27C7">
            <w:r>
              <w:t>Incumbent and competitive pressure</w:t>
            </w:r>
          </w:p>
        </w:tc>
        <w:tc>
          <w:tcPr>
            <w:tcW w:w="3120" w:type="dxa"/>
          </w:tcPr>
          <w:p w14:paraId="1CFCC8E0" w14:textId="34FF0FCF" w:rsidR="5EFA27C7" w:rsidRDefault="5EFA27C7">
            <w:pPr>
              <w:cnfStyle w:val="000000100000" w:firstRow="0" w:lastRow="0" w:firstColumn="0" w:lastColumn="0" w:oddVBand="0" w:evenVBand="0" w:oddHBand="1" w:evenHBand="0" w:firstRowFirstColumn="0" w:firstRowLastColumn="0" w:lastRowFirstColumn="0" w:lastRowLastColumn="0"/>
            </w:pPr>
            <w:r>
              <w:t>U.S. Bank has an established Microsoft relationship, and large system integrators will compete for AI work; the bank also builds in-house (its own R&amp;D function)</w:t>
            </w:r>
          </w:p>
        </w:tc>
        <w:tc>
          <w:tcPr>
            <w:cnfStyle w:val="000010000000" w:firstRow="0" w:lastRow="0" w:firstColumn="0" w:lastColumn="0" w:oddVBand="1" w:evenVBand="0" w:oddHBand="0" w:evenHBand="0" w:firstRowFirstColumn="0" w:firstRowLastColumn="0" w:lastRowFirstColumn="0" w:lastRowLastColumn="0"/>
            <w:tcW w:w="3120" w:type="dxa"/>
          </w:tcPr>
          <w:p w14:paraId="12261255" w14:textId="2DDCF693" w:rsidR="5EFA27C7" w:rsidRDefault="5EFA27C7">
            <w:r>
              <w:t>Position How2Demos as a specialist Copilot Studio and agent-governance partner rather than a general SI</w:t>
            </w:r>
          </w:p>
        </w:tc>
      </w:tr>
      <w:tr w:rsidR="5EFA27C7" w14:paraId="1BDCFDE1" w14:textId="77777777" w:rsidTr="5EFA27C7">
        <w:tc>
          <w:tcPr>
            <w:cnfStyle w:val="000010000000" w:firstRow="0" w:lastRow="0" w:firstColumn="0" w:lastColumn="0" w:oddVBand="1" w:evenVBand="0" w:oddHBand="0" w:evenHBand="0" w:firstRowFirstColumn="0" w:firstRowLastColumn="0" w:lastRowFirstColumn="0" w:lastRowLastColumn="0"/>
            <w:tcW w:w="3120" w:type="dxa"/>
          </w:tcPr>
          <w:p w14:paraId="372F3CC3" w14:textId="44F25708" w:rsidR="5EFA27C7" w:rsidRDefault="5EFA27C7">
            <w:r>
              <w:t>Capacity and focus</w:t>
            </w:r>
          </w:p>
        </w:tc>
        <w:tc>
          <w:tcPr>
            <w:tcW w:w="3120" w:type="dxa"/>
          </w:tcPr>
          <w:p w14:paraId="381D07FE" w14:textId="3DD03DCC" w:rsidR="5EFA27C7" w:rsidRDefault="5EFA27C7">
            <w:pPr>
              <w:cnfStyle w:val="000000000000" w:firstRow="0" w:lastRow="0" w:firstColumn="0" w:lastColumn="0" w:oddVBand="0" w:evenVBand="0" w:oddHBand="0" w:evenHBand="0" w:firstRowFirstColumn="0" w:firstRowLastColumn="0" w:lastRowFirstColumn="0" w:lastRowLastColumn="0"/>
            </w:pPr>
            <w:r>
              <w:t>Your calendar and files this quarter are dominated by the TITAN Group engagement</w:t>
            </w:r>
          </w:p>
        </w:tc>
        <w:tc>
          <w:tcPr>
            <w:cnfStyle w:val="000010000000" w:firstRow="0" w:lastRow="0" w:firstColumn="0" w:lastColumn="0" w:oddVBand="1" w:evenVBand="0" w:oddHBand="0" w:evenHBand="0" w:firstRowFirstColumn="0" w:firstRowLastColumn="0" w:lastRowFirstColumn="0" w:lastRowLastColumn="0"/>
            <w:tcW w:w="3120" w:type="dxa"/>
          </w:tcPr>
          <w:p w14:paraId="3E33DD81" w14:textId="36AE2490" w:rsidR="5EFA27C7" w:rsidRDefault="5EFA27C7">
            <w:r>
              <w:t>Allocate a fixed weekly block for U.S. Bank pursuit; ask Lisa Taylor for pre-sales support if the pilot is scoped</w:t>
            </w:r>
          </w:p>
        </w:tc>
      </w:tr>
    </w:tbl>
    <w:p w14:paraId="4C2873ED" w14:textId="656A98A8" w:rsidR="5EFA27C7" w:rsidRDefault="5EFA27C7">
      <w:r>
        <w:t xml:space="preserve"> </w:t>
      </w:r>
    </w:p>
    <w:p w14:paraId="645070AC" w14:textId="2B554CC8" w:rsidR="5EFA27C7" w:rsidRDefault="5EFA27C7" w:rsidP="5EFA27C7">
      <w:pPr>
        <w:pStyle w:val="Heading1"/>
      </w:pPr>
      <w:r w:rsidRPr="5EFA27C7">
        <w:rPr>
          <w:color w:val="64381F"/>
        </w:rPr>
        <w:t>Competitive Landscape</w:t>
      </w:r>
    </w:p>
    <w:p w14:paraId="647F2763" w14:textId="2C6527F9" w:rsidR="5EFA27C7" w:rsidRDefault="5EFA27C7">
      <w:r>
        <w:t>U.S. Bancorp competes with both money-center banks and regional peers. Its differentiators are breadth in payments, merchant processing and corporate trust, and a domestic footprint across 26 states. Peer market capitalizations below are as published by Hudson Labs on 22 May 2026 and will have moved since. Understanding where the bank is pressured helps frame AI proposals around its stated response: efficiency, fee-income growth and deeper multi-product relationships (only about 41% of its 15 million clients hold more than one product, per Banking Dive, 12 June 2025).</w:t>
      </w:r>
    </w:p>
    <w:tbl>
      <w:tblPr>
        <w:tblStyle w:val="LightList-Accent1"/>
        <w:tblW w:w="0" w:type="auto"/>
        <w:tblLook w:val="0000" w:firstRow="0" w:lastRow="0" w:firstColumn="0" w:lastColumn="0" w:noHBand="0" w:noVBand="0"/>
      </w:tblPr>
      <w:tblGrid>
        <w:gridCol w:w="2340"/>
        <w:gridCol w:w="2340"/>
        <w:gridCol w:w="2340"/>
        <w:gridCol w:w="2340"/>
      </w:tblGrid>
      <w:tr w:rsidR="5EFA27C7" w14:paraId="2D48B23B"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47FDC59E" w14:textId="385D3951" w:rsidR="5EFA27C7" w:rsidRDefault="5EFA27C7">
            <w:r>
              <w:t>Competitor</w:t>
            </w:r>
          </w:p>
        </w:tc>
        <w:tc>
          <w:tcPr>
            <w:tcW w:w="2340" w:type="dxa"/>
          </w:tcPr>
          <w:p w14:paraId="2B4D0B2F" w14:textId="313B2015" w:rsidR="5EFA27C7" w:rsidRDefault="5EFA27C7">
            <w:pPr>
              <w:cnfStyle w:val="000000100000" w:firstRow="0" w:lastRow="0" w:firstColumn="0" w:lastColumn="0" w:oddVBand="0" w:evenVBand="0" w:oddHBand="1" w:evenHBand="0" w:firstRowFirstColumn="0" w:firstRowLastColumn="0" w:lastRowFirstColumn="0" w:lastRowLastColumn="0"/>
            </w:pPr>
            <w:r>
              <w:t>Market cap (May 2026)</w:t>
            </w:r>
          </w:p>
        </w:tc>
        <w:tc>
          <w:tcPr>
            <w:cnfStyle w:val="000010000000" w:firstRow="0" w:lastRow="0" w:firstColumn="0" w:lastColumn="0" w:oddVBand="1" w:evenVBand="0" w:oddHBand="0" w:evenHBand="0" w:firstRowFirstColumn="0" w:firstRowLastColumn="0" w:lastRowFirstColumn="0" w:lastRowLastColumn="0"/>
            <w:tcW w:w="2340" w:type="dxa"/>
          </w:tcPr>
          <w:p w14:paraId="2E99C333" w14:textId="2A1906D9" w:rsidR="5EFA27C7" w:rsidRDefault="5EFA27C7">
            <w:r>
              <w:t>Positioning versus U.S. Bancorp</w:t>
            </w:r>
          </w:p>
        </w:tc>
        <w:tc>
          <w:tcPr>
            <w:tcW w:w="2340" w:type="dxa"/>
          </w:tcPr>
          <w:p w14:paraId="662C2C30" w14:textId="22F6ED9D" w:rsidR="5EFA27C7" w:rsidRDefault="5EFA27C7">
            <w:pPr>
              <w:cnfStyle w:val="000000100000" w:firstRow="0" w:lastRow="0" w:firstColumn="0" w:lastColumn="0" w:oddVBand="0" w:evenVBand="0" w:oddHBand="1" w:evenHBand="0" w:firstRowFirstColumn="0" w:firstRowLastColumn="0" w:lastRowFirstColumn="0" w:lastRowLastColumn="0"/>
            </w:pPr>
            <w:r>
              <w:t>Implication for U.S. Bank</w:t>
            </w:r>
          </w:p>
        </w:tc>
      </w:tr>
      <w:tr w:rsidR="5EFA27C7" w14:paraId="325C9124"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20A2C240" w14:textId="3A0C4E12" w:rsidR="5EFA27C7" w:rsidRDefault="5EFA27C7">
            <w:r>
              <w:t>JPMorgan Chase (JPM)</w:t>
            </w:r>
          </w:p>
        </w:tc>
        <w:tc>
          <w:tcPr>
            <w:tcW w:w="2340" w:type="dxa"/>
          </w:tcPr>
          <w:p w14:paraId="58B95E5D" w14:textId="32EA34D6" w:rsidR="5EFA27C7" w:rsidRDefault="5EFA27C7">
            <w:pPr>
              <w:cnfStyle w:val="000000000000" w:firstRow="0" w:lastRow="0" w:firstColumn="0" w:lastColumn="0" w:oddVBand="0" w:evenVBand="0" w:oddHBand="0" w:evenHBand="0" w:firstRowFirstColumn="0" w:firstRowLastColumn="0" w:lastRowFirstColumn="0" w:lastRowLastColumn="0"/>
            </w:pPr>
            <w:r>
              <w:t>$811.89B</w:t>
            </w:r>
          </w:p>
        </w:tc>
        <w:tc>
          <w:tcPr>
            <w:cnfStyle w:val="000010000000" w:firstRow="0" w:lastRow="0" w:firstColumn="0" w:lastColumn="0" w:oddVBand="1" w:evenVBand="0" w:oddHBand="0" w:evenHBand="0" w:firstRowFirstColumn="0" w:firstRowLastColumn="0" w:lastRowFirstColumn="0" w:lastRowLastColumn="0"/>
            <w:tcW w:w="2340" w:type="dxa"/>
          </w:tcPr>
          <w:p w14:paraId="21F5CE72" w14:textId="2BC81B9A" w:rsidR="5EFA27C7" w:rsidRDefault="5EFA27C7">
            <w:r>
              <w:t>Global scale; leadership in investment banking, transaction processing and asset management</w:t>
            </w:r>
          </w:p>
        </w:tc>
        <w:tc>
          <w:tcPr>
            <w:tcW w:w="2340" w:type="dxa"/>
          </w:tcPr>
          <w:p w14:paraId="7C20D1F9" w14:textId="24A6025E" w:rsidR="5EFA27C7" w:rsidRDefault="5EFA27C7">
            <w:pPr>
              <w:cnfStyle w:val="000000000000" w:firstRow="0" w:lastRow="0" w:firstColumn="0" w:lastColumn="0" w:oddVBand="0" w:evenVBand="0" w:oddHBand="0" w:evenHBand="0" w:firstRowFirstColumn="0" w:firstRowLastColumn="0" w:lastRowFirstColumn="0" w:lastRowLastColumn="0"/>
            </w:pPr>
            <w:r>
              <w:t>Sets the benchmark for AI investment and digital experience</w:t>
            </w:r>
          </w:p>
        </w:tc>
      </w:tr>
      <w:tr w:rsidR="5EFA27C7" w14:paraId="1EDE42CF"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27835EC4" w14:textId="3BBB62D3" w:rsidR="5EFA27C7" w:rsidRDefault="5EFA27C7">
            <w:r>
              <w:t>Bank of America (BAC)</w:t>
            </w:r>
          </w:p>
        </w:tc>
        <w:tc>
          <w:tcPr>
            <w:tcW w:w="2340" w:type="dxa"/>
          </w:tcPr>
          <w:p w14:paraId="296ED1AF" w14:textId="34994997" w:rsidR="5EFA27C7" w:rsidRDefault="5EFA27C7">
            <w:pPr>
              <w:cnfStyle w:val="000000100000" w:firstRow="0" w:lastRow="0" w:firstColumn="0" w:lastColumn="0" w:oddVBand="0" w:evenVBand="0" w:oddHBand="1" w:evenHBand="0" w:firstRowFirstColumn="0" w:firstRowLastColumn="0" w:lastRowFirstColumn="0" w:lastRowLastColumn="0"/>
            </w:pPr>
            <w:r>
              <w:t>$365.40B</w:t>
            </w:r>
          </w:p>
        </w:tc>
        <w:tc>
          <w:tcPr>
            <w:cnfStyle w:val="000010000000" w:firstRow="0" w:lastRow="0" w:firstColumn="0" w:lastColumn="0" w:oddVBand="1" w:evenVBand="0" w:oddHBand="0" w:evenHBand="0" w:firstRowFirstColumn="0" w:firstRowLastColumn="0" w:lastRowFirstColumn="0" w:lastRowLastColumn="0"/>
            <w:tcW w:w="2340" w:type="dxa"/>
          </w:tcPr>
          <w:p w14:paraId="4D84ED03" w14:textId="2D77305B" w:rsidR="5EFA27C7" w:rsidRDefault="5EFA27C7">
            <w:r>
              <w:t>Global, diversified; large U.S. retail footprint and deposit-product innovation</w:t>
            </w:r>
          </w:p>
        </w:tc>
        <w:tc>
          <w:tcPr>
            <w:tcW w:w="2340" w:type="dxa"/>
          </w:tcPr>
          <w:p w14:paraId="107943A9" w14:textId="2655171F" w:rsidR="5EFA27C7" w:rsidRDefault="5EFA27C7">
            <w:pPr>
              <w:cnfStyle w:val="000000100000" w:firstRow="0" w:lastRow="0" w:firstColumn="0" w:lastColumn="0" w:oddVBand="0" w:evenVBand="0" w:oddHBand="1" w:evenHBand="0" w:firstRowFirstColumn="0" w:firstRowLastColumn="0" w:lastRowFirstColumn="0" w:lastRowLastColumn="0"/>
            </w:pPr>
            <w:r>
              <w:t>Pressure on consumer deposit and rewards innovation</w:t>
            </w:r>
          </w:p>
        </w:tc>
      </w:tr>
      <w:tr w:rsidR="5EFA27C7" w14:paraId="2DB082C9"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446BC143" w14:textId="3D6A7794" w:rsidR="5EFA27C7" w:rsidRDefault="5EFA27C7">
            <w:r>
              <w:t>Wells Fargo (WFC)</w:t>
            </w:r>
          </w:p>
        </w:tc>
        <w:tc>
          <w:tcPr>
            <w:tcW w:w="2340" w:type="dxa"/>
          </w:tcPr>
          <w:p w14:paraId="11EEF2BE" w14:textId="36485E58" w:rsidR="5EFA27C7" w:rsidRDefault="5EFA27C7">
            <w:pPr>
              <w:cnfStyle w:val="000000000000" w:firstRow="0" w:lastRow="0" w:firstColumn="0" w:lastColumn="0" w:oddVBand="0" w:evenVBand="0" w:oddHBand="0" w:evenHBand="0" w:firstRowFirstColumn="0" w:firstRowLastColumn="0" w:lastRowFirstColumn="0" w:lastRowLastColumn="0"/>
            </w:pPr>
            <w:r>
              <w:t>$232.33B</w:t>
            </w:r>
          </w:p>
        </w:tc>
        <w:tc>
          <w:tcPr>
            <w:cnfStyle w:val="000010000000" w:firstRow="0" w:lastRow="0" w:firstColumn="0" w:lastColumn="0" w:oddVBand="1" w:evenVBand="0" w:oddHBand="0" w:evenHBand="0" w:firstRowFirstColumn="0" w:firstRowLastColumn="0" w:lastRowFirstColumn="0" w:lastRowLastColumn="0"/>
            <w:tcW w:w="2340" w:type="dxa"/>
          </w:tcPr>
          <w:p w14:paraId="1AE91E16" w14:textId="2F26451C" w:rsidR="5EFA27C7" w:rsidRDefault="5EFA27C7">
            <w:r>
              <w:t xml:space="preserve">Domestic focus at larger scale; </w:t>
            </w:r>
            <w:proofErr w:type="gramStart"/>
            <w:r>
              <w:t>top-three</w:t>
            </w:r>
            <w:proofErr w:type="gramEnd"/>
            <w:r>
              <w:t xml:space="preserve"> positions in many lines</w:t>
            </w:r>
          </w:p>
        </w:tc>
        <w:tc>
          <w:tcPr>
            <w:tcW w:w="2340" w:type="dxa"/>
          </w:tcPr>
          <w:p w14:paraId="153F5C96" w14:textId="28042BE0" w:rsidR="5EFA27C7" w:rsidRDefault="5EFA27C7">
            <w:pPr>
              <w:cnfStyle w:val="000000000000" w:firstRow="0" w:lastRow="0" w:firstColumn="0" w:lastColumn="0" w:oddVBand="0" w:evenVBand="0" w:oddHBand="0" w:evenHBand="0" w:firstRowFirstColumn="0" w:firstRowLastColumn="0" w:lastRowFirstColumn="0" w:lastRowLastColumn="0"/>
            </w:pPr>
            <w:r>
              <w:t>Direct competitor for consumer and small-business share</w:t>
            </w:r>
          </w:p>
        </w:tc>
      </w:tr>
      <w:tr w:rsidR="5EFA27C7" w14:paraId="5391A0E0"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285843C3" w14:textId="3F198C55" w:rsidR="5EFA27C7" w:rsidRDefault="5EFA27C7">
            <w:r>
              <w:t>PNC Financial (PNC)</w:t>
            </w:r>
          </w:p>
        </w:tc>
        <w:tc>
          <w:tcPr>
            <w:tcW w:w="2340" w:type="dxa"/>
          </w:tcPr>
          <w:p w14:paraId="68D152E2" w14:textId="37F77319" w:rsidR="5EFA27C7" w:rsidRDefault="5EFA27C7">
            <w:pPr>
              <w:cnfStyle w:val="000000100000" w:firstRow="0" w:lastRow="0" w:firstColumn="0" w:lastColumn="0" w:oddVBand="0" w:evenVBand="0" w:oddHBand="1" w:evenHBand="0" w:firstRowFirstColumn="0" w:firstRowLastColumn="0" w:lastRowFirstColumn="0" w:lastRowLastColumn="0"/>
            </w:pPr>
            <w:r>
              <w:t>$87.69B</w:t>
            </w:r>
          </w:p>
        </w:tc>
        <w:tc>
          <w:tcPr>
            <w:cnfStyle w:val="000010000000" w:firstRow="0" w:lastRow="0" w:firstColumn="0" w:lastColumn="0" w:oddVBand="1" w:evenVBand="0" w:oddHBand="0" w:evenHBand="0" w:firstRowFirstColumn="0" w:firstRowLastColumn="0" w:lastRowFirstColumn="0" w:lastRowLastColumn="0"/>
            <w:tcW w:w="2340" w:type="dxa"/>
          </w:tcPr>
          <w:p w14:paraId="78A384B0" w14:textId="30D559DD" w:rsidR="5EFA27C7" w:rsidRDefault="5EFA27C7">
            <w:r>
              <w:t>Coast-to-coast retail expansion; relationship-based corporate banking</w:t>
            </w:r>
          </w:p>
        </w:tc>
        <w:tc>
          <w:tcPr>
            <w:tcW w:w="2340" w:type="dxa"/>
          </w:tcPr>
          <w:p w14:paraId="1360105D" w14:textId="29B340A1" w:rsidR="5EFA27C7" w:rsidRDefault="5EFA27C7">
            <w:pPr>
              <w:cnfStyle w:val="000000100000" w:firstRow="0" w:lastRow="0" w:firstColumn="0" w:lastColumn="0" w:oddVBand="0" w:evenVBand="0" w:oddHBand="1" w:evenHBand="0" w:firstRowFirstColumn="0" w:firstRowLastColumn="0" w:lastRowFirstColumn="0" w:lastRowLastColumn="0"/>
            </w:pPr>
            <w:r>
              <w:t>Closest peer on breadth; USB stronger in payments and corporate trust</w:t>
            </w:r>
          </w:p>
        </w:tc>
      </w:tr>
      <w:tr w:rsidR="5EFA27C7" w14:paraId="6F2CE927"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309964ED" w14:textId="40C8A116" w:rsidR="5EFA27C7" w:rsidRDefault="5EFA27C7">
            <w:proofErr w:type="gramStart"/>
            <w:r>
              <w:lastRenderedPageBreak/>
              <w:t>Truist Financial</w:t>
            </w:r>
            <w:proofErr w:type="gramEnd"/>
            <w:r>
              <w:t xml:space="preserve"> (TFC)</w:t>
            </w:r>
          </w:p>
        </w:tc>
        <w:tc>
          <w:tcPr>
            <w:tcW w:w="2340" w:type="dxa"/>
          </w:tcPr>
          <w:p w14:paraId="232E908A" w14:textId="39A687DA" w:rsidR="5EFA27C7" w:rsidRDefault="5EFA27C7">
            <w:pPr>
              <w:cnfStyle w:val="000000000000" w:firstRow="0" w:lastRow="0" w:firstColumn="0" w:lastColumn="0" w:oddVBand="0" w:evenVBand="0" w:oddHBand="0" w:evenHBand="0" w:firstRowFirstColumn="0" w:firstRowLastColumn="0" w:lastRowFirstColumn="0" w:lastRowLastColumn="0"/>
            </w:pPr>
            <w:r>
              <w:t>$59.67B</w:t>
            </w:r>
          </w:p>
        </w:tc>
        <w:tc>
          <w:tcPr>
            <w:cnfStyle w:val="000010000000" w:firstRow="0" w:lastRow="0" w:firstColumn="0" w:lastColumn="0" w:oddVBand="1" w:evenVBand="0" w:oddHBand="0" w:evenHBand="0" w:firstRowFirstColumn="0" w:firstRowLastColumn="0" w:lastRowFirstColumn="0" w:lastRowLastColumn="0"/>
            <w:tcW w:w="2340" w:type="dxa"/>
          </w:tcPr>
          <w:p w14:paraId="1D5F6974" w14:textId="32846E9E" w:rsidR="5EFA27C7" w:rsidRDefault="5EFA27C7">
            <w:r>
              <w:t>Middle-market and industry banking; new CEO Mike Lyons from 1 Sep 2026; $5B buyback, dividend frozen since 2022</w:t>
            </w:r>
          </w:p>
        </w:tc>
        <w:tc>
          <w:tcPr>
            <w:tcW w:w="2340" w:type="dxa"/>
          </w:tcPr>
          <w:p w14:paraId="51A4F157" w14:textId="2B625562" w:rsidR="5EFA27C7" w:rsidRDefault="5EFA27C7">
            <w:pPr>
              <w:cnfStyle w:val="000000000000" w:firstRow="0" w:lastRow="0" w:firstColumn="0" w:lastColumn="0" w:oddVBand="0" w:evenVBand="0" w:oddHBand="0" w:evenHBand="0" w:firstRowFirstColumn="0" w:firstRowLastColumn="0" w:lastRowFirstColumn="0" w:lastRowLastColumn="0"/>
            </w:pPr>
            <w:r>
              <w:t>USB guides to a further ~4% dividend increase in Q3 2026, signalling confidence (24/7 Wall St., 2 Sep 2026)</w:t>
            </w:r>
          </w:p>
        </w:tc>
      </w:tr>
      <w:tr w:rsidR="5EFA27C7" w14:paraId="412CD968"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7BDC1B9D" w14:textId="4277B5D7" w:rsidR="5EFA27C7" w:rsidRDefault="5EFA27C7">
            <w:r>
              <w:t>M&amp;T Bank (MTB)</w:t>
            </w:r>
          </w:p>
        </w:tc>
        <w:tc>
          <w:tcPr>
            <w:tcW w:w="2340" w:type="dxa"/>
          </w:tcPr>
          <w:p w14:paraId="34A2AF0F" w14:textId="3B559C9B" w:rsidR="5EFA27C7" w:rsidRDefault="5EFA27C7">
            <w:pPr>
              <w:cnfStyle w:val="000000100000" w:firstRow="0" w:lastRow="0" w:firstColumn="0" w:lastColumn="0" w:oddVBand="0" w:evenVBand="0" w:oddHBand="1" w:evenHBand="0" w:firstRowFirstColumn="0" w:firstRowLastColumn="0" w:lastRowFirstColumn="0" w:lastRowLastColumn="0"/>
            </w:pPr>
            <w:r>
              <w:t>$31.09B</w:t>
            </w:r>
          </w:p>
        </w:tc>
        <w:tc>
          <w:tcPr>
            <w:cnfStyle w:val="000010000000" w:firstRow="0" w:lastRow="0" w:firstColumn="0" w:lastColumn="0" w:oddVBand="1" w:evenVBand="0" w:oddHBand="0" w:evenHBand="0" w:firstRowFirstColumn="0" w:firstRowLastColumn="0" w:lastRowFirstColumn="0" w:lastRowLastColumn="0"/>
            <w:tcW w:w="2340" w:type="dxa"/>
          </w:tcPr>
          <w:p w14:paraId="235811D9" w14:textId="3433835F" w:rsidR="5EFA27C7" w:rsidRDefault="5EFA27C7">
            <w:r>
              <w:t>Concentrated in the Northeast and Mid-Atlantic</w:t>
            </w:r>
          </w:p>
        </w:tc>
        <w:tc>
          <w:tcPr>
            <w:tcW w:w="2340" w:type="dxa"/>
          </w:tcPr>
          <w:p w14:paraId="136207FD" w14:textId="2D116A23" w:rsidR="5EFA27C7" w:rsidRDefault="5EFA27C7">
            <w:pPr>
              <w:cnfStyle w:val="000000100000" w:firstRow="0" w:lastRow="0" w:firstColumn="0" w:lastColumn="0" w:oddVBand="0" w:evenVBand="0" w:oddHBand="1" w:evenHBand="0" w:firstRowFirstColumn="0" w:firstRowLastColumn="0" w:lastRowFirstColumn="0" w:lastRowLastColumn="0"/>
            </w:pPr>
            <w:r>
              <w:t>Regional rival with narrower fee businesses</w:t>
            </w:r>
          </w:p>
        </w:tc>
      </w:tr>
      <w:tr w:rsidR="5EFA27C7" w14:paraId="416346ED"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3A5B05C6" w14:textId="4426CA98" w:rsidR="5EFA27C7" w:rsidRDefault="5EFA27C7">
            <w:r>
              <w:t>Citizens Financial (CFG)</w:t>
            </w:r>
          </w:p>
        </w:tc>
        <w:tc>
          <w:tcPr>
            <w:tcW w:w="2340" w:type="dxa"/>
          </w:tcPr>
          <w:p w14:paraId="145164EA" w14:textId="3D04B15C" w:rsidR="5EFA27C7" w:rsidRDefault="5EFA27C7">
            <w:pPr>
              <w:cnfStyle w:val="000000000000" w:firstRow="0" w:lastRow="0" w:firstColumn="0" w:lastColumn="0" w:oddVBand="0" w:evenVBand="0" w:oddHBand="0" w:evenHBand="0" w:firstRowFirstColumn="0" w:firstRowLastColumn="0" w:lastRowFirstColumn="0" w:lastRowLastColumn="0"/>
            </w:pPr>
            <w:r>
              <w:t>$26.55B</w:t>
            </w:r>
          </w:p>
        </w:tc>
        <w:tc>
          <w:tcPr>
            <w:cnfStyle w:val="000010000000" w:firstRow="0" w:lastRow="0" w:firstColumn="0" w:lastColumn="0" w:oddVBand="1" w:evenVBand="0" w:oddHBand="0" w:evenHBand="0" w:firstRowFirstColumn="0" w:firstRowLastColumn="0" w:lastRowFirstColumn="0" w:lastRowLastColumn="0"/>
            <w:tcW w:w="2340" w:type="dxa"/>
          </w:tcPr>
          <w:p w14:paraId="1DC6BECE" w14:textId="35E29820" w:rsidR="5EFA27C7" w:rsidRDefault="5EFA27C7">
            <w:r>
              <w:t>Consumer, Commercial and Private Bank strategy</w:t>
            </w:r>
          </w:p>
        </w:tc>
        <w:tc>
          <w:tcPr>
            <w:tcW w:w="2340" w:type="dxa"/>
          </w:tcPr>
          <w:p w14:paraId="38902098" w14:textId="2EC07EE4" w:rsidR="5EFA27C7" w:rsidRDefault="5EFA27C7">
            <w:pPr>
              <w:cnfStyle w:val="000000000000" w:firstRow="0" w:lastRow="0" w:firstColumn="0" w:lastColumn="0" w:oddVBand="0" w:evenVBand="0" w:oddHBand="0" w:evenHBand="0" w:firstRowFirstColumn="0" w:firstRowLastColumn="0" w:lastRowFirstColumn="0" w:lastRowLastColumn="0"/>
            </w:pPr>
            <w:r>
              <w:t>Competes for affluent and private-banking clients</w:t>
            </w:r>
          </w:p>
        </w:tc>
      </w:tr>
      <w:tr w:rsidR="5EFA27C7" w14:paraId="3E12629F"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5EAA9354" w14:textId="45D5DF59" w:rsidR="5EFA27C7" w:rsidRDefault="5EFA27C7">
            <w:r>
              <w:t>KeyCorp (KEY)</w:t>
            </w:r>
          </w:p>
        </w:tc>
        <w:tc>
          <w:tcPr>
            <w:tcW w:w="2340" w:type="dxa"/>
          </w:tcPr>
          <w:p w14:paraId="15239919" w14:textId="3EB3C61D" w:rsidR="5EFA27C7" w:rsidRDefault="5EFA27C7">
            <w:pPr>
              <w:cnfStyle w:val="000000100000" w:firstRow="0" w:lastRow="0" w:firstColumn="0" w:lastColumn="0" w:oddVBand="0" w:evenVBand="0" w:oddHBand="1" w:evenHBand="0" w:firstRowFirstColumn="0" w:firstRowLastColumn="0" w:lastRowFirstColumn="0" w:lastRowLastColumn="0"/>
            </w:pPr>
            <w:r>
              <w:t>$23.30B</w:t>
            </w:r>
          </w:p>
        </w:tc>
        <w:tc>
          <w:tcPr>
            <w:cnfStyle w:val="000010000000" w:firstRow="0" w:lastRow="0" w:firstColumn="0" w:lastColumn="0" w:oddVBand="1" w:evenVBand="0" w:oddHBand="0" w:evenHBand="0" w:firstRowFirstColumn="0" w:firstRowLastColumn="0" w:lastRowFirstColumn="0" w:lastRowLastColumn="0"/>
            <w:tcW w:w="2340" w:type="dxa"/>
          </w:tcPr>
          <w:p w14:paraId="55F108E0" w14:textId="3791ACE1" w:rsidR="5EFA27C7" w:rsidRDefault="5EFA27C7">
            <w:r>
              <w:t>Verticalized middle-market and integrated payments and investment banking</w:t>
            </w:r>
          </w:p>
        </w:tc>
        <w:tc>
          <w:tcPr>
            <w:tcW w:w="2340" w:type="dxa"/>
          </w:tcPr>
          <w:p w14:paraId="1C95B9B8" w14:textId="306F93A5" w:rsidR="5EFA27C7" w:rsidRDefault="5EFA27C7">
            <w:pPr>
              <w:cnfStyle w:val="000000100000" w:firstRow="0" w:lastRow="0" w:firstColumn="0" w:lastColumn="0" w:oddVBand="0" w:evenVBand="0" w:oddHBand="1" w:evenHBand="0" w:firstRowFirstColumn="0" w:firstRowLastColumn="0" w:lastRowFirstColumn="0" w:lastRowLastColumn="0"/>
            </w:pPr>
            <w:r>
              <w:t>Competes in commercial payments</w:t>
            </w:r>
          </w:p>
        </w:tc>
      </w:tr>
    </w:tbl>
    <w:p w14:paraId="70303CD1" w14:textId="6A0DFCC4" w:rsidR="5EFA27C7" w:rsidRDefault="5EFA27C7">
      <w:r>
        <w:t xml:space="preserve"> </w:t>
      </w:r>
    </w:p>
    <w:p w14:paraId="6C203732" w14:textId="513DDFA0" w:rsidR="5EFA27C7" w:rsidRDefault="5EFA27C7">
      <w:r>
        <w:t>On the technology side, U.S. Bank chose Microsoft Azure as its primary cloud in February 2022 while stating it would continue to use multiple public cloud providers for redundancy, so hyperscaler competition remains live. The bank also partners directly with fintechs (for example Built for construction lending, announced 31 March 2026) and with Amazon on small-business cards, which shows a willingness to buy specialist capability from outside rather than build everything in-house (FinAi News, 16 April 2026).</w:t>
      </w:r>
    </w:p>
    <w:p w14:paraId="1860A0AA" w14:textId="7FF13164" w:rsidR="5EFA27C7" w:rsidRDefault="5EFA27C7" w:rsidP="5EFA27C7">
      <w:pPr>
        <w:pStyle w:val="Heading1"/>
      </w:pPr>
      <w:r w:rsidRPr="5EFA27C7">
        <w:rPr>
          <w:color w:val="64381F"/>
        </w:rPr>
        <w:t>90-Day Action Plan</w:t>
      </w:r>
    </w:p>
    <w:p w14:paraId="3B80A9D2" w14:textId="4FB0FF48" w:rsidR="5EFA27C7" w:rsidRDefault="5EFA27C7">
      <w:r>
        <w:t>The plan runs from 8 September to 5 December 2026 and is sequenced to rebuild contact first, qualify second, and propose third. Owners are How2Demos staff; customer-side owners are added once the buying center is mapped.</w:t>
      </w:r>
    </w:p>
    <w:tbl>
      <w:tblPr>
        <w:tblStyle w:val="LightList-Accent1"/>
        <w:tblW w:w="0" w:type="auto"/>
        <w:tblLook w:val="0000" w:firstRow="0" w:lastRow="0" w:firstColumn="0" w:lastColumn="0" w:noHBand="0" w:noVBand="0"/>
      </w:tblPr>
      <w:tblGrid>
        <w:gridCol w:w="2340"/>
        <w:gridCol w:w="2340"/>
        <w:gridCol w:w="2340"/>
        <w:gridCol w:w="2340"/>
      </w:tblGrid>
      <w:tr w:rsidR="5EFA27C7" w14:paraId="70ECFE1B"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1493EBD1" w14:textId="0CC51579" w:rsidR="5EFA27C7" w:rsidRDefault="5EFA27C7">
            <w:r>
              <w:t>Window</w:t>
            </w:r>
          </w:p>
        </w:tc>
        <w:tc>
          <w:tcPr>
            <w:tcW w:w="2340" w:type="dxa"/>
          </w:tcPr>
          <w:p w14:paraId="39DDB424" w14:textId="05A2FC3D" w:rsidR="5EFA27C7" w:rsidRDefault="5EFA27C7">
            <w:pPr>
              <w:cnfStyle w:val="000000100000" w:firstRow="0" w:lastRow="0" w:firstColumn="0" w:lastColumn="0" w:oddVBand="0" w:evenVBand="0" w:oddHBand="1" w:evenHBand="0" w:firstRowFirstColumn="0" w:firstRowLastColumn="0" w:lastRowFirstColumn="0" w:lastRowLastColumn="0"/>
            </w:pPr>
            <w:r>
              <w:t>Action</w:t>
            </w:r>
          </w:p>
        </w:tc>
        <w:tc>
          <w:tcPr>
            <w:cnfStyle w:val="000010000000" w:firstRow="0" w:lastRow="0" w:firstColumn="0" w:lastColumn="0" w:oddVBand="1" w:evenVBand="0" w:oddHBand="0" w:evenHBand="0" w:firstRowFirstColumn="0" w:firstRowLastColumn="0" w:lastRowFirstColumn="0" w:lastRowLastColumn="0"/>
            <w:tcW w:w="2340" w:type="dxa"/>
          </w:tcPr>
          <w:p w14:paraId="27C2F078" w14:textId="7E80E301" w:rsidR="5EFA27C7" w:rsidRDefault="5EFA27C7">
            <w:r>
              <w:t>Owner</w:t>
            </w:r>
          </w:p>
        </w:tc>
        <w:tc>
          <w:tcPr>
            <w:tcW w:w="2340" w:type="dxa"/>
          </w:tcPr>
          <w:p w14:paraId="7E2E6C5F" w14:textId="775EC9C5" w:rsidR="5EFA27C7" w:rsidRDefault="5EFA27C7">
            <w:pPr>
              <w:cnfStyle w:val="000000100000" w:firstRow="0" w:lastRow="0" w:firstColumn="0" w:lastColumn="0" w:oddVBand="0" w:evenVBand="0" w:oddHBand="1" w:evenHBand="0" w:firstRowFirstColumn="0" w:firstRowLastColumn="0" w:lastRowFirstColumn="0" w:lastRowLastColumn="0"/>
            </w:pPr>
            <w:r>
              <w:t>Outcome</w:t>
            </w:r>
          </w:p>
        </w:tc>
      </w:tr>
      <w:tr w:rsidR="5EFA27C7" w14:paraId="2BDCE246"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7933151E" w14:textId="0E742A3A" w:rsidR="5EFA27C7" w:rsidRDefault="5EFA27C7">
            <w:r>
              <w:t>Days 1 to 7 (8 to 14 Sep)</w:t>
            </w:r>
          </w:p>
        </w:tc>
        <w:tc>
          <w:tcPr>
            <w:tcW w:w="2340" w:type="dxa"/>
          </w:tcPr>
          <w:p w14:paraId="62A52380" w14:textId="075210FE" w:rsidR="5EFA27C7" w:rsidRDefault="5EFA27C7">
            <w:pPr>
              <w:cnfStyle w:val="000000000000" w:firstRow="0" w:lastRow="0" w:firstColumn="0" w:lastColumn="0" w:oddVBand="0" w:evenVBand="0" w:oddHBand="0" w:evenHBand="0" w:firstRowFirstColumn="0" w:firstRowLastColumn="0" w:lastRowFirstColumn="0" w:lastRowLastColumn="0"/>
            </w:pPr>
            <w:r>
              <w:t>Confirm with Valene Samuels what was demonstrated on or after 2 June, who attended from U.S. Bank, and what follow-up was promised</w:t>
            </w:r>
          </w:p>
        </w:tc>
        <w:tc>
          <w:tcPr>
            <w:cnfStyle w:val="000010000000" w:firstRow="0" w:lastRow="0" w:firstColumn="0" w:lastColumn="0" w:oddVBand="1" w:evenVBand="0" w:oddHBand="0" w:evenHBand="0" w:firstRowFirstColumn="0" w:firstRowLastColumn="0" w:lastRowFirstColumn="0" w:lastRowLastColumn="0"/>
            <w:tcW w:w="2340" w:type="dxa"/>
          </w:tcPr>
          <w:p w14:paraId="60040E9E" w14:textId="002FF7C2" w:rsidR="5EFA27C7" w:rsidRDefault="5EFA27C7">
            <w:r>
              <w:t>Bojan Buhac</w:t>
            </w:r>
          </w:p>
        </w:tc>
        <w:tc>
          <w:tcPr>
            <w:tcW w:w="2340" w:type="dxa"/>
          </w:tcPr>
          <w:p w14:paraId="5428798A" w14:textId="790DDE86" w:rsidR="5EFA27C7" w:rsidRDefault="5EFA27C7">
            <w:pPr>
              <w:cnfStyle w:val="000000000000" w:firstRow="0" w:lastRow="0" w:firstColumn="0" w:lastColumn="0" w:oddVBand="0" w:evenVBand="0" w:oddHBand="0" w:evenHBand="0" w:firstRowFirstColumn="0" w:firstRowLastColumn="0" w:lastRowFirstColumn="0" w:lastRowLastColumn="0"/>
            </w:pPr>
            <w:r>
              <w:t>Attendee list and demo recap captured in a shared SharePoint folder</w:t>
            </w:r>
          </w:p>
        </w:tc>
      </w:tr>
      <w:tr w:rsidR="5EFA27C7" w14:paraId="65A9E922"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76A7D238" w14:textId="10233EFB" w:rsidR="5EFA27C7" w:rsidRDefault="5EFA27C7">
            <w:r>
              <w:t>Days 1 to 14</w:t>
            </w:r>
          </w:p>
        </w:tc>
        <w:tc>
          <w:tcPr>
            <w:tcW w:w="2340" w:type="dxa"/>
          </w:tcPr>
          <w:p w14:paraId="60752F8A" w14:textId="090125BF" w:rsidR="5EFA27C7" w:rsidRDefault="5EFA27C7">
            <w:pPr>
              <w:cnfStyle w:val="000000100000" w:firstRow="0" w:lastRow="0" w:firstColumn="0" w:lastColumn="0" w:oddVBand="0" w:evenVBand="0" w:oddHBand="1" w:evenHBand="0" w:firstRowFirstColumn="0" w:firstRowLastColumn="0" w:lastRowFirstColumn="0" w:lastRowLastColumn="0"/>
            </w:pPr>
            <w:r>
              <w:t xml:space="preserve">Send a re-engagement note to demo attendees referencing Q2 results (record revenue, BTIG close) and offering a 45-minute working session on AI-agent </w:t>
            </w:r>
            <w:r>
              <w:lastRenderedPageBreak/>
              <w:t>governance</w:t>
            </w:r>
          </w:p>
        </w:tc>
        <w:tc>
          <w:tcPr>
            <w:cnfStyle w:val="000010000000" w:firstRow="0" w:lastRow="0" w:firstColumn="0" w:lastColumn="0" w:oddVBand="1" w:evenVBand="0" w:oddHBand="0" w:evenHBand="0" w:firstRowFirstColumn="0" w:firstRowLastColumn="0" w:lastRowFirstColumn="0" w:lastRowLastColumn="0"/>
            <w:tcW w:w="2340" w:type="dxa"/>
          </w:tcPr>
          <w:p w14:paraId="37FED415" w14:textId="01DF0C83" w:rsidR="5EFA27C7" w:rsidRDefault="5EFA27C7">
            <w:r>
              <w:lastRenderedPageBreak/>
              <w:t>Bojan Buhac</w:t>
            </w:r>
          </w:p>
        </w:tc>
        <w:tc>
          <w:tcPr>
            <w:tcW w:w="2340" w:type="dxa"/>
          </w:tcPr>
          <w:p w14:paraId="6635FC06" w14:textId="7ABCF347" w:rsidR="5EFA27C7" w:rsidRDefault="5EFA27C7">
            <w:pPr>
              <w:cnfStyle w:val="000000100000" w:firstRow="0" w:lastRow="0" w:firstColumn="0" w:lastColumn="0" w:oddVBand="0" w:evenVBand="0" w:oddHBand="1" w:evenHBand="0" w:firstRowFirstColumn="0" w:firstRowLastColumn="0" w:lastRowFirstColumn="0" w:lastRowLastColumn="0"/>
            </w:pPr>
            <w:r>
              <w:t>At least one discovery meeting booked</w:t>
            </w:r>
          </w:p>
        </w:tc>
      </w:tr>
      <w:tr w:rsidR="5EFA27C7" w14:paraId="7D77B99F"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61ED5306" w14:textId="11D253BC" w:rsidR="5EFA27C7" w:rsidRDefault="5EFA27C7">
            <w:r>
              <w:t>Days 8 to 30</w:t>
            </w:r>
          </w:p>
        </w:tc>
        <w:tc>
          <w:tcPr>
            <w:tcW w:w="2340" w:type="dxa"/>
          </w:tcPr>
          <w:p w14:paraId="3A4585A8" w14:textId="0AB03A80" w:rsidR="5EFA27C7" w:rsidRDefault="5EFA27C7">
            <w:pPr>
              <w:cnfStyle w:val="000000000000" w:firstRow="0" w:lastRow="0" w:firstColumn="0" w:lastColumn="0" w:oddVBand="0" w:evenVBand="0" w:oddHBand="0" w:evenHBand="0" w:firstRowFirstColumn="0" w:firstRowLastColumn="0" w:lastRowFirstColumn="0" w:lastRowLastColumn="0"/>
            </w:pPr>
            <w:r>
              <w:t>Map the buying center: executive sponsor, technical champion, risk and compliance stakeholder, procurement</w:t>
            </w:r>
          </w:p>
        </w:tc>
        <w:tc>
          <w:tcPr>
            <w:cnfStyle w:val="000010000000" w:firstRow="0" w:lastRow="0" w:firstColumn="0" w:lastColumn="0" w:oddVBand="1" w:evenVBand="0" w:oddHBand="0" w:evenHBand="0" w:firstRowFirstColumn="0" w:firstRowLastColumn="0" w:lastRowFirstColumn="0" w:lastRowLastColumn="0"/>
            <w:tcW w:w="2340" w:type="dxa"/>
          </w:tcPr>
          <w:p w14:paraId="64A953DD" w14:textId="038E2144" w:rsidR="5EFA27C7" w:rsidRDefault="5EFA27C7">
            <w:r>
              <w:t>Bojan Buhac</w:t>
            </w:r>
          </w:p>
        </w:tc>
        <w:tc>
          <w:tcPr>
            <w:tcW w:w="2340" w:type="dxa"/>
          </w:tcPr>
          <w:p w14:paraId="1A55904B" w14:textId="7C6C0808" w:rsidR="5EFA27C7" w:rsidRDefault="5EFA27C7">
            <w:pPr>
              <w:cnfStyle w:val="000000000000" w:firstRow="0" w:lastRow="0" w:firstColumn="0" w:lastColumn="0" w:oddVBand="0" w:evenVBand="0" w:oddHBand="0" w:evenHBand="0" w:firstRowFirstColumn="0" w:firstRowLastColumn="0" w:lastRowFirstColumn="0" w:lastRowLastColumn="0"/>
            </w:pPr>
            <w:r>
              <w:t>Relationship map rows completed</w:t>
            </w:r>
          </w:p>
        </w:tc>
      </w:tr>
      <w:tr w:rsidR="5EFA27C7" w14:paraId="3FE54D9F"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282D7C7C" w14:textId="1381687D" w:rsidR="5EFA27C7" w:rsidRDefault="5EFA27C7">
            <w:r>
              <w:t>Days 15 to 30</w:t>
            </w:r>
          </w:p>
        </w:tc>
        <w:tc>
          <w:tcPr>
            <w:tcW w:w="2340" w:type="dxa"/>
          </w:tcPr>
          <w:p w14:paraId="25DE42AA" w14:textId="0C5F4F41" w:rsidR="5EFA27C7" w:rsidRDefault="5EFA27C7">
            <w:pPr>
              <w:cnfStyle w:val="000000100000" w:firstRow="0" w:lastRow="0" w:firstColumn="0" w:lastColumn="0" w:oddVBand="0" w:evenVBand="0" w:oddHBand="1" w:evenHBand="0" w:firstRowFirstColumn="0" w:firstRowLastColumn="0" w:lastRowFirstColumn="0" w:lastRowLastColumn="0"/>
            </w:pPr>
            <w:r>
              <w:t>Prepare a banking-tailored version of the T.I.G.RE.S strategy-intelligence agent demo (public market data plus sample internal documents)</w:t>
            </w:r>
          </w:p>
        </w:tc>
        <w:tc>
          <w:tcPr>
            <w:cnfStyle w:val="000010000000" w:firstRow="0" w:lastRow="0" w:firstColumn="0" w:lastColumn="0" w:oddVBand="1" w:evenVBand="0" w:oddHBand="0" w:evenHBand="0" w:firstRowFirstColumn="0" w:firstRowLastColumn="0" w:lastRowFirstColumn="0" w:lastRowLastColumn="0"/>
            <w:tcW w:w="2340" w:type="dxa"/>
          </w:tcPr>
          <w:p w14:paraId="4D34167B" w14:textId="053D3605" w:rsidR="5EFA27C7" w:rsidRDefault="5EFA27C7">
            <w:r>
              <w:t>Bojan Buhac with Valene Samuels</w:t>
            </w:r>
          </w:p>
        </w:tc>
        <w:tc>
          <w:tcPr>
            <w:tcW w:w="2340" w:type="dxa"/>
          </w:tcPr>
          <w:p w14:paraId="4BB7DC44" w14:textId="7E1B1CC9" w:rsidR="5EFA27C7" w:rsidRDefault="5EFA27C7">
            <w:pPr>
              <w:cnfStyle w:val="000000100000" w:firstRow="0" w:lastRow="0" w:firstColumn="0" w:lastColumn="0" w:oddVBand="0" w:evenVBand="0" w:oddHBand="1" w:evenHBand="0" w:firstRowFirstColumn="0" w:firstRowLastColumn="0" w:lastRowFirstColumn="0" w:lastRowLastColumn="0"/>
            </w:pPr>
            <w:r>
              <w:t>Demo ready and rehearsed</w:t>
            </w:r>
          </w:p>
        </w:tc>
      </w:tr>
      <w:tr w:rsidR="5EFA27C7" w14:paraId="199A3235"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73035C20" w14:textId="15307D3E" w:rsidR="5EFA27C7" w:rsidRDefault="5EFA27C7">
            <w:r>
              <w:t>Days 15 to 30</w:t>
            </w:r>
          </w:p>
        </w:tc>
        <w:tc>
          <w:tcPr>
            <w:tcW w:w="2340" w:type="dxa"/>
          </w:tcPr>
          <w:p w14:paraId="18111E75" w14:textId="0E0E6402" w:rsidR="5EFA27C7" w:rsidRDefault="5EFA27C7">
            <w:pPr>
              <w:cnfStyle w:val="000000000000" w:firstRow="0" w:lastRow="0" w:firstColumn="0" w:lastColumn="0" w:oddVBand="0" w:evenVBand="0" w:oddHBand="0" w:evenHBand="0" w:firstRowFirstColumn="0" w:firstRowLastColumn="0" w:lastRowFirstColumn="0" w:lastRowLastColumn="0"/>
            </w:pPr>
            <w:r>
              <w:t>Reserve a recurring weekly two-hour U.S. Bank pursuit block and brief Lisa Taylor on resourcing needs</w:t>
            </w:r>
          </w:p>
        </w:tc>
        <w:tc>
          <w:tcPr>
            <w:cnfStyle w:val="000010000000" w:firstRow="0" w:lastRow="0" w:firstColumn="0" w:lastColumn="0" w:oddVBand="1" w:evenVBand="0" w:oddHBand="0" w:evenHBand="0" w:firstRowFirstColumn="0" w:firstRowLastColumn="0" w:lastRowFirstColumn="0" w:lastRowLastColumn="0"/>
            <w:tcW w:w="2340" w:type="dxa"/>
          </w:tcPr>
          <w:p w14:paraId="5E605134" w14:textId="06EC4AC6" w:rsidR="5EFA27C7" w:rsidRDefault="5EFA27C7">
            <w:r>
              <w:t>Bojan Buhac</w:t>
            </w:r>
          </w:p>
        </w:tc>
        <w:tc>
          <w:tcPr>
            <w:tcW w:w="2340" w:type="dxa"/>
          </w:tcPr>
          <w:p w14:paraId="4B015FDD" w14:textId="7FCA318A" w:rsidR="5EFA27C7" w:rsidRDefault="5EFA27C7">
            <w:pPr>
              <w:cnfStyle w:val="000000000000" w:firstRow="0" w:lastRow="0" w:firstColumn="0" w:lastColumn="0" w:oddVBand="0" w:evenVBand="0" w:oddHBand="0" w:evenHBand="0" w:firstRowFirstColumn="0" w:firstRowLastColumn="0" w:lastRowFirstColumn="0" w:lastRowLastColumn="0"/>
            </w:pPr>
            <w:r>
              <w:t>Calendar block in place; resourcing agreed</w:t>
            </w:r>
          </w:p>
        </w:tc>
      </w:tr>
      <w:tr w:rsidR="5EFA27C7" w14:paraId="6D4D159F"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6E8462E3" w14:textId="16DF91FF" w:rsidR="5EFA27C7" w:rsidRDefault="5EFA27C7">
            <w:r>
              <w:t>Days 31 to 60 (8 Oct to 6 Nov)</w:t>
            </w:r>
          </w:p>
        </w:tc>
        <w:tc>
          <w:tcPr>
            <w:tcW w:w="2340" w:type="dxa"/>
          </w:tcPr>
          <w:p w14:paraId="4D7A4FB1" w14:textId="0FBD78C3" w:rsidR="5EFA27C7" w:rsidRDefault="5EFA27C7">
            <w:pPr>
              <w:cnfStyle w:val="000000100000" w:firstRow="0" w:lastRow="0" w:firstColumn="0" w:lastColumn="0" w:oddVBand="0" w:evenVBand="0" w:oddHBand="1" w:evenHBand="0" w:firstRowFirstColumn="0" w:firstRowLastColumn="0" w:lastRowFirstColumn="0" w:lastRowLastColumn="0"/>
            </w:pPr>
            <w:r>
              <w:t>Run discovery on two use cases: strategy and competitive intelligence for the BTIG integration or Corporate Strategy team, and agent governance for the AI Center of Excellence</w:t>
            </w:r>
          </w:p>
        </w:tc>
        <w:tc>
          <w:tcPr>
            <w:cnfStyle w:val="000010000000" w:firstRow="0" w:lastRow="0" w:firstColumn="0" w:lastColumn="0" w:oddVBand="1" w:evenVBand="0" w:oddHBand="0" w:evenHBand="0" w:firstRowFirstColumn="0" w:firstRowLastColumn="0" w:lastRowFirstColumn="0" w:lastRowLastColumn="0"/>
            <w:tcW w:w="2340" w:type="dxa"/>
          </w:tcPr>
          <w:p w14:paraId="4E4A8E50" w14:textId="089B5F87" w:rsidR="5EFA27C7" w:rsidRDefault="5EFA27C7">
            <w:r>
              <w:t>Bojan Buhac</w:t>
            </w:r>
          </w:p>
        </w:tc>
        <w:tc>
          <w:tcPr>
            <w:tcW w:w="2340" w:type="dxa"/>
          </w:tcPr>
          <w:p w14:paraId="2E006F97" w14:textId="0179464B" w:rsidR="5EFA27C7" w:rsidRDefault="5EFA27C7">
            <w:pPr>
              <w:cnfStyle w:val="000000100000" w:firstRow="0" w:lastRow="0" w:firstColumn="0" w:lastColumn="0" w:oddVBand="0" w:evenVBand="0" w:oddHBand="1" w:evenHBand="0" w:firstRowFirstColumn="0" w:firstRowLastColumn="0" w:lastRowFirstColumn="0" w:lastRowLastColumn="0"/>
            </w:pPr>
            <w:r>
              <w:t>Two documented use cases with owners, data sources and success metrics</w:t>
            </w:r>
          </w:p>
        </w:tc>
      </w:tr>
      <w:tr w:rsidR="5EFA27C7" w14:paraId="7EBDCB8D"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7E8638DE" w14:textId="188EA6C0" w:rsidR="5EFA27C7" w:rsidRDefault="5EFA27C7">
            <w:r>
              <w:t>Days 31 to 60</w:t>
            </w:r>
          </w:p>
        </w:tc>
        <w:tc>
          <w:tcPr>
            <w:tcW w:w="2340" w:type="dxa"/>
          </w:tcPr>
          <w:p w14:paraId="7F8537D1" w14:textId="116C8D84" w:rsidR="5EFA27C7" w:rsidRDefault="5EFA27C7">
            <w:pPr>
              <w:cnfStyle w:val="000000000000" w:firstRow="0" w:lastRow="0" w:firstColumn="0" w:lastColumn="0" w:oddVBand="0" w:evenVBand="0" w:oddHBand="0" w:evenHBand="0" w:firstRowFirstColumn="0" w:firstRowLastColumn="0" w:lastRowFirstColumn="0" w:lastRowLastColumn="0"/>
            </w:pPr>
            <w:r>
              <w:t xml:space="preserve">Deliver a governance readiness assessment proposal adapted from the five-pillar templates, sized as a fixed-fee </w:t>
            </w:r>
            <w:proofErr w:type="gramStart"/>
            <w:r>
              <w:t>four to six week</w:t>
            </w:r>
            <w:proofErr w:type="gramEnd"/>
            <w:r>
              <w:t xml:space="preserve"> engagement</w:t>
            </w:r>
          </w:p>
        </w:tc>
        <w:tc>
          <w:tcPr>
            <w:cnfStyle w:val="000010000000" w:firstRow="0" w:lastRow="0" w:firstColumn="0" w:lastColumn="0" w:oddVBand="1" w:evenVBand="0" w:oddHBand="0" w:evenHBand="0" w:firstRowFirstColumn="0" w:firstRowLastColumn="0" w:lastRowFirstColumn="0" w:lastRowLastColumn="0"/>
            <w:tcW w:w="2340" w:type="dxa"/>
          </w:tcPr>
          <w:p w14:paraId="47B00E89" w14:textId="0A4A7448" w:rsidR="5EFA27C7" w:rsidRDefault="5EFA27C7">
            <w:r>
              <w:t>Bojan Buhac</w:t>
            </w:r>
          </w:p>
        </w:tc>
        <w:tc>
          <w:tcPr>
            <w:tcW w:w="2340" w:type="dxa"/>
          </w:tcPr>
          <w:p w14:paraId="64709C7D" w14:textId="03285B0C" w:rsidR="5EFA27C7" w:rsidRDefault="5EFA27C7">
            <w:pPr>
              <w:cnfStyle w:val="000000000000" w:firstRow="0" w:lastRow="0" w:firstColumn="0" w:lastColumn="0" w:oddVBand="0" w:evenVBand="0" w:oddHBand="0" w:evenHBand="0" w:firstRowFirstColumn="0" w:firstRowLastColumn="0" w:lastRowFirstColumn="0" w:lastRowLastColumn="0"/>
            </w:pPr>
            <w:r>
              <w:t>Proposal submitted</w:t>
            </w:r>
          </w:p>
        </w:tc>
      </w:tr>
      <w:tr w:rsidR="5EFA27C7" w14:paraId="4F0E5D6C"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27CF02B9" w14:textId="1A3DBB81" w:rsidR="5EFA27C7" w:rsidRDefault="5EFA27C7">
            <w:r>
              <w:t>Days 45 to 60</w:t>
            </w:r>
          </w:p>
        </w:tc>
        <w:tc>
          <w:tcPr>
            <w:tcW w:w="2340" w:type="dxa"/>
          </w:tcPr>
          <w:p w14:paraId="39FEF330" w14:textId="131BA245" w:rsidR="5EFA27C7" w:rsidRDefault="5EFA27C7">
            <w:pPr>
              <w:cnfStyle w:val="000000100000" w:firstRow="0" w:lastRow="0" w:firstColumn="0" w:lastColumn="0" w:oddVBand="0" w:evenVBand="0" w:oddHBand="1" w:evenHBand="0" w:firstRowFirstColumn="0" w:firstRowLastColumn="0" w:lastRowFirstColumn="0" w:lastRowLastColumn="0"/>
            </w:pPr>
            <w:r>
              <w:t>Track U.S. Bancorp Q3 2026 results (expected mid-October) and the planned dividend action; refresh the executive summary</w:t>
            </w:r>
          </w:p>
        </w:tc>
        <w:tc>
          <w:tcPr>
            <w:cnfStyle w:val="000010000000" w:firstRow="0" w:lastRow="0" w:firstColumn="0" w:lastColumn="0" w:oddVBand="1" w:evenVBand="0" w:oddHBand="0" w:evenHBand="0" w:firstRowFirstColumn="0" w:firstRowLastColumn="0" w:lastRowFirstColumn="0" w:lastRowLastColumn="0"/>
            <w:tcW w:w="2340" w:type="dxa"/>
          </w:tcPr>
          <w:p w14:paraId="3F143A0D" w14:textId="0BF98909" w:rsidR="5EFA27C7" w:rsidRDefault="5EFA27C7">
            <w:r>
              <w:t>Bojan Buhac</w:t>
            </w:r>
          </w:p>
        </w:tc>
        <w:tc>
          <w:tcPr>
            <w:tcW w:w="2340" w:type="dxa"/>
          </w:tcPr>
          <w:p w14:paraId="3E193287" w14:textId="04D76FCD" w:rsidR="5EFA27C7" w:rsidRDefault="5EFA27C7">
            <w:pPr>
              <w:cnfStyle w:val="000000100000" w:firstRow="0" w:lastRow="0" w:firstColumn="0" w:lastColumn="0" w:oddVBand="0" w:evenVBand="0" w:oddHBand="1" w:evenHBand="0" w:firstRowFirstColumn="0" w:firstRowLastColumn="0" w:lastRowFirstColumn="0" w:lastRowLastColumn="0"/>
            </w:pPr>
            <w:r>
              <w:t>Plan updated with Q3 facts</w:t>
            </w:r>
          </w:p>
        </w:tc>
      </w:tr>
      <w:tr w:rsidR="5EFA27C7" w14:paraId="5E665932" w14:textId="77777777" w:rsidTr="5EFA27C7">
        <w:tc>
          <w:tcPr>
            <w:cnfStyle w:val="000010000000" w:firstRow="0" w:lastRow="0" w:firstColumn="0" w:lastColumn="0" w:oddVBand="1" w:evenVBand="0" w:oddHBand="0" w:evenHBand="0" w:firstRowFirstColumn="0" w:firstRowLastColumn="0" w:lastRowFirstColumn="0" w:lastRowLastColumn="0"/>
            <w:tcW w:w="2340" w:type="dxa"/>
          </w:tcPr>
          <w:p w14:paraId="4DB39203" w14:textId="1BECD042" w:rsidR="5EFA27C7" w:rsidRDefault="5EFA27C7">
            <w:r>
              <w:t>Days 61 to 90 (7 Nov to 5 Dec)</w:t>
            </w:r>
          </w:p>
        </w:tc>
        <w:tc>
          <w:tcPr>
            <w:tcW w:w="2340" w:type="dxa"/>
          </w:tcPr>
          <w:p w14:paraId="44A1F8B0" w14:textId="14CAB706" w:rsidR="5EFA27C7" w:rsidRDefault="5EFA27C7">
            <w:pPr>
              <w:cnfStyle w:val="000000000000" w:firstRow="0" w:lastRow="0" w:firstColumn="0" w:lastColumn="0" w:oddVBand="0" w:evenVBand="0" w:oddHBand="0" w:evenHBand="0" w:firstRowFirstColumn="0" w:firstRowLastColumn="0" w:lastRowFirstColumn="0" w:lastRowLastColumn="0"/>
            </w:pPr>
            <w:r>
              <w:t xml:space="preserve">Present a pilot statement of work for the highest-scoring use case, using the T.I.G.RE.S SOW structure </w:t>
            </w:r>
            <w:r>
              <w:lastRenderedPageBreak/>
              <w:t>(requirements, architecture, phases, approvals)</w:t>
            </w:r>
          </w:p>
        </w:tc>
        <w:tc>
          <w:tcPr>
            <w:cnfStyle w:val="000010000000" w:firstRow="0" w:lastRow="0" w:firstColumn="0" w:lastColumn="0" w:oddVBand="1" w:evenVBand="0" w:oddHBand="0" w:evenHBand="0" w:firstRowFirstColumn="0" w:firstRowLastColumn="0" w:lastRowFirstColumn="0" w:lastRowLastColumn="0"/>
            <w:tcW w:w="2340" w:type="dxa"/>
          </w:tcPr>
          <w:p w14:paraId="55A6AB8D" w14:textId="0DA89DCA" w:rsidR="5EFA27C7" w:rsidRDefault="5EFA27C7">
            <w:r>
              <w:lastRenderedPageBreak/>
              <w:t>Bojan Buhac</w:t>
            </w:r>
          </w:p>
        </w:tc>
        <w:tc>
          <w:tcPr>
            <w:tcW w:w="2340" w:type="dxa"/>
          </w:tcPr>
          <w:p w14:paraId="57287F0F" w14:textId="0686848E" w:rsidR="5EFA27C7" w:rsidRDefault="5EFA27C7">
            <w:pPr>
              <w:cnfStyle w:val="000000000000" w:firstRow="0" w:lastRow="0" w:firstColumn="0" w:lastColumn="0" w:oddVBand="0" w:evenVBand="0" w:oddHBand="0" w:evenHBand="0" w:firstRowFirstColumn="0" w:firstRowLastColumn="0" w:lastRowFirstColumn="0" w:lastRowLastColumn="0"/>
            </w:pPr>
            <w:r>
              <w:t>SOW in customer review</w:t>
            </w:r>
          </w:p>
        </w:tc>
      </w:tr>
      <w:tr w:rsidR="5EFA27C7" w14:paraId="125EE18D" w14:textId="77777777" w:rsidTr="5EFA27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5DC5989A" w14:textId="1D9BE503" w:rsidR="5EFA27C7" w:rsidRDefault="5EFA27C7">
            <w:r>
              <w:t>Days 61 to 90</w:t>
            </w:r>
          </w:p>
        </w:tc>
        <w:tc>
          <w:tcPr>
            <w:tcW w:w="2340" w:type="dxa"/>
          </w:tcPr>
          <w:p w14:paraId="644E5EAA" w14:textId="1679CBC7" w:rsidR="5EFA27C7" w:rsidRDefault="5EFA27C7">
            <w:pPr>
              <w:cnfStyle w:val="000000100000" w:firstRow="0" w:lastRow="0" w:firstColumn="0" w:lastColumn="0" w:oddVBand="0" w:evenVBand="0" w:oddHBand="1" w:evenHBand="0" w:firstRowFirstColumn="0" w:firstRowLastColumn="0" w:lastRowFirstColumn="0" w:lastRowLastColumn="0"/>
            </w:pPr>
            <w:r>
              <w:t>Hold a quarterly review with the executive sponsor; agree a 2027 roadmap and the next 90-day plan</w:t>
            </w:r>
          </w:p>
        </w:tc>
        <w:tc>
          <w:tcPr>
            <w:cnfStyle w:val="000010000000" w:firstRow="0" w:lastRow="0" w:firstColumn="0" w:lastColumn="0" w:oddVBand="1" w:evenVBand="0" w:oddHBand="0" w:evenHBand="0" w:firstRowFirstColumn="0" w:firstRowLastColumn="0" w:lastRowFirstColumn="0" w:lastRowLastColumn="0"/>
            <w:tcW w:w="2340" w:type="dxa"/>
          </w:tcPr>
          <w:p w14:paraId="410CB551" w14:textId="0F57B28B" w:rsidR="5EFA27C7" w:rsidRDefault="5EFA27C7">
            <w:r>
              <w:t>Bojan Buhac</w:t>
            </w:r>
          </w:p>
        </w:tc>
        <w:tc>
          <w:tcPr>
            <w:tcW w:w="2340" w:type="dxa"/>
          </w:tcPr>
          <w:p w14:paraId="77686D49" w14:textId="0835994F" w:rsidR="5EFA27C7" w:rsidRDefault="5EFA27C7">
            <w:pPr>
              <w:cnfStyle w:val="000000100000" w:firstRow="0" w:lastRow="0" w:firstColumn="0" w:lastColumn="0" w:oddVBand="0" w:evenVBand="0" w:oddHBand="1" w:evenHBand="0" w:firstRowFirstColumn="0" w:firstRowLastColumn="0" w:lastRowFirstColumn="0" w:lastRowLastColumn="0"/>
            </w:pPr>
            <w:r>
              <w:t>Sponsor commitment and next-quarter plan</w:t>
            </w:r>
          </w:p>
        </w:tc>
      </w:tr>
    </w:tbl>
    <w:p w14:paraId="21F29590" w14:textId="49FEA750" w:rsidR="5EFA27C7" w:rsidRDefault="5EFA27C7">
      <w:r>
        <w:t xml:space="preserve"> </w:t>
      </w:r>
    </w:p>
    <w:p w14:paraId="15CC3520" w14:textId="6CA4ECDC" w:rsidR="5EFA27C7" w:rsidRDefault="5EFA27C7" w:rsidP="5EFA27C7">
      <w:pPr>
        <w:pStyle w:val="Heading1"/>
      </w:pPr>
      <w:r w:rsidRPr="5EFA27C7">
        <w:rPr>
          <w:color w:val="64381F"/>
        </w:rPr>
        <w:t>Sources</w:t>
      </w:r>
    </w:p>
    <w:p w14:paraId="7969381B" w14:textId="205342AB" w:rsidR="5EFA27C7" w:rsidRDefault="5EFA27C7" w:rsidP="5EFA27C7">
      <w:pPr>
        <w:pStyle w:val="Heading2"/>
      </w:pPr>
      <w:r w:rsidRPr="5EFA27C7">
        <w:rPr>
          <w:color w:val="64381F"/>
        </w:rPr>
        <w:t>Internal (Microsoft 365)</w:t>
      </w:r>
    </w:p>
    <w:p w14:paraId="131BF800" w14:textId="30BF290F" w:rsidR="5EFA27C7" w:rsidRDefault="5EFA27C7" w:rsidP="5EFA27C7">
      <w:pPr>
        <w:pStyle w:val="ListBullet"/>
      </w:pPr>
      <w:r>
        <w:t>Admin notification email "PIM: Valene Samuels activated the AI Administrator role assignment", received 2 June 2026, justification "Customer demo prep - US Bank".</w:t>
      </w:r>
    </w:p>
    <w:p w14:paraId="34974DD7" w14:textId="7C52F57C" w:rsidR="5EFA27C7" w:rsidRDefault="5EFA27C7" w:rsidP="5EFA27C7">
      <w:pPr>
        <w:pStyle w:val="ListBullet"/>
      </w:pPr>
      <w:r>
        <w:t xml:space="preserve">T.I.G.RE.S SOW v1.7 (TITAN Group, Architecture Design and Solutioning with Microsoft Agent Factory), Bojan Buhac, 16 July 2026, AIAC </w:t>
      </w:r>
      <w:proofErr w:type="gramStart"/>
      <w:r>
        <w:t>Evidences</w:t>
      </w:r>
      <w:proofErr w:type="gramEnd"/>
      <w:r>
        <w:t xml:space="preserve"> SharePoint site. Used as the reference pattern for the Copilot Studio </w:t>
      </w:r>
      <w:proofErr w:type="gramStart"/>
      <w:r>
        <w:t>agent</w:t>
      </w:r>
      <w:proofErr w:type="gramEnd"/>
      <w:r>
        <w:t xml:space="preserve"> proposal.</w:t>
      </w:r>
    </w:p>
    <w:p w14:paraId="63B8FCA9" w14:textId="7E4C593A" w:rsidR="5EFA27C7" w:rsidRDefault="5EFA27C7" w:rsidP="5EFA27C7">
      <w:pPr>
        <w:pStyle w:val="ListBullet"/>
      </w:pPr>
      <w:r>
        <w:t xml:space="preserve">Pillar1-Zava-S2P-Business_AI_Strategy, Pillar3-Zava-S2P-Technology_and_Data and Pillar5-Zava-S2P-Security_and_Governance, AIAC </w:t>
      </w:r>
      <w:proofErr w:type="gramStart"/>
      <w:r>
        <w:t>Evidences</w:t>
      </w:r>
      <w:proofErr w:type="gramEnd"/>
      <w:r>
        <w:t xml:space="preserve"> SharePoint site. Used as the reference pattern for the governance framework.</w:t>
      </w:r>
    </w:p>
    <w:p w14:paraId="15113581" w14:textId="5201D234" w:rsidR="5EFA27C7" w:rsidRDefault="5EFA27C7" w:rsidP="5EFA27C7">
      <w:pPr>
        <w:pStyle w:val="ListBullet"/>
      </w:pPr>
      <w:r>
        <w:t>Search of email, Teams chats, calendar and files for July to September 2026 returned no other U.S. Bank items.</w:t>
      </w:r>
    </w:p>
    <w:p w14:paraId="2CC761AD" w14:textId="57EE7C0D" w:rsidR="5EFA27C7" w:rsidRDefault="5EFA27C7" w:rsidP="5EFA27C7">
      <w:pPr>
        <w:pStyle w:val="Heading2"/>
      </w:pPr>
      <w:r w:rsidRPr="5EFA27C7">
        <w:rPr>
          <w:color w:val="64381F"/>
        </w:rPr>
        <w:t>External (public web)</w:t>
      </w:r>
    </w:p>
    <w:p w14:paraId="356D96ED" w14:textId="404E258C" w:rsidR="5EFA27C7" w:rsidRDefault="5EFA27C7" w:rsidP="5EFA27C7">
      <w:pPr>
        <w:pStyle w:val="ListBullet"/>
      </w:pPr>
      <w:r>
        <w:t>U.S. Bancorp, "U.S. Bancorp reports second quarter 2026 results", 16 July 2026. https://www.usbank.com/about-us-bank/news-and-stories/article-library/us-bancorp-reports-second-quarter-2026-results.html</w:t>
      </w:r>
    </w:p>
    <w:p w14:paraId="4338CE26" w14:textId="5C207B17" w:rsidR="5EFA27C7" w:rsidRDefault="5EFA27C7" w:rsidP="5EFA27C7">
      <w:pPr>
        <w:pStyle w:val="ListBullet"/>
      </w:pPr>
      <w:r>
        <w:t>FinAi News, "U.S. Bank CEO breaks down top priorities, including AI-native efforts", 16 April 2026. https://finainews.com/banking/u-s-bank-ceo-breaks-down-top-priorities-including-ai-native-efforts/</w:t>
      </w:r>
    </w:p>
    <w:p w14:paraId="230389C2" w14:textId="31A13B72" w:rsidR="5EFA27C7" w:rsidRDefault="5EFA27C7" w:rsidP="5EFA27C7">
      <w:pPr>
        <w:pStyle w:val="ListBullet"/>
      </w:pPr>
      <w:r>
        <w:t>FinAi News, "U.S. Bank increases investment in AI, digital assets", 20 January 2026. https://finainews.com/banking/u-s-bank-increases-investment-in-ai-digital-assets/</w:t>
      </w:r>
    </w:p>
    <w:p w14:paraId="54065CE7" w14:textId="1F0A3CA8" w:rsidR="5EFA27C7" w:rsidRDefault="5EFA27C7" w:rsidP="5EFA27C7">
      <w:pPr>
        <w:pStyle w:val="ListBullet"/>
      </w:pPr>
      <w:r>
        <w:t>Banking Dive, "U.S. Bank's Kedia outlines strategy to rev up growth", 12 June 2025. https://www.bankingdive.com/news/us-bank-ceo-kedia-growth-strategy-payments-cards/750587/</w:t>
      </w:r>
    </w:p>
    <w:p w14:paraId="2A5AC6F9" w14:textId="26279ECD" w:rsidR="5EFA27C7" w:rsidRDefault="5EFA27C7" w:rsidP="5EFA27C7">
      <w:pPr>
        <w:pStyle w:val="ListBullet"/>
      </w:pPr>
      <w:r>
        <w:t>Hudson Labs, "U.S. Bancorp Competitors: USB Peer Comparison 2026", 22 May 2026. https://www.hudson-labs.com/research/us-bancorp-competitors-usb-peer-comparison-2026</w:t>
      </w:r>
    </w:p>
    <w:p w14:paraId="1F5018A0" w14:textId="4DE94363" w:rsidR="5EFA27C7" w:rsidRDefault="5EFA27C7" w:rsidP="5EFA27C7">
      <w:pPr>
        <w:pStyle w:val="ListBullet"/>
      </w:pPr>
      <w:r>
        <w:t>24/7 Wall St., "Truist vs. U.S. Bancorp: Both Pay $0.52, but Only One Dividend Is Growing", 2 September 2026. https://247wallst.com/investing/2026/09/02/truist-vs-u-s-bancorp-both-pay-0-52-but-only-one-dividend-is-growing/</w:t>
      </w:r>
    </w:p>
    <w:p w14:paraId="6F3FBB6A" w14:textId="25E2A8E1" w:rsidR="5EFA27C7" w:rsidRDefault="5EFA27C7" w:rsidP="5EFA27C7">
      <w:pPr>
        <w:pStyle w:val="ListBullet"/>
      </w:pPr>
      <w:r>
        <w:lastRenderedPageBreak/>
        <w:t>U.S. Bank company blog, "U.S. Bank, Microsoft accelerate the future of banking with cloud computing", 23 February 2022. https://www.usbank.com/about-us-bank/company-blog/article-library/us-bank-microsoft-accelerate-the-future-of-banking-with-cloud-computing.html</w:t>
      </w:r>
    </w:p>
    <w:sectPr w:rsidR="5EFA27C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4649272">
    <w:abstractNumId w:val="8"/>
  </w:num>
  <w:num w:numId="2" w16cid:durableId="1214121868">
    <w:abstractNumId w:val="6"/>
  </w:num>
  <w:num w:numId="3" w16cid:durableId="1053500448">
    <w:abstractNumId w:val="5"/>
  </w:num>
  <w:num w:numId="4" w16cid:durableId="1096169093">
    <w:abstractNumId w:val="4"/>
  </w:num>
  <w:num w:numId="5" w16cid:durableId="1182746708">
    <w:abstractNumId w:val="7"/>
  </w:num>
  <w:num w:numId="6" w16cid:durableId="69472260">
    <w:abstractNumId w:val="3"/>
  </w:num>
  <w:num w:numId="7" w16cid:durableId="1477801072">
    <w:abstractNumId w:val="2"/>
  </w:num>
  <w:num w:numId="8" w16cid:durableId="240220504">
    <w:abstractNumId w:val="1"/>
  </w:num>
  <w:num w:numId="9" w16cid:durableId="17388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BCB"/>
    <w:rsid w:val="0015074B"/>
    <w:rsid w:val="0029639D"/>
    <w:rsid w:val="00326F90"/>
    <w:rsid w:val="00867DDE"/>
    <w:rsid w:val="008D1DFD"/>
    <w:rsid w:val="00AA1D8D"/>
    <w:rsid w:val="00B47730"/>
    <w:rsid w:val="00CB0664"/>
    <w:rsid w:val="00FC693F"/>
    <w:rsid w:val="1721D109"/>
    <w:rsid w:val="17BB5362"/>
    <w:rsid w:val="1A3FF43A"/>
    <w:rsid w:val="1ACC40C5"/>
    <w:rsid w:val="20BEE888"/>
    <w:rsid w:val="21DAD804"/>
    <w:rsid w:val="2AD01CC4"/>
    <w:rsid w:val="31901F11"/>
    <w:rsid w:val="3667BC74"/>
    <w:rsid w:val="3708C0D5"/>
    <w:rsid w:val="370F0792"/>
    <w:rsid w:val="38052B9E"/>
    <w:rsid w:val="385E389E"/>
    <w:rsid w:val="43F07070"/>
    <w:rsid w:val="4669312F"/>
    <w:rsid w:val="4732B0FB"/>
    <w:rsid w:val="47C7DB50"/>
    <w:rsid w:val="4D89478C"/>
    <w:rsid w:val="4DF04EFD"/>
    <w:rsid w:val="4EBF0DED"/>
    <w:rsid w:val="5118E99D"/>
    <w:rsid w:val="549271CE"/>
    <w:rsid w:val="5723093C"/>
    <w:rsid w:val="5A127A1B"/>
    <w:rsid w:val="5EFA27C7"/>
    <w:rsid w:val="667DC892"/>
    <w:rsid w:val="72D3F5B4"/>
    <w:rsid w:val="77630730"/>
    <w:rsid w:val="7BA468E4"/>
    <w:rsid w:val="7BBF74D6"/>
    <w:rsid w:val="7BDADAB7"/>
    <w:rsid w:val="7E2E2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222C1AB-F1C7-40DC-A8C3-A160C0C4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1A67AA-0C3B-42EE-9C1E-C485E028A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C10ADD7-4A51-4EEA-93D4-BCE558321D6B}">
  <ds:schemaRefs>
    <ds:schemaRef ds:uri="http://schemas.microsoft.com/sharepoint/v3/contenttype/forms"/>
  </ds:schemaRefs>
</ds:datastoreItem>
</file>

<file path=customXml/itemProps4.xml><?xml version="1.0" encoding="utf-8"?>
<ds:datastoreItem xmlns:ds="http://schemas.openxmlformats.org/officeDocument/2006/customXml" ds:itemID="{2FA54C2A-84B1-4B17-99C0-C06688B7BE54}">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2104</Words>
  <Characters>11993</Characters>
  <Application>Microsoft Office Word</Application>
  <DocSecurity>0</DocSecurity>
  <Lines>99</Lines>
  <Paragraphs>28</Paragraphs>
  <ScaleCrop>false</ScaleCrop>
  <Manager/>
  <Company/>
  <LinksUpToDate>false</LinksUpToDate>
  <CharactersWithSpaces>14069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2026-09-03T14:29:00Z</dcterms:created>
  <dcterms:modified xsi:type="dcterms:W3CDTF">2026-09-03T19:59:00Z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4" name="docLang">
    <vt:lpwstr>en</vt:lpwstr>
  </property>
</Properties>
</file>