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45D39" w14:textId="1061EBE5" w:rsidR="657611A1" w:rsidRDefault="657611A1" w:rsidP="657611A1">
      <w:pPr>
        <w:pStyle w:val="Title"/>
      </w:pPr>
      <w:r w:rsidRPr="657611A1">
        <w:rPr>
          <w:b/>
          <w:bCs/>
          <w:color w:val="64381F"/>
        </w:rPr>
        <w:t>U.S. Bank Account Plan</w:t>
      </w:r>
    </w:p>
    <w:p w14:paraId="1F35344F" w14:textId="1AC0B212" w:rsidR="657611A1" w:rsidRDefault="657611A1">
      <w:r w:rsidRPr="657611A1">
        <w:rPr>
          <w:i/>
          <w:iCs/>
          <w:color w:val="595959" w:themeColor="text1" w:themeTint="A6"/>
          <w:sz w:val="24"/>
          <w:szCs w:val="24"/>
        </w:rPr>
        <w:t>U.S. Bancorp (NYSE: USB) | Q3–Q4 2026 | Prepared for How2Demos</w:t>
      </w:r>
    </w:p>
    <w:tbl>
      <w:tblPr>
        <w:tblStyle w:val="TableGrid"/>
        <w:tblW w:w="0" w:type="auto"/>
        <w:tblLook w:val="0000" w:firstRow="0" w:lastRow="0" w:firstColumn="0" w:lastColumn="0" w:noHBand="0" w:noVBand="0"/>
      </w:tblPr>
      <w:tblGrid>
        <w:gridCol w:w="2400"/>
        <w:gridCol w:w="6960"/>
      </w:tblGrid>
      <w:tr w:rsidR="657611A1" w14:paraId="642519E0" w14:textId="77777777" w:rsidTr="657611A1">
        <w:tc>
          <w:tcPr>
            <w:tcW w:w="2400" w:type="dxa"/>
          </w:tcPr>
          <w:p w14:paraId="2FE3A26A" w14:textId="36FBEEE7" w:rsidR="657611A1" w:rsidRDefault="657611A1">
            <w:r>
              <w:t>Plan owner</w:t>
            </w:r>
          </w:p>
        </w:tc>
        <w:tc>
          <w:tcPr>
            <w:tcW w:w="6960" w:type="dxa"/>
          </w:tcPr>
          <w:p w14:paraId="2AFE1B2F" w14:textId="2FD9D5AB" w:rsidR="657611A1" w:rsidRDefault="657611A1">
            <w:r>
              <w:t>Bojan Buhac, Consultant, How2Demos (Toronto)</w:t>
            </w:r>
          </w:p>
        </w:tc>
      </w:tr>
      <w:tr w:rsidR="657611A1" w14:paraId="73CB6643" w14:textId="77777777" w:rsidTr="657611A1">
        <w:tc>
          <w:tcPr>
            <w:tcW w:w="2400" w:type="dxa"/>
          </w:tcPr>
          <w:p w14:paraId="670C4691" w14:textId="46EF3620" w:rsidR="657611A1" w:rsidRDefault="657611A1">
            <w:r>
              <w:t>Reporting line</w:t>
            </w:r>
          </w:p>
        </w:tc>
        <w:tc>
          <w:tcPr>
            <w:tcW w:w="6960" w:type="dxa"/>
          </w:tcPr>
          <w:p w14:paraId="60148BC9" w14:textId="3FCD1CE4" w:rsidR="657611A1" w:rsidRDefault="657611A1">
            <w:r>
              <w:t>Lisa Taylor, Director Human Resources, How2Demos</w:t>
            </w:r>
          </w:p>
        </w:tc>
      </w:tr>
      <w:tr w:rsidR="657611A1" w14:paraId="31B9B4CA" w14:textId="77777777" w:rsidTr="657611A1">
        <w:tc>
          <w:tcPr>
            <w:tcW w:w="2400" w:type="dxa"/>
          </w:tcPr>
          <w:p w14:paraId="4AB02909" w14:textId="56E27D59" w:rsidR="657611A1" w:rsidRDefault="657611A1">
            <w:r>
              <w:t>Account team</w:t>
            </w:r>
          </w:p>
        </w:tc>
        <w:tc>
          <w:tcPr>
            <w:tcW w:w="6960" w:type="dxa"/>
          </w:tcPr>
          <w:p w14:paraId="5C0F2F1D" w14:textId="4FC0641D" w:rsidR="657611A1" w:rsidRDefault="657611A1">
            <w:r>
              <w:t>Valene Samuels, Consultant, Information Technology, How2Demos</w:t>
            </w:r>
          </w:p>
        </w:tc>
      </w:tr>
      <w:tr w:rsidR="657611A1" w14:paraId="14CDD896" w14:textId="77777777" w:rsidTr="657611A1">
        <w:tc>
          <w:tcPr>
            <w:tcW w:w="2400" w:type="dxa"/>
          </w:tcPr>
          <w:p w14:paraId="2F04BBCA" w14:textId="66D5C492" w:rsidR="657611A1" w:rsidRDefault="657611A1">
            <w:r>
              <w:t>Plan date</w:t>
            </w:r>
          </w:p>
        </w:tc>
        <w:tc>
          <w:tcPr>
            <w:tcW w:w="6960" w:type="dxa"/>
          </w:tcPr>
          <w:p w14:paraId="203A19BE" w14:textId="5FB3AB56" w:rsidR="657611A1" w:rsidRDefault="657611A1">
            <w:r>
              <w:t>3 September 2026</w:t>
            </w:r>
          </w:p>
        </w:tc>
      </w:tr>
      <w:tr w:rsidR="657611A1" w14:paraId="45E7B23F" w14:textId="77777777" w:rsidTr="657611A1">
        <w:tc>
          <w:tcPr>
            <w:tcW w:w="2400" w:type="dxa"/>
          </w:tcPr>
          <w:p w14:paraId="4A763E8B" w14:textId="76C90BCB" w:rsidR="657611A1" w:rsidRDefault="657611A1">
            <w:r>
              <w:t>Planning window</w:t>
            </w:r>
          </w:p>
        </w:tc>
        <w:tc>
          <w:tcPr>
            <w:tcW w:w="6960" w:type="dxa"/>
          </w:tcPr>
          <w:p w14:paraId="4ACD64A7" w14:textId="6FA6F28F" w:rsidR="657611A1" w:rsidRDefault="657611A1">
            <w:r>
              <w:t>90 days: 3 September to 2 December 2026</w:t>
            </w:r>
          </w:p>
        </w:tc>
      </w:tr>
      <w:tr w:rsidR="657611A1" w14:paraId="4D1B4F1D" w14:textId="77777777" w:rsidTr="657611A1">
        <w:tc>
          <w:tcPr>
            <w:tcW w:w="2400" w:type="dxa"/>
          </w:tcPr>
          <w:p w14:paraId="75F0066A" w14:textId="06BC5304" w:rsidR="657611A1" w:rsidRDefault="657611A1">
            <w:r>
              <w:t>Sources</w:t>
            </w:r>
          </w:p>
        </w:tc>
        <w:tc>
          <w:tcPr>
            <w:tcW w:w="6960" w:type="dxa"/>
          </w:tcPr>
          <w:p w14:paraId="5516D9F1" w14:textId="7F9A39C8" w:rsidR="657611A1" w:rsidRDefault="657611A1">
            <w:r>
              <w:t>Internal Microsoft 365 records (email, Teams, calendar, SharePoint/OneDrive) plus public U.S. Bancorp filings, releases and press coverage; see Sources section</w:t>
            </w:r>
          </w:p>
        </w:tc>
      </w:tr>
    </w:tbl>
    <w:p w14:paraId="3834EF1C" w14:textId="35AAAE5D" w:rsidR="657611A1" w:rsidRDefault="657611A1">
      <w:r>
        <w:t xml:space="preserve"> </w:t>
      </w:r>
    </w:p>
    <w:p w14:paraId="1549F9C5" w14:textId="70603CA2" w:rsidR="657611A1" w:rsidRDefault="657611A1" w:rsidP="657611A1">
      <w:pPr>
        <w:pStyle w:val="Heading1"/>
      </w:pPr>
      <w:r w:rsidRPr="657611A1">
        <w:rPr>
          <w:color w:val="64381F"/>
        </w:rPr>
        <w:t>1. Executive Summary</w:t>
      </w:r>
    </w:p>
    <w:p w14:paraId="3830E636" w14:textId="208A62BB" w:rsidR="657611A1" w:rsidRDefault="657611A1">
      <w:r>
        <w:t>U.S. Bank is the account selected for this quarter's plan. Headquartered in Minneapolis, U.S. Bancorp is the fifth-largest commercial bank in the United States, with three major business lines serving 15 million clients and a workforce of nearly 70,000 people. Our Microsoft 365 records show the relationship is at an early, pre-pipeline stage: the only internal trace this year is a customer-demo preparation on 2 June 2026, when Valene Samuels activated an AI Administrator role with the justification "Customer demo prep - US Bank". No email threads, Teams conversations, meetings or shared files with U.S. Bank contacts have been recorded since. This plan therefore draws on public sources to define the opportunity, and its first 30 days focus on converting that June demo into a live, named conversation.</w:t>
      </w:r>
    </w:p>
    <w:p w14:paraId="3F7AE687" w14:textId="5BEA24A7" w:rsidR="657611A1" w:rsidRDefault="657611A1">
      <w:r>
        <w:t>The bank enters the second half of 2026 with strong momentum. Second-quarter results (released 16 July 2026) showed record net revenue of $7,712 million, net income of $2,177 million (up 20% year-over-year), diluted EPS of $1.35 (up 22%), return on tangible common equity of 18.7%, an efficiency ratio of 57.1% and 400 basis points of positive operating leverage, with a CET1 ratio of 10.8%. The BTIG acquisition closed on 1 June 2026, adding institutional equities, equity capital markets and M&amp;A advisory. Gunjan Kedia, CEO since 2025, also became Chairman at the April 2026 annual meeting, and the company continues to execute against three stated strategic priorities: organic growth, payments transformation, and expense management and productivity.</w:t>
      </w:r>
    </w:p>
    <w:p w14:paraId="1F996FB5" w14:textId="626A9D47" w:rsidR="657611A1" w:rsidRDefault="657611A1">
      <w:r>
        <w:t>The technology agenda is where How2Demos fits. U.S. Bancorp expects to spend roughly $2.6 billion on technology and innovation in 2026 (about 15% of revenue), has moved AI from pilots to full-scale deployment across fraud detection, front-line insights and personalisation, runs 75% of core applications in a hybrid cloud with a 90% target by 2027, and created a board-level Technology Committee on 1 January 2026 to oversee AI and cybersecurity. Management has also referred to a "growth fund for AI projects". Since 2022 the bank has used Microsoft Azure as its primary cloud and Microsoft 365 and Teams for collaboration, which maps directly onto How2Demos' agentic AI governance framework (the five-pillar AI Agent Central evidence set) and its Microsoft agent solutioning work (the T.I.G.RE.S statement of work pattern).</w:t>
      </w:r>
    </w:p>
    <w:p w14:paraId="68B0FD8D" w14:textId="31E17993" w:rsidR="657611A1" w:rsidRDefault="657611A1">
      <w:r>
        <w:lastRenderedPageBreak/>
        <w:t xml:space="preserve">Four risks shape the plan. Relationship depth is close to zero and single-threaded on our side. An active LockBit extortion claim (reported 21 August 2026, with </w:t>
      </w:r>
      <w:proofErr w:type="gramStart"/>
      <w:r>
        <w:t>a publication</w:t>
      </w:r>
      <w:proofErr w:type="gramEnd"/>
      <w:r>
        <w:t xml:space="preserve"> deadline of 3 September) will sharpen third-party risk scrutiny of any new vendor. Competition for AI advisory budget at a </w:t>
      </w:r>
      <w:proofErr w:type="gramStart"/>
      <w:r>
        <w:t>top-five</w:t>
      </w:r>
      <w:proofErr w:type="gramEnd"/>
      <w:r>
        <w:t xml:space="preserve"> bank is intense, and regulatory bandwidth may be absorbed by preparation for Category II status. Each is addressed in Section 5 with a mitigation and an owner.</w:t>
      </w:r>
    </w:p>
    <w:p w14:paraId="1FF89CA7" w14:textId="584AE770" w:rsidR="657611A1" w:rsidRDefault="657611A1">
      <w:r>
        <w:t>By 2 December 2026 the plan targets three outcomes: a multi-threaded relationship map with at least three active U.S. Bank contacts; one discovery workshop delivered on agentic AI governance or banker productivity; and a scoped, priced pilot proposal in front of a budget owner. The account snapshot below summarises the public baseline against which progress will be measured.</w:t>
      </w:r>
    </w:p>
    <w:p w14:paraId="21D4E484" w14:textId="16B95204" w:rsidR="657611A1" w:rsidRDefault="657611A1">
      <w:r w:rsidRPr="657611A1">
        <w:rPr>
          <w:i/>
          <w:iCs/>
          <w:color w:val="595959" w:themeColor="text1" w:themeTint="A6"/>
          <w:sz w:val="18"/>
          <w:szCs w:val="18"/>
        </w:rPr>
        <w:t>Sources for this section: internal records I1 and I4; public sources E1, E2, E3, E4, E5, E8 and E9 (see Section 8).</w:t>
      </w:r>
    </w:p>
    <w:p w14:paraId="2B7013D8" w14:textId="5B510AEA" w:rsidR="657611A1" w:rsidRDefault="657611A1" w:rsidP="657611A1">
      <w:pPr>
        <w:pStyle w:val="Heading2"/>
      </w:pPr>
      <w:r w:rsidRPr="657611A1">
        <w:rPr>
          <w:color w:val="64381F"/>
        </w:rPr>
        <w:t xml:space="preserve">Account </w:t>
      </w:r>
      <w:proofErr w:type="gramStart"/>
      <w:r w:rsidRPr="657611A1">
        <w:rPr>
          <w:color w:val="64381F"/>
        </w:rPr>
        <w:t>at a glance</w:t>
      </w:r>
      <w:proofErr w:type="gramEnd"/>
      <w:r w:rsidRPr="657611A1">
        <w:rPr>
          <w:color w:val="64381F"/>
        </w:rPr>
        <w:t xml:space="preserve"> (Q2 2026, reported 16 July 2026)</w:t>
      </w:r>
    </w:p>
    <w:tbl>
      <w:tblPr>
        <w:tblStyle w:val="TableGrid"/>
        <w:tblW w:w="0" w:type="auto"/>
        <w:tblLook w:val="0000" w:firstRow="0" w:lastRow="0" w:firstColumn="0" w:lastColumn="0" w:noHBand="0" w:noVBand="0"/>
      </w:tblPr>
      <w:tblGrid>
        <w:gridCol w:w="2900"/>
        <w:gridCol w:w="2300"/>
        <w:gridCol w:w="4160"/>
      </w:tblGrid>
      <w:tr w:rsidR="657611A1" w14:paraId="3447BADF" w14:textId="77777777" w:rsidTr="657611A1">
        <w:tc>
          <w:tcPr>
            <w:tcW w:w="2900" w:type="dxa"/>
          </w:tcPr>
          <w:p w14:paraId="2F1B1ABB" w14:textId="64C0E999" w:rsidR="657611A1" w:rsidRDefault="657611A1">
            <w:r w:rsidRPr="657611A1">
              <w:rPr>
                <w:b/>
                <w:bCs/>
              </w:rPr>
              <w:t>Metric</w:t>
            </w:r>
          </w:p>
        </w:tc>
        <w:tc>
          <w:tcPr>
            <w:tcW w:w="2300" w:type="dxa"/>
          </w:tcPr>
          <w:p w14:paraId="6F904E0B" w14:textId="5D9ED05D" w:rsidR="657611A1" w:rsidRDefault="657611A1">
            <w:r>
              <w:t>Q2 2026</w:t>
            </w:r>
          </w:p>
        </w:tc>
        <w:tc>
          <w:tcPr>
            <w:tcW w:w="4160" w:type="dxa"/>
          </w:tcPr>
          <w:p w14:paraId="3E16502E" w14:textId="567CB721" w:rsidR="657611A1" w:rsidRDefault="657611A1">
            <w:r>
              <w:t>Comment</w:t>
            </w:r>
          </w:p>
        </w:tc>
      </w:tr>
      <w:tr w:rsidR="657611A1" w14:paraId="17F15772" w14:textId="77777777" w:rsidTr="657611A1">
        <w:tc>
          <w:tcPr>
            <w:tcW w:w="2900" w:type="dxa"/>
          </w:tcPr>
          <w:p w14:paraId="1775E664" w14:textId="6D921796" w:rsidR="657611A1" w:rsidRDefault="657611A1">
            <w:r>
              <w:t>Net revenue</w:t>
            </w:r>
          </w:p>
        </w:tc>
        <w:tc>
          <w:tcPr>
            <w:tcW w:w="2300" w:type="dxa"/>
          </w:tcPr>
          <w:p w14:paraId="77D7C5C0" w14:textId="666FFE5A" w:rsidR="657611A1" w:rsidRDefault="657611A1">
            <w:r>
              <w:t>$7,712 million (record)</w:t>
            </w:r>
          </w:p>
        </w:tc>
        <w:tc>
          <w:tcPr>
            <w:tcW w:w="4160" w:type="dxa"/>
          </w:tcPr>
          <w:p w14:paraId="258911BD" w14:textId="5F4DE51E" w:rsidR="657611A1" w:rsidRDefault="657611A1">
            <w:r>
              <w:t>Net interest income +7.5% and fee revenue +13.2% year-over-year</w:t>
            </w:r>
          </w:p>
        </w:tc>
      </w:tr>
      <w:tr w:rsidR="657611A1" w14:paraId="4EF09091" w14:textId="77777777" w:rsidTr="657611A1">
        <w:tc>
          <w:tcPr>
            <w:tcW w:w="2900" w:type="dxa"/>
          </w:tcPr>
          <w:p w14:paraId="3366C030" w14:textId="76634593" w:rsidR="657611A1" w:rsidRDefault="657611A1">
            <w:r>
              <w:t>Net income</w:t>
            </w:r>
          </w:p>
        </w:tc>
        <w:tc>
          <w:tcPr>
            <w:tcW w:w="2300" w:type="dxa"/>
          </w:tcPr>
          <w:p w14:paraId="3FA632A3" w14:textId="6F412C57" w:rsidR="657611A1" w:rsidRDefault="657611A1">
            <w:r>
              <w:t>$2,177 million</w:t>
            </w:r>
          </w:p>
        </w:tc>
        <w:tc>
          <w:tcPr>
            <w:tcW w:w="4160" w:type="dxa"/>
          </w:tcPr>
          <w:p w14:paraId="1BD1D897" w14:textId="681F131B" w:rsidR="657611A1" w:rsidRDefault="657611A1">
            <w:r>
              <w:t>Up 20% year-over-year</w:t>
            </w:r>
          </w:p>
        </w:tc>
      </w:tr>
      <w:tr w:rsidR="657611A1" w14:paraId="33027B29" w14:textId="77777777" w:rsidTr="657611A1">
        <w:tc>
          <w:tcPr>
            <w:tcW w:w="2900" w:type="dxa"/>
          </w:tcPr>
          <w:p w14:paraId="13408EEB" w14:textId="7F347390" w:rsidR="657611A1" w:rsidRDefault="657611A1">
            <w:r>
              <w:t>Diluted EPS</w:t>
            </w:r>
          </w:p>
        </w:tc>
        <w:tc>
          <w:tcPr>
            <w:tcW w:w="2300" w:type="dxa"/>
          </w:tcPr>
          <w:p w14:paraId="3CC95697" w14:textId="78125A54" w:rsidR="657611A1" w:rsidRDefault="657611A1">
            <w:r>
              <w:t>$1.35</w:t>
            </w:r>
          </w:p>
        </w:tc>
        <w:tc>
          <w:tcPr>
            <w:tcW w:w="4160" w:type="dxa"/>
          </w:tcPr>
          <w:p w14:paraId="2815CCC0" w14:textId="70F04118" w:rsidR="657611A1" w:rsidRDefault="657611A1">
            <w:r>
              <w:t>Up 22% year-over-year</w:t>
            </w:r>
          </w:p>
        </w:tc>
      </w:tr>
      <w:tr w:rsidR="657611A1" w14:paraId="3CF301B4" w14:textId="77777777" w:rsidTr="657611A1">
        <w:tc>
          <w:tcPr>
            <w:tcW w:w="2900" w:type="dxa"/>
          </w:tcPr>
          <w:p w14:paraId="50D21614" w14:textId="0805A18D" w:rsidR="657611A1" w:rsidRDefault="657611A1">
            <w:r>
              <w:t>Return on tangible common equity</w:t>
            </w:r>
          </w:p>
        </w:tc>
        <w:tc>
          <w:tcPr>
            <w:tcW w:w="2300" w:type="dxa"/>
          </w:tcPr>
          <w:p w14:paraId="3F756402" w14:textId="00E38851" w:rsidR="657611A1" w:rsidRDefault="657611A1">
            <w:r>
              <w:t>18.7%</w:t>
            </w:r>
          </w:p>
        </w:tc>
        <w:tc>
          <w:tcPr>
            <w:tcW w:w="4160" w:type="dxa"/>
          </w:tcPr>
          <w:p w14:paraId="7D74DD82" w14:textId="79C16F15" w:rsidR="657611A1" w:rsidRDefault="657611A1">
            <w:r>
              <w:t>CEO-cited headline return</w:t>
            </w:r>
          </w:p>
        </w:tc>
      </w:tr>
      <w:tr w:rsidR="657611A1" w14:paraId="28C211D3" w14:textId="77777777" w:rsidTr="657611A1">
        <w:tc>
          <w:tcPr>
            <w:tcW w:w="2900" w:type="dxa"/>
          </w:tcPr>
          <w:p w14:paraId="4CE337BA" w14:textId="10D6CF8A" w:rsidR="657611A1" w:rsidRDefault="657611A1">
            <w:r>
              <w:t>Efficiency ratio</w:t>
            </w:r>
          </w:p>
        </w:tc>
        <w:tc>
          <w:tcPr>
            <w:tcW w:w="2300" w:type="dxa"/>
          </w:tcPr>
          <w:p w14:paraId="2671E5AA" w14:textId="09B4B64E" w:rsidR="657611A1" w:rsidRDefault="657611A1">
            <w:r>
              <w:t>57.1%</w:t>
            </w:r>
          </w:p>
        </w:tc>
        <w:tc>
          <w:tcPr>
            <w:tcW w:w="4160" w:type="dxa"/>
          </w:tcPr>
          <w:p w14:paraId="2E33AE3C" w14:textId="02929D12" w:rsidR="657611A1" w:rsidRDefault="657611A1">
            <w:r>
              <w:t>Improved year-over-year and linked quarter</w:t>
            </w:r>
          </w:p>
        </w:tc>
      </w:tr>
      <w:tr w:rsidR="657611A1" w14:paraId="57ECDA35" w14:textId="77777777" w:rsidTr="657611A1">
        <w:tc>
          <w:tcPr>
            <w:tcW w:w="2900" w:type="dxa"/>
          </w:tcPr>
          <w:p w14:paraId="5A2A79A5" w14:textId="19A7FD87" w:rsidR="657611A1" w:rsidRDefault="657611A1">
            <w:r>
              <w:t>Positive operating leverage</w:t>
            </w:r>
          </w:p>
        </w:tc>
        <w:tc>
          <w:tcPr>
            <w:tcW w:w="2300" w:type="dxa"/>
          </w:tcPr>
          <w:p w14:paraId="432ABF5D" w14:textId="1285E44B" w:rsidR="657611A1" w:rsidRDefault="657611A1">
            <w:r>
              <w:t>400 basis points</w:t>
            </w:r>
          </w:p>
        </w:tc>
        <w:tc>
          <w:tcPr>
            <w:tcW w:w="4160" w:type="dxa"/>
          </w:tcPr>
          <w:p w14:paraId="3499FFB8" w14:textId="0B63CB0F" w:rsidR="657611A1" w:rsidRDefault="657611A1">
            <w:r>
              <w:t>Versus prior-year quarter</w:t>
            </w:r>
          </w:p>
        </w:tc>
      </w:tr>
      <w:tr w:rsidR="657611A1" w14:paraId="2DDC5D6A" w14:textId="77777777" w:rsidTr="657611A1">
        <w:tc>
          <w:tcPr>
            <w:tcW w:w="2900" w:type="dxa"/>
          </w:tcPr>
          <w:p w14:paraId="2D97278D" w14:textId="22792B84" w:rsidR="657611A1" w:rsidRDefault="657611A1">
            <w:r>
              <w:t>Net interest margin</w:t>
            </w:r>
          </w:p>
        </w:tc>
        <w:tc>
          <w:tcPr>
            <w:tcW w:w="2300" w:type="dxa"/>
          </w:tcPr>
          <w:p w14:paraId="5A71D6B9" w14:textId="1B571248" w:rsidR="657611A1" w:rsidRDefault="657611A1">
            <w:r>
              <w:t>2.79%</w:t>
            </w:r>
          </w:p>
        </w:tc>
        <w:tc>
          <w:tcPr>
            <w:tcW w:w="4160" w:type="dxa"/>
          </w:tcPr>
          <w:p w14:paraId="4E60D08E" w14:textId="1434F90C" w:rsidR="657611A1" w:rsidRDefault="657611A1">
            <w:r>
              <w:t>Up 13 basis points year-over-year</w:t>
            </w:r>
          </w:p>
        </w:tc>
      </w:tr>
      <w:tr w:rsidR="657611A1" w14:paraId="12813032" w14:textId="77777777" w:rsidTr="657611A1">
        <w:tc>
          <w:tcPr>
            <w:tcW w:w="2900" w:type="dxa"/>
          </w:tcPr>
          <w:p w14:paraId="509CC7BD" w14:textId="2B4A5981" w:rsidR="657611A1" w:rsidRDefault="657611A1">
            <w:r>
              <w:t>CET1 capital ratio</w:t>
            </w:r>
          </w:p>
        </w:tc>
        <w:tc>
          <w:tcPr>
            <w:tcW w:w="2300" w:type="dxa"/>
          </w:tcPr>
          <w:p w14:paraId="316343B1" w14:textId="24284045" w:rsidR="657611A1" w:rsidRDefault="657611A1">
            <w:r>
              <w:t>10.8%</w:t>
            </w:r>
          </w:p>
        </w:tc>
        <w:tc>
          <w:tcPr>
            <w:tcW w:w="4160" w:type="dxa"/>
          </w:tcPr>
          <w:p w14:paraId="1B187179" w14:textId="1D062709" w:rsidR="657611A1" w:rsidRDefault="657611A1">
            <w:proofErr w:type="gramStart"/>
            <w:r>
              <w:t>At</w:t>
            </w:r>
            <w:proofErr w:type="gramEnd"/>
            <w:r>
              <w:t xml:space="preserve"> 30 June 2026</w:t>
            </w:r>
          </w:p>
        </w:tc>
      </w:tr>
      <w:tr w:rsidR="657611A1" w14:paraId="59E0C0FD" w14:textId="77777777" w:rsidTr="657611A1">
        <w:tc>
          <w:tcPr>
            <w:tcW w:w="2900" w:type="dxa"/>
          </w:tcPr>
          <w:p w14:paraId="24B6EA0B" w14:textId="341B877E" w:rsidR="657611A1" w:rsidRDefault="657611A1">
            <w:r>
              <w:t>Average loans / deposits</w:t>
            </w:r>
          </w:p>
        </w:tc>
        <w:tc>
          <w:tcPr>
            <w:tcW w:w="2300" w:type="dxa"/>
          </w:tcPr>
          <w:p w14:paraId="72A7B5A6" w14:textId="2CF96E42" w:rsidR="657611A1" w:rsidRDefault="657611A1">
            <w:r>
              <w:t>+7.1% / +2.4%</w:t>
            </w:r>
          </w:p>
        </w:tc>
        <w:tc>
          <w:tcPr>
            <w:tcW w:w="4160" w:type="dxa"/>
          </w:tcPr>
          <w:p w14:paraId="2BD5D1C3" w14:textId="25D75506" w:rsidR="657611A1" w:rsidRDefault="657611A1">
            <w:r>
              <w:t>Year-over-year; third consecutive quarter of record consumer deposits</w:t>
            </w:r>
          </w:p>
        </w:tc>
      </w:tr>
      <w:tr w:rsidR="657611A1" w14:paraId="3E762420" w14:textId="77777777" w:rsidTr="657611A1">
        <w:tc>
          <w:tcPr>
            <w:tcW w:w="2900" w:type="dxa"/>
          </w:tcPr>
          <w:p w14:paraId="5BEB6A2C" w14:textId="3CECB57B" w:rsidR="657611A1" w:rsidRDefault="657611A1">
            <w:r>
              <w:t>BTIG acquisition</w:t>
            </w:r>
          </w:p>
        </w:tc>
        <w:tc>
          <w:tcPr>
            <w:tcW w:w="2300" w:type="dxa"/>
          </w:tcPr>
          <w:p w14:paraId="4CEB840C" w14:textId="35CA9C3F" w:rsidR="657611A1" w:rsidRDefault="657611A1">
            <w:r>
              <w:t>Closed 1 June 2026</w:t>
            </w:r>
          </w:p>
        </w:tc>
        <w:tc>
          <w:tcPr>
            <w:tcW w:w="4160" w:type="dxa"/>
          </w:tcPr>
          <w:p w14:paraId="1EEBD5CA" w14:textId="2EA88303" w:rsidR="657611A1" w:rsidRDefault="657611A1">
            <w:r>
              <w:t xml:space="preserve">About $98 </w:t>
            </w:r>
            <w:proofErr w:type="gramStart"/>
            <w:r>
              <w:t>million</w:t>
            </w:r>
            <w:proofErr w:type="gramEnd"/>
            <w:r>
              <w:t xml:space="preserve"> fee revenue and $84 </w:t>
            </w:r>
            <w:proofErr w:type="gramStart"/>
            <w:r>
              <w:t>million expense</w:t>
            </w:r>
            <w:proofErr w:type="gramEnd"/>
            <w:r>
              <w:t xml:space="preserve"> in the quarter</w:t>
            </w:r>
          </w:p>
        </w:tc>
      </w:tr>
    </w:tbl>
    <w:p w14:paraId="3EF4C153" w14:textId="1C15FA87" w:rsidR="657611A1" w:rsidRDefault="657611A1" w:rsidP="657611A1">
      <w:pPr>
        <w:pStyle w:val="Heading1"/>
      </w:pPr>
      <w:r w:rsidRPr="657611A1">
        <w:rPr>
          <w:color w:val="64381F"/>
        </w:rPr>
        <w:t>2. Customer Context and Strategic Priorities</w:t>
      </w:r>
    </w:p>
    <w:p w14:paraId="7C5B57D3" w14:textId="15AF7FEF" w:rsidR="657611A1" w:rsidRDefault="657611A1">
      <w:r>
        <w:t>U.S. Bancorp's 2026 proxy statement (10 March 2026) sets out three strategic priorities: organic growth, payments transformation, and expense management and productivity. In his final shareholder letter as Executive Chairman, Andrew Cecere noted that by the third quarter of 2025 the company was operating fully within the medium-term target ranges shared at its 2024 Investor Day, and that by year-end 2025 it had reported nine consecutive quarters of stable expenses and six consecutive quarters of positive operating leverage, both as adjusted. The letter also flags continued investment in financial and risk discipline ahead of an eventual transition to a Category II banking organisation, a regulatory step that will raise the bar on data, model and operational controls.</w:t>
      </w:r>
    </w:p>
    <w:p w14:paraId="7DDCD6C0" w14:textId="3C86EB72" w:rsidR="657611A1" w:rsidRDefault="657611A1">
      <w:r>
        <w:t xml:space="preserve">Management's June 2026 investor remarks (10 June 2026) reinforced the outlook: net interest income growth toward the upper end of a 6% to 7% range, fee revenue above that range on the strength of capital markets, expenses growing 3% to 4%, and for the full year mid-single-digit revenue growth with at least 200 basis points of positive operating leverage, before BTIG. Gunjan </w:t>
      </w:r>
      <w:r>
        <w:lastRenderedPageBreak/>
        <w:t>Kedia stated that fees are expected to grow faster than net interest income so that the fee share of revenue, currently around 42%, inches up over time. Management also described a growth fund for AI projects and stressed flexibility to fund it. On deposits, the stated focus is distribution (branch and call-centre bankers with updated incentive plans) and modelling capabilities.</w:t>
      </w:r>
    </w:p>
    <w:p w14:paraId="2FB9BE23" w14:textId="4E740EE2" w:rsidR="657611A1" w:rsidRDefault="657611A1">
      <w:r>
        <w:t>Three growth moves landed in the current quarter or just before it. On 1 June 2026 the company completed the acquisition of Condor Trading LP and its subsidiaries, including BTIG, LLC, adding institutional equity sales and trading, equity capital markets, electronic trading and M&amp;A advisory. On 17 June 2026 Elavon, the bank's wholly owned payments subsidiary serving more than 1.3 million customers across the United States, Europe and Canada, expanded its All-In-One payments platform across North America, built on Castles Technology Android devices and integrated with hospitality and retail point-of-sale providers including Agilysys, Oracle Simphony, Shiji and xnPOS. On 31 August 2026 U.S. Bank announced it is placing business bankers in Florida and Georgia for the first time and adding bankers in Dallas and Phoenix, targeting companies with annual sales of $2.5 million to $50 million; the business banking division now has more than 1,300 bankers and has added more than 50 client-facing roles in 2026, all outside the traditional 26-state branch footprint.</w:t>
      </w:r>
    </w:p>
    <w:p w14:paraId="2AFB9296" w14:textId="793B0AA3" w:rsidR="657611A1" w:rsidRDefault="657611A1">
      <w:r>
        <w:t>Technology and AI sit underneath all three priorities. Under Global Chief Information and Technology Officer Dilip Venkatachari, U.S. Bancorp reported technology and communications expense of $573 million in the first quarter of 2026 (up 7.5%) and expects to spend about $2.6 billion on technology and innovation this year, roughly 15% of revenue, concentrated on AI, cloud and cybersecurity. Digital engagement reached 83% of active customers (from 80% a year earlier), digital channels produced about 68% of consumer loan sales, mobile logins rose 12% year-over-year, and 75% of core applications now run in a hybrid cloud with a 90% target for 2027. The "One U.S. Bank" initiative aims to unify digital experiences across retail, corporate and payments. The Microsoft relationship is long-standing: in February 2022 the bank named Microsoft Azure its primary cloud, committed to embedding Elavon payments in Microsoft platforms such as Dynamics 365, and adopted Microsoft 365 and Teams, while keeping multiple public clouds for redundancy; 2026 coverage also references an Amazon partnership, consistent with that multi-cloud stance.</w:t>
      </w:r>
    </w:p>
    <w:p w14:paraId="1BFDFD63" w14:textId="79F90789" w:rsidR="657611A1" w:rsidRDefault="657611A1">
      <w:r w:rsidRPr="657611A1">
        <w:rPr>
          <w:i/>
          <w:iCs/>
          <w:color w:val="595959" w:themeColor="text1" w:themeTint="A6"/>
          <w:sz w:val="18"/>
          <w:szCs w:val="18"/>
        </w:rPr>
        <w:t>Sources for this section: public sources E1, E2, E3, E4, E5, E6, E7 and E9 (see Section 8).</w:t>
      </w:r>
    </w:p>
    <w:p w14:paraId="7D33F66C" w14:textId="516D5480" w:rsidR="657611A1" w:rsidRDefault="657611A1" w:rsidP="657611A1">
      <w:pPr>
        <w:pStyle w:val="Heading2"/>
      </w:pPr>
      <w:r w:rsidRPr="657611A1">
        <w:rPr>
          <w:color w:val="64381F"/>
        </w:rPr>
        <w:t xml:space="preserve">What </w:t>
      </w:r>
      <w:proofErr w:type="gramStart"/>
      <w:r w:rsidRPr="657611A1">
        <w:rPr>
          <w:color w:val="64381F"/>
        </w:rPr>
        <w:t>each</w:t>
      </w:r>
      <w:proofErr w:type="gramEnd"/>
      <w:r w:rsidRPr="657611A1">
        <w:rPr>
          <w:color w:val="64381F"/>
        </w:rPr>
        <w:t xml:space="preserve"> priority means for How2Demos</w:t>
      </w:r>
    </w:p>
    <w:tbl>
      <w:tblPr>
        <w:tblStyle w:val="TableGrid"/>
        <w:tblW w:w="0" w:type="auto"/>
        <w:tblLook w:val="0000" w:firstRow="0" w:lastRow="0" w:firstColumn="0" w:lastColumn="0" w:noHBand="0" w:noVBand="0"/>
      </w:tblPr>
      <w:tblGrid>
        <w:gridCol w:w="2200"/>
        <w:gridCol w:w="3580"/>
        <w:gridCol w:w="3580"/>
      </w:tblGrid>
      <w:tr w:rsidR="657611A1" w14:paraId="6F762B32" w14:textId="77777777" w:rsidTr="657611A1">
        <w:tc>
          <w:tcPr>
            <w:tcW w:w="2200" w:type="dxa"/>
          </w:tcPr>
          <w:p w14:paraId="692D8C62" w14:textId="5E8258AE" w:rsidR="657611A1" w:rsidRDefault="657611A1">
            <w:r>
              <w:t>U.S. Bank priority</w:t>
            </w:r>
          </w:p>
        </w:tc>
        <w:tc>
          <w:tcPr>
            <w:tcW w:w="3580" w:type="dxa"/>
          </w:tcPr>
          <w:p w14:paraId="2946EC1A" w14:textId="57603F72" w:rsidR="657611A1" w:rsidRDefault="657611A1">
            <w:r>
              <w:t>Evidence (2026)</w:t>
            </w:r>
          </w:p>
        </w:tc>
        <w:tc>
          <w:tcPr>
            <w:tcW w:w="3580" w:type="dxa"/>
          </w:tcPr>
          <w:p w14:paraId="4B556AC2" w14:textId="503E2636" w:rsidR="657611A1" w:rsidRDefault="657611A1">
            <w:r>
              <w:t>How2Demos angle</w:t>
            </w:r>
          </w:p>
        </w:tc>
      </w:tr>
      <w:tr w:rsidR="657611A1" w14:paraId="1438B3D2" w14:textId="77777777" w:rsidTr="657611A1">
        <w:tc>
          <w:tcPr>
            <w:tcW w:w="2200" w:type="dxa"/>
          </w:tcPr>
          <w:p w14:paraId="4AF518A4" w14:textId="675386AB" w:rsidR="657611A1" w:rsidRDefault="657611A1">
            <w:r>
              <w:t>Organic growth</w:t>
            </w:r>
          </w:p>
        </w:tc>
        <w:tc>
          <w:tcPr>
            <w:tcW w:w="3580" w:type="dxa"/>
          </w:tcPr>
          <w:p w14:paraId="5D823F3B" w14:textId="60316D6F" w:rsidR="657611A1" w:rsidRDefault="657611A1">
            <w:r>
              <w:t>Business banking expansion into FL, GA, TX and AZ; 1,300+ bankers; record consumer deposits; BTIG capital markets build-out</w:t>
            </w:r>
          </w:p>
        </w:tc>
        <w:tc>
          <w:tcPr>
            <w:tcW w:w="3580" w:type="dxa"/>
          </w:tcPr>
          <w:p w14:paraId="3EF5FAA2" w14:textId="590F5433" w:rsidR="657611A1" w:rsidRDefault="657611A1">
            <w:r>
              <w:t>Banker and advisor productivity agents on Microsoft 365 Copilot and Copilot Studio; onboarding and knowledge agents for newly hired bankers and BTIG teams</w:t>
            </w:r>
          </w:p>
        </w:tc>
      </w:tr>
      <w:tr w:rsidR="657611A1" w14:paraId="654280E2" w14:textId="77777777" w:rsidTr="657611A1">
        <w:tc>
          <w:tcPr>
            <w:tcW w:w="2200" w:type="dxa"/>
          </w:tcPr>
          <w:p w14:paraId="5DE94ED7" w14:textId="7024B4A8" w:rsidR="657611A1" w:rsidRDefault="657611A1">
            <w:proofErr w:type="gramStart"/>
            <w:r>
              <w:t>Payments</w:t>
            </w:r>
            <w:proofErr w:type="gramEnd"/>
            <w:r>
              <w:t xml:space="preserve"> transformation</w:t>
            </w:r>
          </w:p>
        </w:tc>
        <w:tc>
          <w:tcPr>
            <w:tcW w:w="3580" w:type="dxa"/>
          </w:tcPr>
          <w:p w14:paraId="70CEBC10" w14:textId="69029B6C" w:rsidR="657611A1" w:rsidRDefault="657611A1">
            <w:r>
              <w:t>Elavon All-In-One platform expansion; 2022 commitment to embed payments in Dynamics 365</w:t>
            </w:r>
          </w:p>
        </w:tc>
        <w:tc>
          <w:tcPr>
            <w:tcW w:w="3580" w:type="dxa"/>
          </w:tcPr>
          <w:p w14:paraId="4F2BCD71" w14:textId="61E08230" w:rsidR="657611A1" w:rsidRDefault="657611A1">
            <w:r>
              <w:t>Agent-enabled merchant onboarding and servicing; Dynamics 365 and Elavon integration patterns; partner-ecosystem enablement content</w:t>
            </w:r>
          </w:p>
        </w:tc>
      </w:tr>
      <w:tr w:rsidR="657611A1" w14:paraId="6BE1E6F1" w14:textId="77777777" w:rsidTr="657611A1">
        <w:tc>
          <w:tcPr>
            <w:tcW w:w="2200" w:type="dxa"/>
          </w:tcPr>
          <w:p w14:paraId="7ACE1CF8" w14:textId="78F5E2A5" w:rsidR="657611A1" w:rsidRDefault="657611A1">
            <w:r>
              <w:t xml:space="preserve">Expense </w:t>
            </w:r>
            <w:r>
              <w:lastRenderedPageBreak/>
              <w:t>management and productivity</w:t>
            </w:r>
          </w:p>
        </w:tc>
        <w:tc>
          <w:tcPr>
            <w:tcW w:w="3580" w:type="dxa"/>
          </w:tcPr>
          <w:p w14:paraId="4DDFB127" w14:textId="71D3C969" w:rsidR="657611A1" w:rsidRDefault="657611A1">
            <w:r>
              <w:lastRenderedPageBreak/>
              <w:t xml:space="preserve">Efficiency ratio 57.1%; 400 bps </w:t>
            </w:r>
            <w:r>
              <w:lastRenderedPageBreak/>
              <w:t>positive operating leverage; nine quarters of stable expenses; $2.6 billion technology budget; AI growth fund</w:t>
            </w:r>
          </w:p>
        </w:tc>
        <w:tc>
          <w:tcPr>
            <w:tcW w:w="3580" w:type="dxa"/>
          </w:tcPr>
          <w:p w14:paraId="2F51B2D3" w14:textId="6AB1B02D" w:rsidR="657611A1" w:rsidRDefault="657611A1">
            <w:r>
              <w:lastRenderedPageBreak/>
              <w:t xml:space="preserve">Agentic AI governance (five-pillar </w:t>
            </w:r>
            <w:r>
              <w:lastRenderedPageBreak/>
              <w:t>framework) so AI scales safely under the new Technology Committee; process mapping for high-volume operations workflows</w:t>
            </w:r>
          </w:p>
        </w:tc>
      </w:tr>
    </w:tbl>
    <w:p w14:paraId="6CA7E519" w14:textId="665D2079" w:rsidR="657611A1" w:rsidRDefault="657611A1" w:rsidP="657611A1">
      <w:pPr>
        <w:pStyle w:val="Heading1"/>
      </w:pPr>
      <w:r w:rsidRPr="657611A1">
        <w:rPr>
          <w:color w:val="64381F"/>
        </w:rPr>
        <w:lastRenderedPageBreak/>
        <w:t>3. Relationship Map</w:t>
      </w:r>
    </w:p>
    <w:p w14:paraId="2E3D5A3F" w14:textId="528525A9" w:rsidR="657611A1" w:rsidRDefault="657611A1">
      <w:r>
        <w:t>The map below separates what we know from public sources about who shapes U.S. Bank's technology and growth agenda from what our own records show about the relationship. The honest picture is that no U.S. Bank contact appears in our mailboxes, Teams chats, calendars or people directory, and no U.S. Bank documents exist in SharePoint or OneDrive. The stakeholders listed on the customer side are therefore targets, not relationships, and the status column says so. Names are taken only from U.S. Bancorp's own releases and filings; roles we could not confirm publicly (such as the CISO, the head of responsible AI and third-party risk leadership) are listed as roles to identify rather than guessed.</w:t>
      </w:r>
    </w:p>
    <w:p w14:paraId="36607546" w14:textId="43C2F686" w:rsidR="657611A1" w:rsidRDefault="657611A1" w:rsidP="657611A1">
      <w:pPr>
        <w:pStyle w:val="Heading2"/>
      </w:pPr>
      <w:r w:rsidRPr="657611A1">
        <w:rPr>
          <w:color w:val="64381F"/>
        </w:rPr>
        <w:t>U.S. Bank stakeholders (public record)</w:t>
      </w:r>
    </w:p>
    <w:tbl>
      <w:tblPr>
        <w:tblStyle w:val="TableGrid"/>
        <w:tblW w:w="0" w:type="auto"/>
        <w:tblLook w:val="0000" w:firstRow="0" w:lastRow="0" w:firstColumn="0" w:lastColumn="0" w:noHBand="0" w:noVBand="0"/>
      </w:tblPr>
      <w:tblGrid>
        <w:gridCol w:w="1700"/>
        <w:gridCol w:w="1800"/>
        <w:gridCol w:w="2300"/>
        <w:gridCol w:w="1402"/>
        <w:gridCol w:w="2260"/>
      </w:tblGrid>
      <w:tr w:rsidR="657611A1" w14:paraId="507AEB09" w14:textId="77777777" w:rsidTr="657611A1">
        <w:tc>
          <w:tcPr>
            <w:tcW w:w="1700" w:type="dxa"/>
          </w:tcPr>
          <w:p w14:paraId="6F03E78E" w14:textId="0A983E9F" w:rsidR="657611A1" w:rsidRDefault="657611A1">
            <w:r w:rsidRPr="657611A1">
              <w:rPr>
                <w:b/>
                <w:bCs/>
              </w:rPr>
              <w:t>Stakeholder</w:t>
            </w:r>
          </w:p>
        </w:tc>
        <w:tc>
          <w:tcPr>
            <w:tcW w:w="1800" w:type="dxa"/>
          </w:tcPr>
          <w:p w14:paraId="5D083E4F" w14:textId="03762563" w:rsidR="657611A1" w:rsidRDefault="657611A1">
            <w:r>
              <w:t>Role</w:t>
            </w:r>
          </w:p>
        </w:tc>
        <w:tc>
          <w:tcPr>
            <w:tcW w:w="2300" w:type="dxa"/>
          </w:tcPr>
          <w:p w14:paraId="36683456" w14:textId="7C540C27" w:rsidR="657611A1" w:rsidRDefault="657611A1">
            <w:r>
              <w:t>Why they matter</w:t>
            </w:r>
          </w:p>
        </w:tc>
        <w:tc>
          <w:tcPr>
            <w:tcW w:w="1300" w:type="dxa"/>
          </w:tcPr>
          <w:p w14:paraId="4489E908" w14:textId="7531F2EB" w:rsidR="657611A1" w:rsidRDefault="657611A1">
            <w:r>
              <w:t>Relationship status</w:t>
            </w:r>
          </w:p>
        </w:tc>
        <w:tc>
          <w:tcPr>
            <w:tcW w:w="2260" w:type="dxa"/>
          </w:tcPr>
          <w:p w14:paraId="600DDA16" w14:textId="6E0FD9AF" w:rsidR="657611A1" w:rsidRDefault="657611A1">
            <w:r>
              <w:t>Next step (owner)</w:t>
            </w:r>
          </w:p>
        </w:tc>
      </w:tr>
      <w:tr w:rsidR="657611A1" w14:paraId="3664D633" w14:textId="77777777" w:rsidTr="657611A1">
        <w:tc>
          <w:tcPr>
            <w:tcW w:w="1700" w:type="dxa"/>
          </w:tcPr>
          <w:p w14:paraId="609168B9" w14:textId="05253A24" w:rsidR="657611A1" w:rsidRDefault="657611A1">
            <w:r>
              <w:t>Gunjan Kedia</w:t>
            </w:r>
          </w:p>
        </w:tc>
        <w:tc>
          <w:tcPr>
            <w:tcW w:w="1800" w:type="dxa"/>
          </w:tcPr>
          <w:p w14:paraId="6CB115A7" w14:textId="7E0320E8" w:rsidR="657611A1" w:rsidRDefault="657611A1">
            <w:r>
              <w:t>Chairman, CEO and President</w:t>
            </w:r>
          </w:p>
        </w:tc>
        <w:tc>
          <w:tcPr>
            <w:tcW w:w="2300" w:type="dxa"/>
          </w:tcPr>
          <w:p w14:paraId="28C6AAC9" w14:textId="76E107AC" w:rsidR="657611A1" w:rsidRDefault="657611A1">
            <w:r>
              <w:t>Owns the three strategic priorities and the fee-growth and AI growth-fund narrative</w:t>
            </w:r>
          </w:p>
        </w:tc>
        <w:tc>
          <w:tcPr>
            <w:tcW w:w="1300" w:type="dxa"/>
          </w:tcPr>
          <w:p w14:paraId="30E295B7" w14:textId="6FBEEE70" w:rsidR="657611A1" w:rsidRDefault="657611A1">
            <w:r>
              <w:t>No contact recorded</w:t>
            </w:r>
          </w:p>
        </w:tc>
        <w:tc>
          <w:tcPr>
            <w:tcW w:w="2260" w:type="dxa"/>
          </w:tcPr>
          <w:p w14:paraId="577BAB23" w14:textId="689CD534" w:rsidR="657611A1" w:rsidRDefault="657611A1">
            <w:r>
              <w:t>Executive-sponsor target after a pilot proves value; brief via a one-page value letter (Bojan Buhac)</w:t>
            </w:r>
          </w:p>
        </w:tc>
      </w:tr>
      <w:tr w:rsidR="657611A1" w14:paraId="5381EDEE" w14:textId="77777777" w:rsidTr="657611A1">
        <w:tc>
          <w:tcPr>
            <w:tcW w:w="1700" w:type="dxa"/>
          </w:tcPr>
          <w:p w14:paraId="53711CD9" w14:textId="7FB235A9" w:rsidR="657611A1" w:rsidRDefault="657611A1">
            <w:r>
              <w:t>John Stern</w:t>
            </w:r>
          </w:p>
        </w:tc>
        <w:tc>
          <w:tcPr>
            <w:tcW w:w="1800" w:type="dxa"/>
          </w:tcPr>
          <w:p w14:paraId="2C465609" w14:textId="78901C6D" w:rsidR="657611A1" w:rsidRDefault="657611A1">
            <w:r>
              <w:t>Vice Chair and Chief Financial Officer</w:t>
            </w:r>
          </w:p>
        </w:tc>
        <w:tc>
          <w:tcPr>
            <w:tcW w:w="2300" w:type="dxa"/>
          </w:tcPr>
          <w:p w14:paraId="67241EC4" w14:textId="716E0331" w:rsidR="657611A1" w:rsidRDefault="657611A1">
            <w:r>
              <w:t>Guards expense discipline and positive operating leverage; funds technology investment</w:t>
            </w:r>
          </w:p>
        </w:tc>
        <w:tc>
          <w:tcPr>
            <w:tcW w:w="1300" w:type="dxa"/>
          </w:tcPr>
          <w:p w14:paraId="343FAC8D" w14:textId="6A4BE9F5" w:rsidR="657611A1" w:rsidRDefault="657611A1">
            <w:r>
              <w:t>No contact recorded</w:t>
            </w:r>
          </w:p>
        </w:tc>
        <w:tc>
          <w:tcPr>
            <w:tcW w:w="2260" w:type="dxa"/>
          </w:tcPr>
          <w:p w14:paraId="7D28D1AD" w14:textId="6329D0B9" w:rsidR="657611A1" w:rsidRDefault="657611A1">
            <w:r>
              <w:t>Frame every proposal in efficiency-ratio and operating-leverage terms (Bojan Buhac)</w:t>
            </w:r>
          </w:p>
        </w:tc>
      </w:tr>
      <w:tr w:rsidR="657611A1" w14:paraId="4DDA7A77" w14:textId="77777777" w:rsidTr="657611A1">
        <w:tc>
          <w:tcPr>
            <w:tcW w:w="1700" w:type="dxa"/>
          </w:tcPr>
          <w:p w14:paraId="1A184CF7" w14:textId="7A3F312E" w:rsidR="657611A1" w:rsidRDefault="657611A1">
            <w:r>
              <w:t>Dilip Venkatachari</w:t>
            </w:r>
          </w:p>
        </w:tc>
        <w:tc>
          <w:tcPr>
            <w:tcW w:w="1800" w:type="dxa"/>
          </w:tcPr>
          <w:p w14:paraId="108A9601" w14:textId="731D17F2" w:rsidR="657611A1" w:rsidRDefault="657611A1">
            <w:r>
              <w:t>Global Chief Information and Technology Officer</w:t>
            </w:r>
          </w:p>
        </w:tc>
        <w:tc>
          <w:tcPr>
            <w:tcW w:w="2300" w:type="dxa"/>
          </w:tcPr>
          <w:p w14:paraId="1A005856" w14:textId="6BFAFEB6" w:rsidR="657611A1" w:rsidRDefault="657611A1">
            <w:r>
              <w:t>Leads technology, digital and AI; public sponsor of the Microsoft Azure partnership since 2022</w:t>
            </w:r>
          </w:p>
        </w:tc>
        <w:tc>
          <w:tcPr>
            <w:tcW w:w="1300" w:type="dxa"/>
          </w:tcPr>
          <w:p w14:paraId="65FC42BC" w14:textId="64D8E57A" w:rsidR="657611A1" w:rsidRDefault="657611A1">
            <w:r>
              <w:t>No contact recorded</w:t>
            </w:r>
          </w:p>
        </w:tc>
        <w:tc>
          <w:tcPr>
            <w:tcW w:w="2260" w:type="dxa"/>
          </w:tcPr>
          <w:p w14:paraId="401D7BE9" w14:textId="5DB6CC3E" w:rsidR="657611A1" w:rsidRDefault="657611A1">
            <w:r>
              <w:t>Primary sponsor target; request an introduction through the Microsoft account team (Bojan Buhac)</w:t>
            </w:r>
          </w:p>
        </w:tc>
      </w:tr>
      <w:tr w:rsidR="657611A1" w14:paraId="32FD1EAD" w14:textId="77777777" w:rsidTr="657611A1">
        <w:tc>
          <w:tcPr>
            <w:tcW w:w="1700" w:type="dxa"/>
          </w:tcPr>
          <w:p w14:paraId="1779EABF" w14:textId="74CC2CB3" w:rsidR="657611A1" w:rsidRDefault="657611A1">
            <w:r>
              <w:t>Dee O'Dell</w:t>
            </w:r>
          </w:p>
        </w:tc>
        <w:tc>
          <w:tcPr>
            <w:tcW w:w="1800" w:type="dxa"/>
          </w:tcPr>
          <w:p w14:paraId="229C6C9E" w14:textId="6DAA1377" w:rsidR="657611A1" w:rsidRDefault="657611A1">
            <w:r>
              <w:t>Head of Business Banking Sales</w:t>
            </w:r>
          </w:p>
        </w:tc>
        <w:tc>
          <w:tcPr>
            <w:tcW w:w="2300" w:type="dxa"/>
          </w:tcPr>
          <w:p w14:paraId="5B3886E9" w14:textId="6687FA3B" w:rsidR="657611A1" w:rsidRDefault="657611A1">
            <w:r>
              <w:t>Leads 1,300+ business bankers and the FL, GA, TX and AZ expansion announced 31 August 2026</w:t>
            </w:r>
          </w:p>
        </w:tc>
        <w:tc>
          <w:tcPr>
            <w:tcW w:w="1300" w:type="dxa"/>
          </w:tcPr>
          <w:p w14:paraId="4EB978C5" w14:textId="5F65E0FF" w:rsidR="657611A1" w:rsidRDefault="657611A1">
            <w:r>
              <w:t>No contact recorded</w:t>
            </w:r>
          </w:p>
        </w:tc>
        <w:tc>
          <w:tcPr>
            <w:tcW w:w="2260" w:type="dxa"/>
          </w:tcPr>
          <w:p w14:paraId="24F2F2E9" w14:textId="5843C7C3" w:rsidR="657611A1" w:rsidRDefault="657611A1">
            <w:r>
              <w:t>Business sponsor target for a banker-productivity pilot (Valene Samuels)</w:t>
            </w:r>
          </w:p>
        </w:tc>
      </w:tr>
      <w:tr w:rsidR="657611A1" w14:paraId="334B9E40" w14:textId="77777777" w:rsidTr="657611A1">
        <w:tc>
          <w:tcPr>
            <w:tcW w:w="1700" w:type="dxa"/>
          </w:tcPr>
          <w:p w14:paraId="6FC41349" w14:textId="6F592838" w:rsidR="657611A1" w:rsidRDefault="657611A1">
            <w:r>
              <w:t>Pari Sawant</w:t>
            </w:r>
          </w:p>
        </w:tc>
        <w:tc>
          <w:tcPr>
            <w:tcW w:w="1800" w:type="dxa"/>
          </w:tcPr>
          <w:p w14:paraId="27CD8969" w14:textId="68370EFC" w:rsidR="657611A1" w:rsidRDefault="657611A1">
            <w:r>
              <w:t>Chief Product Officer, Elavon</w:t>
            </w:r>
          </w:p>
        </w:tc>
        <w:tc>
          <w:tcPr>
            <w:tcW w:w="2300" w:type="dxa"/>
          </w:tcPr>
          <w:p w14:paraId="7551D123" w14:textId="6114F5C0" w:rsidR="657611A1" w:rsidRDefault="657611A1">
            <w:r>
              <w:t>Owns the All-In-One payments platform and its technology partner ecosystem</w:t>
            </w:r>
          </w:p>
        </w:tc>
        <w:tc>
          <w:tcPr>
            <w:tcW w:w="1300" w:type="dxa"/>
          </w:tcPr>
          <w:p w14:paraId="31C10178" w14:textId="59F2DC84" w:rsidR="657611A1" w:rsidRDefault="657611A1">
            <w:r>
              <w:t>No contact recorded</w:t>
            </w:r>
          </w:p>
        </w:tc>
        <w:tc>
          <w:tcPr>
            <w:tcW w:w="2260" w:type="dxa"/>
          </w:tcPr>
          <w:p w14:paraId="631A73CF" w14:textId="52D0C348" w:rsidR="657611A1" w:rsidRDefault="657611A1">
            <w:r>
              <w:t>Payments and merchant-servicing agent use cases; approach after core banking pilot is scoped (Valene Samuels)</w:t>
            </w:r>
          </w:p>
        </w:tc>
      </w:tr>
      <w:tr w:rsidR="657611A1" w14:paraId="3748D931" w14:textId="77777777" w:rsidTr="657611A1">
        <w:tc>
          <w:tcPr>
            <w:tcW w:w="1700" w:type="dxa"/>
          </w:tcPr>
          <w:p w14:paraId="4EB7DA3A" w14:textId="69E623BD" w:rsidR="657611A1" w:rsidRDefault="657611A1">
            <w:r>
              <w:lastRenderedPageBreak/>
              <w:t>Board Technology Committee</w:t>
            </w:r>
          </w:p>
        </w:tc>
        <w:tc>
          <w:tcPr>
            <w:tcW w:w="1800" w:type="dxa"/>
          </w:tcPr>
          <w:p w14:paraId="1F0294EF" w14:textId="62C40A81" w:rsidR="657611A1" w:rsidRDefault="657611A1">
            <w:r>
              <w:t>Board oversight of technology strategy, AI and cybersecurity (effective 1 January 2026)</w:t>
            </w:r>
          </w:p>
        </w:tc>
        <w:tc>
          <w:tcPr>
            <w:tcW w:w="2300" w:type="dxa"/>
          </w:tcPr>
          <w:p w14:paraId="5EBCBC90" w14:textId="5BA1F145" w:rsidR="657611A1" w:rsidRDefault="657611A1">
            <w:r>
              <w:t>Sets the governance expectations any AI programme must satisfy</w:t>
            </w:r>
          </w:p>
        </w:tc>
        <w:tc>
          <w:tcPr>
            <w:tcW w:w="1300" w:type="dxa"/>
          </w:tcPr>
          <w:p w14:paraId="45F29332" w14:textId="547FD809" w:rsidR="657611A1" w:rsidRDefault="657611A1">
            <w:r>
              <w:t>Not applicable (governance body)</w:t>
            </w:r>
          </w:p>
        </w:tc>
        <w:tc>
          <w:tcPr>
            <w:tcW w:w="2260" w:type="dxa"/>
          </w:tcPr>
          <w:p w14:paraId="46594464" w14:textId="4D5DBECD" w:rsidR="657611A1" w:rsidRDefault="657611A1">
            <w:r>
              <w:t>Align pilot governance evidence to the committee's stated oversight areas (Bojan Buhac)</w:t>
            </w:r>
          </w:p>
        </w:tc>
      </w:tr>
      <w:tr w:rsidR="657611A1" w14:paraId="683B0646" w14:textId="77777777" w:rsidTr="657611A1">
        <w:tc>
          <w:tcPr>
            <w:tcW w:w="1700" w:type="dxa"/>
          </w:tcPr>
          <w:p w14:paraId="1FEC7E77" w14:textId="64731F42" w:rsidR="657611A1" w:rsidRDefault="657611A1">
            <w:r>
              <w:t>CISO, responsible-AI lead, third-party risk lead</w:t>
            </w:r>
          </w:p>
        </w:tc>
        <w:tc>
          <w:tcPr>
            <w:tcW w:w="1800" w:type="dxa"/>
          </w:tcPr>
          <w:p w14:paraId="24C173FA" w14:textId="5D510606" w:rsidR="657611A1" w:rsidRDefault="657611A1">
            <w:r>
              <w:t>Roles to identify</w:t>
            </w:r>
          </w:p>
        </w:tc>
        <w:tc>
          <w:tcPr>
            <w:tcW w:w="2300" w:type="dxa"/>
          </w:tcPr>
          <w:p w14:paraId="7BEFE594" w14:textId="562EECCA" w:rsidR="657611A1" w:rsidRDefault="657611A1">
            <w:r>
              <w:t>Gatekeepers for vendor onboarding, data handling and model risk</w:t>
            </w:r>
          </w:p>
        </w:tc>
        <w:tc>
          <w:tcPr>
            <w:tcW w:w="1300" w:type="dxa"/>
          </w:tcPr>
          <w:p w14:paraId="5441BD5C" w14:textId="4F0CD38E" w:rsidR="657611A1" w:rsidRDefault="657611A1">
            <w:r>
              <w:t>Unknown</w:t>
            </w:r>
          </w:p>
        </w:tc>
        <w:tc>
          <w:tcPr>
            <w:tcW w:w="2260" w:type="dxa"/>
          </w:tcPr>
          <w:p w14:paraId="481DE2BC" w14:textId="47EABA52" w:rsidR="657611A1" w:rsidRDefault="657611A1">
            <w:r>
              <w:t>Identify names in discovery; prepare security and governance pack in advance (Valene Samuels)</w:t>
            </w:r>
          </w:p>
        </w:tc>
      </w:tr>
    </w:tbl>
    <w:p w14:paraId="678BB4B5" w14:textId="4AC99C9E" w:rsidR="657611A1" w:rsidRDefault="657611A1" w:rsidP="657611A1">
      <w:pPr>
        <w:pStyle w:val="Heading2"/>
      </w:pPr>
      <w:r w:rsidRPr="657611A1">
        <w:rPr>
          <w:color w:val="64381F"/>
        </w:rPr>
        <w:t>How2Demos account team and internal engagement history</w:t>
      </w:r>
    </w:p>
    <w:tbl>
      <w:tblPr>
        <w:tblStyle w:val="TableGrid"/>
        <w:tblW w:w="0" w:type="auto"/>
        <w:tblLook w:val="0000" w:firstRow="0" w:lastRow="0" w:firstColumn="0" w:lastColumn="0" w:noHBand="0" w:noVBand="0"/>
      </w:tblPr>
      <w:tblGrid>
        <w:gridCol w:w="1900"/>
        <w:gridCol w:w="2600"/>
        <w:gridCol w:w="4860"/>
      </w:tblGrid>
      <w:tr w:rsidR="657611A1" w14:paraId="7ACE82E0" w14:textId="77777777" w:rsidTr="657611A1">
        <w:tc>
          <w:tcPr>
            <w:tcW w:w="1900" w:type="dxa"/>
          </w:tcPr>
          <w:p w14:paraId="6BBDFAD8" w14:textId="144CF4ED" w:rsidR="657611A1" w:rsidRDefault="657611A1">
            <w:r w:rsidRPr="657611A1">
              <w:rPr>
                <w:b/>
                <w:bCs/>
              </w:rPr>
              <w:t>Team member</w:t>
            </w:r>
          </w:p>
        </w:tc>
        <w:tc>
          <w:tcPr>
            <w:tcW w:w="2600" w:type="dxa"/>
          </w:tcPr>
          <w:p w14:paraId="7BA03A9F" w14:textId="0D2ADBB1" w:rsidR="657611A1" w:rsidRDefault="657611A1">
            <w:r>
              <w:t>Role on the account</w:t>
            </w:r>
          </w:p>
        </w:tc>
        <w:tc>
          <w:tcPr>
            <w:tcW w:w="4860" w:type="dxa"/>
          </w:tcPr>
          <w:p w14:paraId="101DACCD" w14:textId="0608C275" w:rsidR="657611A1" w:rsidRDefault="657611A1">
            <w:r>
              <w:t>Evidence and notes</w:t>
            </w:r>
          </w:p>
        </w:tc>
      </w:tr>
      <w:tr w:rsidR="657611A1" w14:paraId="7581CA9E" w14:textId="77777777" w:rsidTr="657611A1">
        <w:tc>
          <w:tcPr>
            <w:tcW w:w="1900" w:type="dxa"/>
          </w:tcPr>
          <w:p w14:paraId="7847C092" w14:textId="1D1E22EA" w:rsidR="657611A1" w:rsidRDefault="657611A1">
            <w:r>
              <w:t>Bojan Buhac</w:t>
            </w:r>
          </w:p>
        </w:tc>
        <w:tc>
          <w:tcPr>
            <w:tcW w:w="2600" w:type="dxa"/>
          </w:tcPr>
          <w:p w14:paraId="49782749" w14:textId="15FC09AE" w:rsidR="657611A1" w:rsidRDefault="657611A1">
            <w:r>
              <w:t>Account plan owner; consultant lead</w:t>
            </w:r>
          </w:p>
        </w:tc>
        <w:tc>
          <w:tcPr>
            <w:tcW w:w="4860" w:type="dxa"/>
          </w:tcPr>
          <w:p w14:paraId="4244DA26" w14:textId="0ED9F072" w:rsidR="657611A1" w:rsidRDefault="657611A1">
            <w:r>
              <w:t>Consultant, External Consultant department, Toronto; author of the AI Agent Central pillar evidence sets and the T.I.G.RE.S statement of work (v1.7, 16 July 2026)</w:t>
            </w:r>
          </w:p>
        </w:tc>
      </w:tr>
      <w:tr w:rsidR="657611A1" w14:paraId="73E32EC4" w14:textId="77777777" w:rsidTr="657611A1">
        <w:tc>
          <w:tcPr>
            <w:tcW w:w="1900" w:type="dxa"/>
          </w:tcPr>
          <w:p w14:paraId="1050C8BE" w14:textId="25EF50E7" w:rsidR="657611A1" w:rsidRDefault="657611A1">
            <w:r>
              <w:t>Valene Samuels</w:t>
            </w:r>
          </w:p>
        </w:tc>
        <w:tc>
          <w:tcPr>
            <w:tcW w:w="2600" w:type="dxa"/>
          </w:tcPr>
          <w:p w14:paraId="77F5D7EC" w14:textId="1ECD37AB" w:rsidR="657611A1" w:rsidRDefault="657611A1">
            <w:r>
              <w:t>Technical lead; demo environment owner</w:t>
            </w:r>
          </w:p>
        </w:tc>
        <w:tc>
          <w:tcPr>
            <w:tcW w:w="4860" w:type="dxa"/>
          </w:tcPr>
          <w:p w14:paraId="275798DE" w14:textId="17AB1E6F" w:rsidR="657611A1" w:rsidRDefault="657611A1">
            <w:r>
              <w:t>Consultant, Information Technology; activated the AI Administrator role on 2 June 2026 (15:53 UTC to 3 June 03:53 UTC) with justification "Customer demo prep - US Bank"</w:t>
            </w:r>
          </w:p>
        </w:tc>
      </w:tr>
      <w:tr w:rsidR="657611A1" w14:paraId="79FDA1B6" w14:textId="77777777" w:rsidTr="657611A1">
        <w:tc>
          <w:tcPr>
            <w:tcW w:w="1900" w:type="dxa"/>
          </w:tcPr>
          <w:p w14:paraId="47718DA2" w14:textId="2EC07EE4" w:rsidR="657611A1" w:rsidRDefault="657611A1">
            <w:r>
              <w:t>Lisa Taylor</w:t>
            </w:r>
          </w:p>
        </w:tc>
        <w:tc>
          <w:tcPr>
            <w:tcW w:w="2600" w:type="dxa"/>
          </w:tcPr>
          <w:p w14:paraId="38C53EA1" w14:textId="279E65A8" w:rsidR="657611A1" w:rsidRDefault="657611A1">
            <w:r>
              <w:t>Line manager; approvals and escalation</w:t>
            </w:r>
          </w:p>
        </w:tc>
        <w:tc>
          <w:tcPr>
            <w:tcW w:w="4860" w:type="dxa"/>
          </w:tcPr>
          <w:p w14:paraId="50A4197A" w14:textId="207C4C6C" w:rsidR="657611A1" w:rsidRDefault="657611A1">
            <w:r>
              <w:t>Director Human Resources; approves Cowork plan requests for the account team</w:t>
            </w:r>
          </w:p>
        </w:tc>
      </w:tr>
      <w:tr w:rsidR="657611A1" w14:paraId="1DC67735" w14:textId="77777777" w:rsidTr="657611A1">
        <w:tc>
          <w:tcPr>
            <w:tcW w:w="1900" w:type="dxa"/>
          </w:tcPr>
          <w:p w14:paraId="31D29282" w14:textId="3791ACE1" w:rsidR="657611A1" w:rsidRDefault="657611A1">
            <w:r>
              <w:t>AI Agent Central team</w:t>
            </w:r>
          </w:p>
        </w:tc>
        <w:tc>
          <w:tcPr>
            <w:tcW w:w="2600" w:type="dxa"/>
          </w:tcPr>
          <w:p w14:paraId="2D72C9C3" w14:textId="306F93A5" w:rsidR="657611A1" w:rsidRDefault="657611A1">
            <w:r>
              <w:t>Governance content owners</w:t>
            </w:r>
          </w:p>
        </w:tc>
        <w:tc>
          <w:tcPr>
            <w:tcW w:w="4860" w:type="dxa"/>
          </w:tcPr>
          <w:p w14:paraId="69020EA5" w14:textId="294D7A69" w:rsidR="657611A1" w:rsidRDefault="657611A1">
            <w:r>
              <w:t>Teams team "AI Agent Central" (AI Agent Governance team) and the AIAC SharePoint site holding the five pillar templates and customer evidence folders (ESS, TITAN, Zava S2P Agent, Mobile Phone Configuration Agent, Marketing Insight Assistant)</w:t>
            </w:r>
          </w:p>
        </w:tc>
      </w:tr>
    </w:tbl>
    <w:p w14:paraId="381E7FE6" w14:textId="3F923444" w:rsidR="657611A1" w:rsidRDefault="657611A1">
      <w:r>
        <w:t>Engagement history is short. The single dated event is the 2 June 2026 demo preparation recorded through a Privileged Identity Management notification; there is no record of the demo itself, of who attended from U.S. Bank, or of any follow-up. Searches of email, Teams, calendar and files for "US Bank", "U.S. Bancorp" and related terms on 3 September 2026 returned nothing further. Reconstructing that June session (audience, content shown, reactions) is the first task in the 90-day plan, because it is the only warm thread we hold.</w:t>
      </w:r>
    </w:p>
    <w:p w14:paraId="5E21616E" w14:textId="6723AAA2" w:rsidR="657611A1" w:rsidRDefault="657611A1">
      <w:r w:rsidRPr="657611A1">
        <w:rPr>
          <w:i/>
          <w:iCs/>
          <w:color w:val="595959" w:themeColor="text1" w:themeTint="A6"/>
          <w:sz w:val="18"/>
          <w:szCs w:val="18"/>
        </w:rPr>
        <w:t>Sources for this section: internal records I1 to I5; public sources E1, E3, E6, E7 and E9 (see Section 8).</w:t>
      </w:r>
    </w:p>
    <w:p w14:paraId="685FD3A0" w14:textId="7232CB9F" w:rsidR="657611A1" w:rsidRDefault="657611A1" w:rsidP="657611A1">
      <w:pPr>
        <w:pStyle w:val="Heading1"/>
      </w:pPr>
      <w:r w:rsidRPr="657611A1">
        <w:rPr>
          <w:color w:val="64381F"/>
          <w:sz w:val="32"/>
          <w:szCs w:val="32"/>
        </w:rPr>
        <w:t>4. Open Opportunities</w:t>
      </w:r>
    </w:p>
    <w:p w14:paraId="134BAA17" w14:textId="1CB3F97E" w:rsidR="657611A1" w:rsidRDefault="657611A1">
      <w:r w:rsidRPr="657611A1">
        <w:rPr>
          <w:b/>
          <w:bCs/>
        </w:rPr>
        <w:t xml:space="preserve">Every opportunity below is at an unqualified stage: none has a named U.S. Bank sponsor, budget or timeline attached, and no deal values are estimated here because we hold no customer-provided data to size them. They are ranked by fit between a documented U.S. Bank priority and a capability How2Demos has already delivered and evidenced (the AI Agent Central pillar assessments and the T.I.G.RE.S agent architecture engagement). The </w:t>
      </w:r>
      <w:r w:rsidRPr="657611A1">
        <w:rPr>
          <w:b/>
          <w:bCs/>
        </w:rPr>
        <w:lastRenderedPageBreak/>
        <w:t>intent of the 90-day plan is to qualify the top two into a discovery workshop and a scoped pilot proposal, and to park or drop the rest based on what discovery reveals.</w:t>
      </w:r>
    </w:p>
    <w:tbl>
      <w:tblPr>
        <w:tblStyle w:val="TableGrid"/>
        <w:tblW w:w="0" w:type="auto"/>
        <w:tblLook w:val="0000" w:firstRow="0" w:lastRow="0" w:firstColumn="0" w:lastColumn="0" w:noHBand="0" w:noVBand="0"/>
      </w:tblPr>
      <w:tblGrid>
        <w:gridCol w:w="400"/>
        <w:gridCol w:w="1800"/>
        <w:gridCol w:w="2700"/>
        <w:gridCol w:w="2600"/>
        <w:gridCol w:w="1860"/>
      </w:tblGrid>
      <w:tr w:rsidR="657611A1" w14:paraId="7171753D" w14:textId="77777777" w:rsidTr="657611A1">
        <w:tc>
          <w:tcPr>
            <w:tcW w:w="400" w:type="dxa"/>
          </w:tcPr>
          <w:p w14:paraId="35521377" w14:textId="2AFC8F2A" w:rsidR="657611A1" w:rsidRDefault="657611A1">
            <w:r>
              <w:t>#</w:t>
            </w:r>
          </w:p>
        </w:tc>
        <w:tc>
          <w:tcPr>
            <w:tcW w:w="1800" w:type="dxa"/>
          </w:tcPr>
          <w:p w14:paraId="70024526" w14:textId="23DA75EE" w:rsidR="657611A1" w:rsidRDefault="657611A1">
            <w:r>
              <w:t>Opportunity</w:t>
            </w:r>
          </w:p>
        </w:tc>
        <w:tc>
          <w:tcPr>
            <w:tcW w:w="2700" w:type="dxa"/>
          </w:tcPr>
          <w:p w14:paraId="65FB600A" w14:textId="1CB85CB2" w:rsidR="657611A1" w:rsidRDefault="657611A1">
            <w:r>
              <w:t>U.S. Bank driver (evidence)</w:t>
            </w:r>
          </w:p>
        </w:tc>
        <w:tc>
          <w:tcPr>
            <w:tcW w:w="2600" w:type="dxa"/>
          </w:tcPr>
          <w:p w14:paraId="5F4D62F3" w14:textId="15964376" w:rsidR="657611A1" w:rsidRDefault="657611A1">
            <w:r>
              <w:t>How2Demos offer and proof point</w:t>
            </w:r>
          </w:p>
        </w:tc>
        <w:tc>
          <w:tcPr>
            <w:tcW w:w="1860" w:type="dxa"/>
          </w:tcPr>
          <w:p w14:paraId="3DB2155D" w14:textId="0E742A3A" w:rsidR="657611A1" w:rsidRDefault="657611A1">
            <w:r>
              <w:t>Stage and next step</w:t>
            </w:r>
          </w:p>
        </w:tc>
      </w:tr>
      <w:tr w:rsidR="657611A1" w14:paraId="44F0E985" w14:textId="77777777" w:rsidTr="657611A1">
        <w:tc>
          <w:tcPr>
            <w:tcW w:w="400" w:type="dxa"/>
          </w:tcPr>
          <w:p w14:paraId="546DCB60" w14:textId="25898AAF" w:rsidR="657611A1" w:rsidRDefault="657611A1">
            <w:r>
              <w:t>1</w:t>
            </w:r>
          </w:p>
        </w:tc>
        <w:tc>
          <w:tcPr>
            <w:tcW w:w="1800" w:type="dxa"/>
          </w:tcPr>
          <w:p w14:paraId="22CA046E" w14:textId="1E677173" w:rsidR="657611A1" w:rsidRDefault="657611A1">
            <w:r>
              <w:t>Agentic AI governance operating model</w:t>
            </w:r>
          </w:p>
        </w:tc>
        <w:tc>
          <w:tcPr>
            <w:tcW w:w="2700" w:type="dxa"/>
          </w:tcPr>
          <w:p w14:paraId="3792D79F" w14:textId="17455837" w:rsidR="657611A1" w:rsidRDefault="657611A1">
            <w:r>
              <w:t xml:space="preserve">Board Technology Committee created 1 January 2026 to oversee AI and cybersecurity; AI moved from pilots to full-scale deployment; Category II preparation </w:t>
            </w:r>
            <w:proofErr w:type="gramStart"/>
            <w:r>
              <w:t>raising</w:t>
            </w:r>
            <w:proofErr w:type="gramEnd"/>
            <w:r>
              <w:t xml:space="preserve"> control expectations</w:t>
            </w:r>
          </w:p>
        </w:tc>
        <w:tc>
          <w:tcPr>
            <w:tcW w:w="2600" w:type="dxa"/>
          </w:tcPr>
          <w:p w14:paraId="33753BC5" w14:textId="10233EFB" w:rsidR="657611A1" w:rsidRDefault="657611A1">
            <w:r>
              <w:t>Five-pillar AI Agent Central readiness assessment (business and AI strategy, process mapping, technology and data, security and governance); proof point: Zava S2P Agent pillar evidence set</w:t>
            </w:r>
          </w:p>
        </w:tc>
        <w:tc>
          <w:tcPr>
            <w:tcW w:w="1860" w:type="dxa"/>
          </w:tcPr>
          <w:p w14:paraId="7D002079" w14:textId="090125BF" w:rsidR="657611A1" w:rsidRDefault="657611A1">
            <w:r>
              <w:t>Unqualified. Propose a four-week governance readiness assessment in the discovery workshop</w:t>
            </w:r>
          </w:p>
        </w:tc>
      </w:tr>
      <w:tr w:rsidR="657611A1" w14:paraId="33FB0FD4" w14:textId="77777777" w:rsidTr="657611A1">
        <w:tc>
          <w:tcPr>
            <w:tcW w:w="400" w:type="dxa"/>
          </w:tcPr>
          <w:p w14:paraId="1E585A6F" w14:textId="20168634" w:rsidR="657611A1" w:rsidRDefault="657611A1">
            <w:r>
              <w:t>2</w:t>
            </w:r>
          </w:p>
        </w:tc>
        <w:tc>
          <w:tcPr>
            <w:tcW w:w="1800" w:type="dxa"/>
          </w:tcPr>
          <w:p w14:paraId="7B0D8E64" w14:textId="18F46CF8" w:rsidR="657611A1" w:rsidRDefault="657611A1">
            <w:r>
              <w:t>Microsoft 365 Copilot and agent enablement</w:t>
            </w:r>
          </w:p>
        </w:tc>
        <w:tc>
          <w:tcPr>
            <w:tcW w:w="2700" w:type="dxa"/>
          </w:tcPr>
          <w:p w14:paraId="407D0DE7" w14:textId="11D253BC" w:rsidR="657611A1" w:rsidRDefault="657611A1">
            <w:r>
              <w:t>Microsoft 365 and Teams adopted enterprise-wide since 2022; nearly 70,000 employees; management "growth fund for AI projects"; productivity is a stated strategic priority</w:t>
            </w:r>
          </w:p>
        </w:tc>
        <w:tc>
          <w:tcPr>
            <w:tcW w:w="2600" w:type="dxa"/>
          </w:tcPr>
          <w:p w14:paraId="259EF771" w14:textId="0AB03A80" w:rsidR="657611A1" w:rsidRDefault="657611A1">
            <w:r>
              <w:t>Copilot adoption and Copilot Studio agent-building programme with governance guardrails; proof point: the 2 June 2026 demo environment prepared by Valene Samuels</w:t>
            </w:r>
          </w:p>
        </w:tc>
        <w:tc>
          <w:tcPr>
            <w:tcW w:w="1860" w:type="dxa"/>
          </w:tcPr>
          <w:p w14:paraId="549D02B9" w14:textId="038E2144" w:rsidR="657611A1" w:rsidRDefault="657611A1">
            <w:r>
              <w:t>Demo prepared June 2026, outcome unrecorded. Reconstruct the session and follow up with attendees</w:t>
            </w:r>
          </w:p>
        </w:tc>
      </w:tr>
      <w:tr w:rsidR="657611A1" w14:paraId="77DE6755" w14:textId="77777777" w:rsidTr="657611A1">
        <w:tc>
          <w:tcPr>
            <w:tcW w:w="400" w:type="dxa"/>
          </w:tcPr>
          <w:p w14:paraId="5EB50A02" w14:textId="1AA381B9" w:rsidR="657611A1" w:rsidRDefault="657611A1">
            <w:r>
              <w:t>3</w:t>
            </w:r>
          </w:p>
        </w:tc>
        <w:tc>
          <w:tcPr>
            <w:tcW w:w="1800" w:type="dxa"/>
          </w:tcPr>
          <w:p w14:paraId="7E96D989" w14:textId="1381687D" w:rsidR="657611A1" w:rsidRDefault="657611A1">
            <w:r>
              <w:t>Business banker productivity and onboarding agents</w:t>
            </w:r>
          </w:p>
        </w:tc>
        <w:tc>
          <w:tcPr>
            <w:tcW w:w="2700" w:type="dxa"/>
          </w:tcPr>
          <w:p w14:paraId="2391E6B2" w14:textId="0C5F4F41" w:rsidR="657611A1" w:rsidRDefault="657611A1">
            <w:r>
              <w:t>Business banking expansion into Florida, Georgia, Texas and Arizona (31 August 2026); 1,300+ bankers; 50+ client-facing hires in 2026 serving $2.5 million to $50 million companies</w:t>
            </w:r>
          </w:p>
        </w:tc>
        <w:tc>
          <w:tcPr>
            <w:tcW w:w="2600" w:type="dxa"/>
          </w:tcPr>
          <w:p w14:paraId="640DFAB2" w14:textId="053D3605" w:rsidR="657611A1" w:rsidRDefault="657611A1">
            <w:r>
              <w:t>Knowledge, onboarding and meeting-prep agents for bankers built on Microsoft 365 Copilot; proof point: T.I.G.RE.S insight-agent architecture</w:t>
            </w:r>
          </w:p>
        </w:tc>
        <w:tc>
          <w:tcPr>
            <w:tcW w:w="1860" w:type="dxa"/>
          </w:tcPr>
          <w:p w14:paraId="682FE041" w14:textId="7E1B1CC9" w:rsidR="657611A1" w:rsidRDefault="657611A1">
            <w:r>
              <w:t>Unqualified. Target Dee O'Dell's organisation for a discovery conversation</w:t>
            </w:r>
          </w:p>
        </w:tc>
      </w:tr>
      <w:tr w:rsidR="657611A1" w14:paraId="34EB7C79" w14:textId="77777777" w:rsidTr="657611A1">
        <w:tc>
          <w:tcPr>
            <w:tcW w:w="400" w:type="dxa"/>
          </w:tcPr>
          <w:p w14:paraId="1F42EE0D" w14:textId="15307D3E" w:rsidR="657611A1" w:rsidRDefault="657611A1">
            <w:r>
              <w:t>4</w:t>
            </w:r>
          </w:p>
        </w:tc>
        <w:tc>
          <w:tcPr>
            <w:tcW w:w="1800" w:type="dxa"/>
          </w:tcPr>
          <w:p w14:paraId="2B80BDAA" w14:textId="0E0E6402" w:rsidR="657611A1" w:rsidRDefault="657611A1">
            <w:r>
              <w:t>Capital markets insight agent for the BTIG integration</w:t>
            </w:r>
          </w:p>
        </w:tc>
        <w:tc>
          <w:tcPr>
            <w:tcW w:w="2700" w:type="dxa"/>
          </w:tcPr>
          <w:p w14:paraId="1F5C0531" w14:textId="06EC4AC6" w:rsidR="657611A1" w:rsidRDefault="657611A1">
            <w:r>
              <w:t>BTIG acquisition closed 1 June 2026; management aims to deepen corporate and institutional client relationships and grow fee share above 42%</w:t>
            </w:r>
          </w:p>
        </w:tc>
        <w:tc>
          <w:tcPr>
            <w:tcW w:w="2600" w:type="dxa"/>
          </w:tcPr>
          <w:p w14:paraId="254827E4" w14:textId="7FCA318A" w:rsidR="657611A1" w:rsidRDefault="657611A1">
            <w:r>
              <w:t>Strategy and research intelligence agent pattern (T.I.G.RE.S Strategy Intelligence Agent with Microsoft Agent Factory)</w:t>
            </w:r>
          </w:p>
        </w:tc>
        <w:tc>
          <w:tcPr>
            <w:tcW w:w="1860" w:type="dxa"/>
          </w:tcPr>
          <w:p w14:paraId="4E659DD3" w14:textId="78A8184E" w:rsidR="657611A1" w:rsidRDefault="657611A1">
            <w:r>
              <w:t>Unqualified. Explore after a technology-side sponsor is engaged</w:t>
            </w:r>
          </w:p>
        </w:tc>
      </w:tr>
      <w:tr w:rsidR="657611A1" w14:paraId="3E7B2BC5" w14:textId="77777777" w:rsidTr="657611A1">
        <w:tc>
          <w:tcPr>
            <w:tcW w:w="400" w:type="dxa"/>
          </w:tcPr>
          <w:p w14:paraId="51A0BFA9" w14:textId="0FBD78C3" w:rsidR="657611A1" w:rsidRDefault="657611A1">
            <w:r>
              <w:t>5</w:t>
            </w:r>
          </w:p>
        </w:tc>
        <w:tc>
          <w:tcPr>
            <w:tcW w:w="1800" w:type="dxa"/>
          </w:tcPr>
          <w:p w14:paraId="2FFC79D1" w14:textId="089B5F87" w:rsidR="657611A1" w:rsidRDefault="657611A1">
            <w:r>
              <w:t>Elavon merchant onboarding and partner enablement agents</w:t>
            </w:r>
          </w:p>
        </w:tc>
        <w:tc>
          <w:tcPr>
            <w:tcW w:w="2700" w:type="dxa"/>
          </w:tcPr>
          <w:p w14:paraId="3EBA94FB" w14:textId="0179464B" w:rsidR="657611A1" w:rsidRDefault="657611A1">
            <w:r>
              <w:t>All-In-One platform expansion across North America (17 June 2026) with a growing partner ecosystem; 2022 commitment to embed Elavon payments in Dynamics 365</w:t>
            </w:r>
          </w:p>
        </w:tc>
        <w:tc>
          <w:tcPr>
            <w:tcW w:w="2600" w:type="dxa"/>
          </w:tcPr>
          <w:p w14:paraId="6D8ED345" w14:textId="7A572D0F" w:rsidR="657611A1" w:rsidRDefault="657611A1">
            <w:r>
              <w:t>Agent-assisted merchant onboarding, servicing and partner documentation; Pillar 2 process mapping for onboarding workflows</w:t>
            </w:r>
          </w:p>
        </w:tc>
        <w:tc>
          <w:tcPr>
            <w:tcW w:w="1860" w:type="dxa"/>
          </w:tcPr>
          <w:p w14:paraId="683BB81C" w14:textId="733513D3" w:rsidR="657611A1" w:rsidRDefault="657611A1">
            <w:r>
              <w:t>Unqualified. Secondary target; approach Elavon product leadership once a core pilot is scoped</w:t>
            </w:r>
          </w:p>
        </w:tc>
      </w:tr>
      <w:tr w:rsidR="657611A1" w14:paraId="3A882335" w14:textId="77777777" w:rsidTr="657611A1">
        <w:tc>
          <w:tcPr>
            <w:tcW w:w="400" w:type="dxa"/>
          </w:tcPr>
          <w:p w14:paraId="654F92CC" w14:textId="0A4A7448" w:rsidR="657611A1" w:rsidRDefault="657611A1">
            <w:r>
              <w:t>6</w:t>
            </w:r>
          </w:p>
        </w:tc>
        <w:tc>
          <w:tcPr>
            <w:tcW w:w="1800" w:type="dxa"/>
          </w:tcPr>
          <w:p w14:paraId="44311B8A" w14:textId="03285B0C" w:rsidR="657611A1" w:rsidRDefault="657611A1">
            <w:r>
              <w:t>Back-office automation for expense management</w:t>
            </w:r>
          </w:p>
        </w:tc>
        <w:tc>
          <w:tcPr>
            <w:tcW w:w="2700" w:type="dxa"/>
          </w:tcPr>
          <w:p w14:paraId="61877D29" w14:textId="7C0641D0" w:rsidR="657611A1" w:rsidRDefault="657611A1">
            <w:r>
              <w:t xml:space="preserve">Efficiency ratio 57.1%; expenses guided to 3% to 4% growth; at least 200 basis points positive operating leverage </w:t>
            </w:r>
            <w:r>
              <w:lastRenderedPageBreak/>
              <w:t>targeted for 2026</w:t>
            </w:r>
          </w:p>
        </w:tc>
        <w:tc>
          <w:tcPr>
            <w:tcW w:w="2600" w:type="dxa"/>
          </w:tcPr>
          <w:p w14:paraId="5A81723A" w14:textId="74E42894" w:rsidR="657611A1" w:rsidRDefault="657611A1">
            <w:r>
              <w:lastRenderedPageBreak/>
              <w:t xml:space="preserve">Process-mapping-led automation of high-volume operations workflows with agent governance; proof point: </w:t>
            </w:r>
            <w:r>
              <w:lastRenderedPageBreak/>
              <w:t>Pillar 2 and Pillar 3 evidence documents</w:t>
            </w:r>
          </w:p>
        </w:tc>
        <w:tc>
          <w:tcPr>
            <w:tcW w:w="1860" w:type="dxa"/>
          </w:tcPr>
          <w:p w14:paraId="2A9A99D3" w14:textId="6DC20F58" w:rsidR="657611A1" w:rsidRDefault="657611A1">
            <w:r>
              <w:lastRenderedPageBreak/>
              <w:t>Unqualified. Use discovery to identify one measurable workflow</w:t>
            </w:r>
          </w:p>
        </w:tc>
      </w:tr>
    </w:tbl>
    <w:p w14:paraId="7BA556E1" w14:textId="31E7C2A8" w:rsidR="657611A1" w:rsidRDefault="657611A1">
      <w:r w:rsidRPr="657611A1">
        <w:rPr>
          <w:i/>
          <w:iCs/>
          <w:color w:val="595959" w:themeColor="text1" w:themeTint="A6"/>
          <w:sz w:val="18"/>
          <w:szCs w:val="18"/>
        </w:rPr>
        <w:t>Sources for this section: internal records I1 to I3; public sources E1, E3, E4, E5, E6, E7 and E9 (see Section 8).</w:t>
      </w:r>
    </w:p>
    <w:p w14:paraId="36D94D9C" w14:textId="304FBE4F" w:rsidR="657611A1" w:rsidRDefault="657611A1" w:rsidP="657611A1">
      <w:pPr>
        <w:pStyle w:val="Heading1"/>
      </w:pPr>
      <w:r w:rsidRPr="657611A1">
        <w:rPr>
          <w:color w:val="64381F"/>
        </w:rPr>
        <w:t>5. Risks</w:t>
      </w:r>
    </w:p>
    <w:p w14:paraId="2A032D89" w14:textId="2B4B686A" w:rsidR="657611A1" w:rsidRDefault="657611A1">
      <w:r>
        <w:t>The risks fall into two groups: those about the account itself (what is happening at U.S. Bank that could slow or block a new vendor) and those about our own readiness. Ratings are qualitative judgements based on the evidence cited; they should be revisited at the day-30, day-60 and day-90 checkpoints.</w:t>
      </w:r>
    </w:p>
    <w:tbl>
      <w:tblPr>
        <w:tblStyle w:val="TableGrid"/>
        <w:tblW w:w="0" w:type="auto"/>
        <w:tblLook w:val="0000" w:firstRow="0" w:lastRow="0" w:firstColumn="0" w:lastColumn="0" w:noHBand="0" w:noVBand="0"/>
      </w:tblPr>
      <w:tblGrid>
        <w:gridCol w:w="1700"/>
        <w:gridCol w:w="1242"/>
        <w:gridCol w:w="2700"/>
        <w:gridCol w:w="2560"/>
        <w:gridCol w:w="1200"/>
      </w:tblGrid>
      <w:tr w:rsidR="657611A1" w14:paraId="4EA51E81" w14:textId="77777777" w:rsidTr="657611A1">
        <w:tc>
          <w:tcPr>
            <w:tcW w:w="1700" w:type="dxa"/>
          </w:tcPr>
          <w:p w14:paraId="2829305B" w14:textId="0DA89DCA" w:rsidR="657611A1" w:rsidRDefault="657611A1">
            <w:r>
              <w:t>Risk</w:t>
            </w:r>
          </w:p>
        </w:tc>
        <w:tc>
          <w:tcPr>
            <w:tcW w:w="1200" w:type="dxa"/>
          </w:tcPr>
          <w:p w14:paraId="12BF8403" w14:textId="0686848E" w:rsidR="657611A1" w:rsidRDefault="657611A1">
            <w:r>
              <w:t>Rating (likelihood / impact)</w:t>
            </w:r>
          </w:p>
        </w:tc>
        <w:tc>
          <w:tcPr>
            <w:tcW w:w="2700" w:type="dxa"/>
          </w:tcPr>
          <w:p w14:paraId="7F1C2493" w14:textId="7F646B52" w:rsidR="657611A1" w:rsidRDefault="657611A1">
            <w:r>
              <w:t>Evidence</w:t>
            </w:r>
          </w:p>
        </w:tc>
        <w:tc>
          <w:tcPr>
            <w:tcW w:w="2560" w:type="dxa"/>
          </w:tcPr>
          <w:p w14:paraId="21884C32" w14:textId="78425216" w:rsidR="657611A1" w:rsidRDefault="657611A1">
            <w:r>
              <w:t>Mitigation</w:t>
            </w:r>
          </w:p>
        </w:tc>
        <w:tc>
          <w:tcPr>
            <w:tcW w:w="1200" w:type="dxa"/>
          </w:tcPr>
          <w:p w14:paraId="1DF0FDC0" w14:textId="712038DA" w:rsidR="657611A1" w:rsidRDefault="657611A1">
            <w:r>
              <w:t>Owner</w:t>
            </w:r>
          </w:p>
        </w:tc>
      </w:tr>
      <w:tr w:rsidR="657611A1" w14:paraId="75A7B8AB" w14:textId="77777777" w:rsidTr="657611A1">
        <w:tc>
          <w:tcPr>
            <w:tcW w:w="1700" w:type="dxa"/>
          </w:tcPr>
          <w:p w14:paraId="520E6B85" w14:textId="0835994F" w:rsidR="657611A1" w:rsidRDefault="657611A1">
            <w:r>
              <w:t>No active relationship; single-threaded on our side</w:t>
            </w:r>
          </w:p>
        </w:tc>
        <w:tc>
          <w:tcPr>
            <w:tcW w:w="1200" w:type="dxa"/>
          </w:tcPr>
          <w:p w14:paraId="146FB93A" w14:textId="01138013" w:rsidR="657611A1" w:rsidRDefault="657611A1">
            <w:r>
              <w:t>High / High</w:t>
            </w:r>
          </w:p>
        </w:tc>
        <w:tc>
          <w:tcPr>
            <w:tcW w:w="2700" w:type="dxa"/>
          </w:tcPr>
          <w:p w14:paraId="4A049E03" w14:textId="79F166D7" w:rsidR="657611A1" w:rsidRDefault="657611A1">
            <w:r>
              <w:t>No U.S. Bank contacts, threads, meetings or files in Microsoft 365; only a June 2026 demo preparation record</w:t>
            </w:r>
          </w:p>
        </w:tc>
        <w:tc>
          <w:tcPr>
            <w:tcW w:w="2560" w:type="dxa"/>
          </w:tcPr>
          <w:p w14:paraId="1804EA1B" w14:textId="72CF4D9B" w:rsidR="657611A1" w:rsidRDefault="657611A1">
            <w:r>
              <w:t>Reconstruct the June demo; secure a Microsoft account-team introduction; hold three named contacts across technology and business banking by day 60</w:t>
            </w:r>
          </w:p>
        </w:tc>
        <w:tc>
          <w:tcPr>
            <w:tcW w:w="1200" w:type="dxa"/>
          </w:tcPr>
          <w:p w14:paraId="7ED3DDC9" w14:textId="6BAD345F" w:rsidR="657611A1" w:rsidRDefault="657611A1">
            <w:r>
              <w:t>Bojan Buhac</w:t>
            </w:r>
          </w:p>
        </w:tc>
      </w:tr>
      <w:tr w:rsidR="657611A1" w14:paraId="7AB26232" w14:textId="77777777" w:rsidTr="657611A1">
        <w:tc>
          <w:tcPr>
            <w:tcW w:w="1700" w:type="dxa"/>
          </w:tcPr>
          <w:p w14:paraId="55CE6132" w14:textId="02C294D4" w:rsidR="657611A1" w:rsidRDefault="657611A1">
            <w:r>
              <w:t>Heightened cybersecurity and third-party risk scrutiny</w:t>
            </w:r>
          </w:p>
        </w:tc>
        <w:tc>
          <w:tcPr>
            <w:tcW w:w="1200" w:type="dxa"/>
          </w:tcPr>
          <w:p w14:paraId="20CD0AFA" w14:textId="7BA07B98" w:rsidR="657611A1" w:rsidRDefault="657611A1">
            <w:r>
              <w:t>Medium / High</w:t>
            </w:r>
          </w:p>
        </w:tc>
        <w:tc>
          <w:tcPr>
            <w:tcW w:w="2700" w:type="dxa"/>
          </w:tcPr>
          <w:p w14:paraId="460DFC4C" w14:textId="747E625C" w:rsidR="657611A1" w:rsidRDefault="657611A1">
            <w:r>
              <w:t>LockBit added U.S. Bank to its leak site (reported 21 August 2026) with a 3 September publication deadline; earlier vendor-related exposures (a Fidelity National Information Services-linked incident affecting 537 Massachusetts customers, and a 2022 vendor incident affecting about 11,000 customers)</w:t>
            </w:r>
          </w:p>
        </w:tc>
        <w:tc>
          <w:tcPr>
            <w:tcW w:w="2560" w:type="dxa"/>
          </w:tcPr>
          <w:p w14:paraId="564CB2F8" w14:textId="6D5C4920" w:rsidR="657611A1" w:rsidRDefault="657611A1">
            <w:r>
              <w:t>Lead with the Pillar 5 security and governance pack; prepare vendor-onboarding evidence early; do not market on the incident; expect a longer procurement cycle</w:t>
            </w:r>
          </w:p>
        </w:tc>
        <w:tc>
          <w:tcPr>
            <w:tcW w:w="1200" w:type="dxa"/>
          </w:tcPr>
          <w:p w14:paraId="1730B44B" w14:textId="663A2FE4" w:rsidR="657611A1" w:rsidRDefault="657611A1">
            <w:r>
              <w:t>Valene Samuels</w:t>
            </w:r>
          </w:p>
        </w:tc>
      </w:tr>
      <w:tr w:rsidR="657611A1" w14:paraId="1DB208AE" w14:textId="77777777" w:rsidTr="657611A1">
        <w:tc>
          <w:tcPr>
            <w:tcW w:w="1700" w:type="dxa"/>
          </w:tcPr>
          <w:p w14:paraId="37172361" w14:textId="7D4F9059" w:rsidR="657611A1" w:rsidRDefault="657611A1">
            <w:r>
              <w:t>Competitive crowding for AI budget</w:t>
            </w:r>
          </w:p>
        </w:tc>
        <w:tc>
          <w:tcPr>
            <w:tcW w:w="1200" w:type="dxa"/>
          </w:tcPr>
          <w:p w14:paraId="1EB74F44" w14:textId="762D771D" w:rsidR="657611A1" w:rsidRDefault="657611A1">
            <w:r>
              <w:t>Medium / Medium</w:t>
            </w:r>
          </w:p>
        </w:tc>
        <w:tc>
          <w:tcPr>
            <w:tcW w:w="2700" w:type="dxa"/>
          </w:tcPr>
          <w:p w14:paraId="213202E2" w14:textId="6F0B5DE1" w:rsidR="657611A1" w:rsidRDefault="657611A1">
            <w:r>
              <w:t>About $2.6 billion technology budget and nearly 70,000 employees imply strong in-house teams; multi-cloud stance (Microsoft Azure primary, Amazon partnership referenced) brings hyperscaler services arms and global integrators into every deal</w:t>
            </w:r>
          </w:p>
        </w:tc>
        <w:tc>
          <w:tcPr>
            <w:tcW w:w="2560" w:type="dxa"/>
          </w:tcPr>
          <w:p w14:paraId="1F055532" w14:textId="67E944A5" w:rsidR="657611A1" w:rsidRDefault="657611A1">
            <w:r>
              <w:t>Position as a specialist governance and agent-solutioning partner that complements Microsoft rather than competes; anchor on evidenced deliverables</w:t>
            </w:r>
          </w:p>
        </w:tc>
        <w:tc>
          <w:tcPr>
            <w:tcW w:w="1200" w:type="dxa"/>
          </w:tcPr>
          <w:p w14:paraId="1CE54BB3" w14:textId="60C72B69" w:rsidR="657611A1" w:rsidRDefault="657611A1">
            <w:r>
              <w:t>Bojan Buhac</w:t>
            </w:r>
          </w:p>
        </w:tc>
      </w:tr>
      <w:tr w:rsidR="657611A1" w14:paraId="720EA196" w14:textId="77777777" w:rsidTr="657611A1">
        <w:tc>
          <w:tcPr>
            <w:tcW w:w="1700" w:type="dxa"/>
          </w:tcPr>
          <w:p w14:paraId="17FA1058" w14:textId="77DC8BDE" w:rsidR="657611A1" w:rsidRDefault="657611A1">
            <w:r>
              <w:t xml:space="preserve">Regulatory bandwidth absorbed by Category II </w:t>
            </w:r>
            <w:r>
              <w:lastRenderedPageBreak/>
              <w:t>preparation</w:t>
            </w:r>
          </w:p>
        </w:tc>
        <w:tc>
          <w:tcPr>
            <w:tcW w:w="1200" w:type="dxa"/>
          </w:tcPr>
          <w:p w14:paraId="40A36D88" w14:textId="70BA72A2" w:rsidR="657611A1" w:rsidRDefault="657611A1">
            <w:r>
              <w:lastRenderedPageBreak/>
              <w:t>Medium / Medium</w:t>
            </w:r>
          </w:p>
        </w:tc>
        <w:tc>
          <w:tcPr>
            <w:tcW w:w="2700" w:type="dxa"/>
          </w:tcPr>
          <w:p w14:paraId="137F239B" w14:textId="69985966" w:rsidR="657611A1" w:rsidRDefault="657611A1">
            <w:r>
              <w:t xml:space="preserve">Shareholder letter (10 March 2026) cites preparation for eventual transition to a Category II </w:t>
            </w:r>
            <w:r>
              <w:lastRenderedPageBreak/>
              <w:t>banking organisation</w:t>
            </w:r>
          </w:p>
        </w:tc>
        <w:tc>
          <w:tcPr>
            <w:tcW w:w="2560" w:type="dxa"/>
          </w:tcPr>
          <w:p w14:paraId="24F60DB3" w14:textId="6276402A" w:rsidR="657611A1" w:rsidRDefault="657611A1">
            <w:r>
              <w:lastRenderedPageBreak/>
              <w:t xml:space="preserve">Frame the governance assessment as regulatory readiness, not discretionary </w:t>
            </w:r>
            <w:r>
              <w:lastRenderedPageBreak/>
              <w:t>innovation; align outputs to model-risk and data-control expectations</w:t>
            </w:r>
          </w:p>
        </w:tc>
        <w:tc>
          <w:tcPr>
            <w:tcW w:w="1200" w:type="dxa"/>
          </w:tcPr>
          <w:p w14:paraId="21FCF84A" w14:textId="5B5426EE" w:rsidR="657611A1" w:rsidRDefault="657611A1">
            <w:r>
              <w:lastRenderedPageBreak/>
              <w:t>Bojan Buhac</w:t>
            </w:r>
          </w:p>
        </w:tc>
      </w:tr>
      <w:tr w:rsidR="657611A1" w14:paraId="6B943C5F" w14:textId="77777777" w:rsidTr="657611A1">
        <w:tc>
          <w:tcPr>
            <w:tcW w:w="1700" w:type="dxa"/>
          </w:tcPr>
          <w:p w14:paraId="65E09BB2" w14:textId="72698763" w:rsidR="657611A1" w:rsidRDefault="657611A1">
            <w:r>
              <w:t>Budget timing and expense discipline</w:t>
            </w:r>
          </w:p>
        </w:tc>
        <w:tc>
          <w:tcPr>
            <w:tcW w:w="1200" w:type="dxa"/>
          </w:tcPr>
          <w:p w14:paraId="5588F5D8" w14:textId="6B476E27" w:rsidR="657611A1" w:rsidRDefault="657611A1">
            <w:r>
              <w:t>Medium / Medium</w:t>
            </w:r>
          </w:p>
        </w:tc>
        <w:tc>
          <w:tcPr>
            <w:tcW w:w="2700" w:type="dxa"/>
          </w:tcPr>
          <w:p w14:paraId="503DD639" w14:textId="642554EB" w:rsidR="657611A1" w:rsidRDefault="657611A1">
            <w:r>
              <w:t>Expenses guided to 3% to 4% growth for 2026; nine consecutive quarters of stable expenses; investment funded by productivity</w:t>
            </w:r>
          </w:p>
        </w:tc>
        <w:tc>
          <w:tcPr>
            <w:tcW w:w="2560" w:type="dxa"/>
          </w:tcPr>
          <w:p w14:paraId="275057C9" w14:textId="5D033BAF" w:rsidR="657611A1" w:rsidRDefault="657611A1">
            <w:r>
              <w:t>Propose a self-funding pilot with an operating-leverage metric; target the 2027 planning cycle in the day-61 to day-90 window</w:t>
            </w:r>
          </w:p>
        </w:tc>
        <w:tc>
          <w:tcPr>
            <w:tcW w:w="1200" w:type="dxa"/>
          </w:tcPr>
          <w:p w14:paraId="3BB499D3" w14:textId="55E12273" w:rsidR="657611A1" w:rsidRDefault="657611A1">
            <w:r>
              <w:t>Bojan Buhac with Lisa Taylor</w:t>
            </w:r>
          </w:p>
        </w:tc>
      </w:tr>
      <w:tr w:rsidR="657611A1" w14:paraId="7091D419" w14:textId="77777777" w:rsidTr="657611A1">
        <w:tc>
          <w:tcPr>
            <w:tcW w:w="1700" w:type="dxa"/>
          </w:tcPr>
          <w:p w14:paraId="23EED2C9" w14:textId="6CF682E8" w:rsidR="657611A1" w:rsidRDefault="657611A1">
            <w:r>
              <w:t>Internal delivery readiness</w:t>
            </w:r>
          </w:p>
        </w:tc>
        <w:tc>
          <w:tcPr>
            <w:tcW w:w="1200" w:type="dxa"/>
          </w:tcPr>
          <w:p w14:paraId="6DEED09B" w14:textId="65D469AC" w:rsidR="657611A1" w:rsidRDefault="657611A1">
            <w:r>
              <w:t>Medium / Low</w:t>
            </w:r>
          </w:p>
        </w:tc>
        <w:tc>
          <w:tcPr>
            <w:tcW w:w="2700" w:type="dxa"/>
          </w:tcPr>
          <w:p w14:paraId="487AAFA9" w14:textId="5EB25070" w:rsidR="657611A1" w:rsidRDefault="657611A1">
            <w:r>
              <w:t>Demo environment relies on just-in-time role activations by a single technical lead</w:t>
            </w:r>
          </w:p>
        </w:tc>
        <w:tc>
          <w:tcPr>
            <w:tcW w:w="2560" w:type="dxa"/>
          </w:tcPr>
          <w:p w14:paraId="7551511A" w14:textId="57903734" w:rsidR="657611A1" w:rsidRDefault="657611A1">
            <w:r>
              <w:t>Pre-stage a persistent demo tenant; identify a second technical resource before the discovery workshop</w:t>
            </w:r>
          </w:p>
        </w:tc>
        <w:tc>
          <w:tcPr>
            <w:tcW w:w="1200" w:type="dxa"/>
          </w:tcPr>
          <w:p w14:paraId="1AEE5918" w14:textId="506E1DF8" w:rsidR="657611A1" w:rsidRDefault="657611A1">
            <w:r>
              <w:t>Valene Samuels with Lisa Taylor</w:t>
            </w:r>
          </w:p>
        </w:tc>
      </w:tr>
    </w:tbl>
    <w:p w14:paraId="6CFD4C86" w14:textId="20EE11DA" w:rsidR="657611A1" w:rsidRDefault="657611A1">
      <w:r w:rsidRPr="657611A1">
        <w:rPr>
          <w:i/>
          <w:iCs/>
          <w:color w:val="595959" w:themeColor="text1" w:themeTint="A6"/>
          <w:sz w:val="18"/>
          <w:szCs w:val="18"/>
        </w:rPr>
        <w:t>Sources for this section: internal records I1 and I5; public sources E2, E4, E5, E8 and E9 (see Section 8).</w:t>
      </w:r>
    </w:p>
    <w:p w14:paraId="6FBC52DE" w14:textId="3D857A05" w:rsidR="657611A1" w:rsidRDefault="657611A1" w:rsidP="657611A1">
      <w:pPr>
        <w:pStyle w:val="Heading1"/>
      </w:pPr>
      <w:r w:rsidRPr="657611A1">
        <w:rPr>
          <w:color w:val="64381F"/>
        </w:rPr>
        <w:t>6. Competitive Landscape</w:t>
      </w:r>
    </w:p>
    <w:p w14:paraId="33A01D00" w14:textId="65AC9508" w:rsidR="657611A1" w:rsidRDefault="657611A1">
      <w:r>
        <w:t>Two lenses matter. The first is U.S. Bank's own competitive position among large and regional banks, because speaking the customer's language about peers, benchmarks and pressure points is what earns a technology conversation with business leaders. The second is the field How2Demos competes in for a share of the bank's AI and productivity spend.</w:t>
      </w:r>
    </w:p>
    <w:p w14:paraId="2EF112FC" w14:textId="5AD3572B" w:rsidR="657611A1" w:rsidRDefault="657611A1" w:rsidP="657611A1">
      <w:pPr>
        <w:pStyle w:val="Heading2"/>
      </w:pPr>
      <w:r w:rsidRPr="657611A1">
        <w:rPr>
          <w:color w:val="64381F"/>
        </w:rPr>
        <w:t>U.S. Bank among its peers</w:t>
      </w:r>
    </w:p>
    <w:p w14:paraId="3C18C3EB" w14:textId="38A97EA8" w:rsidR="657611A1" w:rsidRDefault="657611A1">
      <w:r>
        <w:t>Hudson Labs' peer comparison (22 May 2026) places U.S. Bancorp at a market capitalisation of about $84.7 billion, just below PNC ($87.7 billion) and well above Truist ($59.7 billion), M&amp;T ($31.1 billion), Citizens ($26.6 billion) and KeyCorp ($23.3 billion), while the diversified giants JPMorgan Chase ($811.9 billion), Bank of America ($365.4 billion) and Wells Fargo ($232.3 billion) operate at a different scale. The consistent differentiator cited for U.S. Bancorp is breadth in payments, merchant processing and corporate trust, against PNC's coast-to-coast retail expansion, Truist's middle-market and industry-banking focus and KeyCorp's verticalised approach. That payments strength is exactly where Elavon's All-In-One expansion and the Dynamics 365 embedded-payments commitment sit.</w:t>
      </w:r>
    </w:p>
    <w:tbl>
      <w:tblPr>
        <w:tblStyle w:val="TableGrid"/>
        <w:tblW w:w="0" w:type="auto"/>
        <w:tblLook w:val="0000" w:firstRow="0" w:lastRow="0" w:firstColumn="0" w:lastColumn="0" w:noHBand="0" w:noVBand="0"/>
      </w:tblPr>
      <w:tblGrid>
        <w:gridCol w:w="2160"/>
        <w:gridCol w:w="2400"/>
        <w:gridCol w:w="2400"/>
        <w:gridCol w:w="2400"/>
      </w:tblGrid>
      <w:tr w:rsidR="657611A1" w14:paraId="52D3A41E" w14:textId="77777777" w:rsidTr="657611A1">
        <w:tc>
          <w:tcPr>
            <w:tcW w:w="2160" w:type="dxa"/>
          </w:tcPr>
          <w:p w14:paraId="1E56D470" w14:textId="43D90041" w:rsidR="657611A1" w:rsidRDefault="657611A1">
            <w:r>
              <w:t>Q2 2026 benchmark</w:t>
            </w:r>
          </w:p>
        </w:tc>
        <w:tc>
          <w:tcPr>
            <w:tcW w:w="2400" w:type="dxa"/>
          </w:tcPr>
          <w:p w14:paraId="6B326B13" w14:textId="3CB6E705" w:rsidR="657611A1" w:rsidRDefault="657611A1">
            <w:r>
              <w:t>U.S. Bancorp (16 July 2026)</w:t>
            </w:r>
          </w:p>
        </w:tc>
        <w:tc>
          <w:tcPr>
            <w:tcW w:w="2400" w:type="dxa"/>
          </w:tcPr>
          <w:p w14:paraId="36BFB3C2" w14:textId="3594CDC9" w:rsidR="657611A1" w:rsidRDefault="657611A1">
            <w:r>
              <w:t>PNC (15 July 2026)</w:t>
            </w:r>
          </w:p>
        </w:tc>
        <w:tc>
          <w:tcPr>
            <w:tcW w:w="2400" w:type="dxa"/>
          </w:tcPr>
          <w:p w14:paraId="5BB7C0C4" w14:textId="2E72B48D" w:rsidR="657611A1" w:rsidRDefault="657611A1">
            <w:r>
              <w:t>Truist (17 July 2026)</w:t>
            </w:r>
          </w:p>
        </w:tc>
      </w:tr>
      <w:tr w:rsidR="657611A1" w14:paraId="131C2441" w14:textId="77777777" w:rsidTr="657611A1">
        <w:tc>
          <w:tcPr>
            <w:tcW w:w="2160" w:type="dxa"/>
          </w:tcPr>
          <w:p w14:paraId="630E076E" w14:textId="45881502" w:rsidR="657611A1" w:rsidRDefault="657611A1">
            <w:r>
              <w:t>Net income</w:t>
            </w:r>
          </w:p>
        </w:tc>
        <w:tc>
          <w:tcPr>
            <w:tcW w:w="2400" w:type="dxa"/>
          </w:tcPr>
          <w:p w14:paraId="46414FB2" w14:textId="3E65FBC6" w:rsidR="657611A1" w:rsidRDefault="657611A1">
            <w:r>
              <w:t>$2,177 million</w:t>
            </w:r>
          </w:p>
        </w:tc>
        <w:tc>
          <w:tcPr>
            <w:tcW w:w="2400" w:type="dxa"/>
          </w:tcPr>
          <w:p w14:paraId="1D839487" w14:textId="3743E28A" w:rsidR="657611A1" w:rsidRDefault="657611A1">
            <w:r>
              <w:t>$2,055 million</w:t>
            </w:r>
          </w:p>
        </w:tc>
        <w:tc>
          <w:tcPr>
            <w:tcW w:w="2400" w:type="dxa"/>
          </w:tcPr>
          <w:p w14:paraId="3AFBB588" w14:textId="3021C94E" w:rsidR="657611A1" w:rsidRDefault="657611A1">
            <w:r>
              <w:t>$1.52 billion (available to common)</w:t>
            </w:r>
          </w:p>
        </w:tc>
      </w:tr>
      <w:tr w:rsidR="657611A1" w14:paraId="7F284556" w14:textId="77777777" w:rsidTr="657611A1">
        <w:tc>
          <w:tcPr>
            <w:tcW w:w="2160" w:type="dxa"/>
          </w:tcPr>
          <w:p w14:paraId="1704A509" w14:textId="473729C3" w:rsidR="657611A1" w:rsidRDefault="657611A1">
            <w:r>
              <w:t>Total revenue</w:t>
            </w:r>
          </w:p>
        </w:tc>
        <w:tc>
          <w:tcPr>
            <w:tcW w:w="2400" w:type="dxa"/>
          </w:tcPr>
          <w:p w14:paraId="35BF9430" w14:textId="40151087" w:rsidR="657611A1" w:rsidRDefault="657611A1">
            <w:r>
              <w:t>$7,712 million (record)</w:t>
            </w:r>
          </w:p>
        </w:tc>
        <w:tc>
          <w:tcPr>
            <w:tcW w:w="2400" w:type="dxa"/>
          </w:tcPr>
          <w:p w14:paraId="1986F339" w14:textId="38F2F74B" w:rsidR="657611A1" w:rsidRDefault="657611A1">
            <w:r>
              <w:t>$6,875 million (record)</w:t>
            </w:r>
          </w:p>
        </w:tc>
        <w:tc>
          <w:tcPr>
            <w:tcW w:w="2400" w:type="dxa"/>
          </w:tcPr>
          <w:p w14:paraId="2CEC6E1F" w14:textId="31D0DE0F" w:rsidR="657611A1" w:rsidRDefault="657611A1">
            <w:r>
              <w:t>$5.27 billion</w:t>
            </w:r>
          </w:p>
        </w:tc>
      </w:tr>
      <w:tr w:rsidR="657611A1" w14:paraId="4256CCA1" w14:textId="77777777" w:rsidTr="657611A1">
        <w:tc>
          <w:tcPr>
            <w:tcW w:w="2160" w:type="dxa"/>
          </w:tcPr>
          <w:p w14:paraId="2D13DCCF" w14:textId="48E63E84" w:rsidR="657611A1" w:rsidRDefault="657611A1">
            <w:r>
              <w:t>Diluted EPS</w:t>
            </w:r>
          </w:p>
        </w:tc>
        <w:tc>
          <w:tcPr>
            <w:tcW w:w="2400" w:type="dxa"/>
          </w:tcPr>
          <w:p w14:paraId="7ACEBFD2" w14:textId="41C42548" w:rsidR="657611A1" w:rsidRDefault="657611A1">
            <w:r>
              <w:t>$1.35 (up 22% year-over-year)</w:t>
            </w:r>
          </w:p>
        </w:tc>
        <w:tc>
          <w:tcPr>
            <w:tcW w:w="2400" w:type="dxa"/>
          </w:tcPr>
          <w:p w14:paraId="15C4597A" w14:textId="3AA20C0C" w:rsidR="657611A1" w:rsidRDefault="657611A1">
            <w:r>
              <w:t>$4.81 ($4.85 adjusted)</w:t>
            </w:r>
          </w:p>
        </w:tc>
        <w:tc>
          <w:tcPr>
            <w:tcW w:w="2400" w:type="dxa"/>
          </w:tcPr>
          <w:p w14:paraId="22B973E8" w14:textId="337FF2D0" w:rsidR="657611A1" w:rsidRDefault="657611A1">
            <w:r>
              <w:t>$1.23 (up 37% year-over-year)</w:t>
            </w:r>
          </w:p>
        </w:tc>
      </w:tr>
      <w:tr w:rsidR="657611A1" w14:paraId="1C1CAC1D" w14:textId="77777777" w:rsidTr="657611A1">
        <w:tc>
          <w:tcPr>
            <w:tcW w:w="2160" w:type="dxa"/>
          </w:tcPr>
          <w:p w14:paraId="11EA3E09" w14:textId="4A955345" w:rsidR="657611A1" w:rsidRDefault="657611A1">
            <w:r>
              <w:t>Efficiency ratio</w:t>
            </w:r>
          </w:p>
        </w:tc>
        <w:tc>
          <w:tcPr>
            <w:tcW w:w="2400" w:type="dxa"/>
          </w:tcPr>
          <w:p w14:paraId="398CA60A" w14:textId="43733A09" w:rsidR="657611A1" w:rsidRDefault="657611A1">
            <w:r>
              <w:t>57.1%</w:t>
            </w:r>
          </w:p>
        </w:tc>
        <w:tc>
          <w:tcPr>
            <w:tcW w:w="2400" w:type="dxa"/>
          </w:tcPr>
          <w:p w14:paraId="45F57739" w14:textId="3C5120CD" w:rsidR="657611A1" w:rsidRDefault="657611A1">
            <w:r>
              <w:t>60%</w:t>
            </w:r>
          </w:p>
        </w:tc>
        <w:tc>
          <w:tcPr>
            <w:tcW w:w="2400" w:type="dxa"/>
          </w:tcPr>
          <w:p w14:paraId="15CFF550" w14:textId="352F0791" w:rsidR="657611A1" w:rsidRDefault="657611A1">
            <w:r>
              <w:t>58.0%</w:t>
            </w:r>
          </w:p>
        </w:tc>
      </w:tr>
      <w:tr w:rsidR="657611A1" w14:paraId="5D8BE2D2" w14:textId="77777777" w:rsidTr="657611A1">
        <w:tc>
          <w:tcPr>
            <w:tcW w:w="2160" w:type="dxa"/>
          </w:tcPr>
          <w:p w14:paraId="21B086C5" w14:textId="4C446806" w:rsidR="657611A1" w:rsidRDefault="657611A1">
            <w:r>
              <w:t>Return on tangible common equity</w:t>
            </w:r>
          </w:p>
        </w:tc>
        <w:tc>
          <w:tcPr>
            <w:tcW w:w="2400" w:type="dxa"/>
          </w:tcPr>
          <w:p w14:paraId="5ADFA99D" w14:textId="45224ECA" w:rsidR="657611A1" w:rsidRDefault="657611A1">
            <w:r>
              <w:t>18.7%</w:t>
            </w:r>
          </w:p>
        </w:tc>
        <w:tc>
          <w:tcPr>
            <w:tcW w:w="2400" w:type="dxa"/>
          </w:tcPr>
          <w:p w14:paraId="33CFA266" w14:textId="3E00358E" w:rsidR="657611A1" w:rsidRDefault="657611A1">
            <w:r>
              <w:t>17.88%</w:t>
            </w:r>
          </w:p>
        </w:tc>
        <w:tc>
          <w:tcPr>
            <w:tcW w:w="2400" w:type="dxa"/>
          </w:tcPr>
          <w:p w14:paraId="319D7E68" w14:textId="36DE1C52" w:rsidR="657611A1" w:rsidRDefault="657611A1">
            <w:r>
              <w:t>Not stated in source</w:t>
            </w:r>
          </w:p>
        </w:tc>
      </w:tr>
      <w:tr w:rsidR="657611A1" w14:paraId="7CE089DD" w14:textId="77777777" w:rsidTr="657611A1">
        <w:tc>
          <w:tcPr>
            <w:tcW w:w="2160" w:type="dxa"/>
          </w:tcPr>
          <w:p w14:paraId="30F945B3" w14:textId="4DF37CC7" w:rsidR="657611A1" w:rsidRDefault="657611A1">
            <w:r>
              <w:t>Net interest margin</w:t>
            </w:r>
          </w:p>
        </w:tc>
        <w:tc>
          <w:tcPr>
            <w:tcW w:w="2400" w:type="dxa"/>
          </w:tcPr>
          <w:p w14:paraId="38E08D8C" w14:textId="46D1638B" w:rsidR="657611A1" w:rsidRDefault="657611A1">
            <w:r>
              <w:t>2.79%</w:t>
            </w:r>
          </w:p>
        </w:tc>
        <w:tc>
          <w:tcPr>
            <w:tcW w:w="2400" w:type="dxa"/>
          </w:tcPr>
          <w:p w14:paraId="2C008BCB" w14:textId="3FAF4A4F" w:rsidR="657611A1" w:rsidRDefault="657611A1">
            <w:r>
              <w:t>2.96%</w:t>
            </w:r>
          </w:p>
        </w:tc>
        <w:tc>
          <w:tcPr>
            <w:tcW w:w="2400" w:type="dxa"/>
          </w:tcPr>
          <w:p w14:paraId="603790D2" w14:textId="388D3113" w:rsidR="657611A1" w:rsidRDefault="657611A1">
            <w:r>
              <w:t>2.98%</w:t>
            </w:r>
          </w:p>
        </w:tc>
      </w:tr>
      <w:tr w:rsidR="657611A1" w14:paraId="3160FC71" w14:textId="77777777" w:rsidTr="657611A1">
        <w:tc>
          <w:tcPr>
            <w:tcW w:w="2160" w:type="dxa"/>
          </w:tcPr>
          <w:p w14:paraId="196C1FDE" w14:textId="4FA29188" w:rsidR="657611A1" w:rsidRDefault="657611A1">
            <w:r>
              <w:lastRenderedPageBreak/>
              <w:t>CET1 capital ratio</w:t>
            </w:r>
          </w:p>
        </w:tc>
        <w:tc>
          <w:tcPr>
            <w:tcW w:w="2400" w:type="dxa"/>
          </w:tcPr>
          <w:p w14:paraId="47D6904B" w14:textId="4880784C" w:rsidR="657611A1" w:rsidRDefault="657611A1">
            <w:r>
              <w:t>10.8%</w:t>
            </w:r>
          </w:p>
        </w:tc>
        <w:tc>
          <w:tcPr>
            <w:tcW w:w="2400" w:type="dxa"/>
          </w:tcPr>
          <w:p w14:paraId="74EE12C4" w14:textId="415E5F10" w:rsidR="657611A1" w:rsidRDefault="657611A1">
            <w:r>
              <w:t>9.9%</w:t>
            </w:r>
          </w:p>
        </w:tc>
        <w:tc>
          <w:tcPr>
            <w:tcW w:w="2400" w:type="dxa"/>
          </w:tcPr>
          <w:p w14:paraId="50E6D678" w14:textId="3A3C45D4" w:rsidR="657611A1" w:rsidRDefault="657611A1">
            <w:r>
              <w:t>10.9%</w:t>
            </w:r>
          </w:p>
        </w:tc>
      </w:tr>
      <w:tr w:rsidR="657611A1" w14:paraId="5A93E415" w14:textId="77777777" w:rsidTr="657611A1">
        <w:tc>
          <w:tcPr>
            <w:tcW w:w="2160" w:type="dxa"/>
          </w:tcPr>
          <w:p w14:paraId="4F7828D1" w14:textId="5151A649" w:rsidR="657611A1" w:rsidRDefault="657611A1">
            <w:r>
              <w:t>Loan and deposit trend</w:t>
            </w:r>
          </w:p>
        </w:tc>
        <w:tc>
          <w:tcPr>
            <w:tcW w:w="2400" w:type="dxa"/>
          </w:tcPr>
          <w:p w14:paraId="2C24C92F" w14:textId="4A2F8D0D" w:rsidR="657611A1" w:rsidRDefault="657611A1">
            <w:r>
              <w:t>Average loans +7.1% year-over-year; deposits +2.4%</w:t>
            </w:r>
          </w:p>
        </w:tc>
        <w:tc>
          <w:tcPr>
            <w:tcW w:w="2400" w:type="dxa"/>
          </w:tcPr>
          <w:p w14:paraId="14E29FE5" w14:textId="430D73D1" w:rsidR="657611A1" w:rsidRDefault="657611A1">
            <w:r>
              <w:t>Average loans +4% linked quarter ($363.2 billion); deposits stable ($457.0 billion)</w:t>
            </w:r>
          </w:p>
        </w:tc>
        <w:tc>
          <w:tcPr>
            <w:tcW w:w="2400" w:type="dxa"/>
          </w:tcPr>
          <w:p w14:paraId="12731561" w14:textId="3BEB5A95" w:rsidR="657611A1" w:rsidRDefault="657611A1">
            <w:r>
              <w:t>Average loans +0.7% linked quarter ($329.2 billion); deposits $404.9 billion</w:t>
            </w:r>
          </w:p>
        </w:tc>
      </w:tr>
      <w:tr w:rsidR="657611A1" w14:paraId="52394B63" w14:textId="77777777" w:rsidTr="657611A1">
        <w:tc>
          <w:tcPr>
            <w:tcW w:w="2160" w:type="dxa"/>
          </w:tcPr>
          <w:p w14:paraId="7402F42E" w14:textId="5300BB0A" w:rsidR="657611A1" w:rsidRDefault="657611A1">
            <w:r>
              <w:t>Strategic move in the quarter</w:t>
            </w:r>
          </w:p>
        </w:tc>
        <w:tc>
          <w:tcPr>
            <w:tcW w:w="2400" w:type="dxa"/>
          </w:tcPr>
          <w:p w14:paraId="622C4C42" w14:textId="4BDEA1CE" w:rsidR="657611A1" w:rsidRDefault="657611A1">
            <w:r>
              <w:t>BTIG acquisition closed 1 June 2026</w:t>
            </w:r>
          </w:p>
        </w:tc>
        <w:tc>
          <w:tcPr>
            <w:tcW w:w="2400" w:type="dxa"/>
          </w:tcPr>
          <w:p w14:paraId="24DF9CB4" w14:textId="44BC8892" w:rsidR="657611A1" w:rsidRDefault="657611A1">
            <w:r>
              <w:t>FirstBank conversion completed 22 June 2026 (about 780,000 customers, 95 branches in Colorado and Arizona)</w:t>
            </w:r>
          </w:p>
        </w:tc>
        <w:tc>
          <w:tcPr>
            <w:tcW w:w="2400" w:type="dxa"/>
          </w:tcPr>
          <w:p w14:paraId="76ABB157" w14:textId="3D9A6F56" w:rsidR="657611A1" w:rsidRDefault="657611A1">
            <w:r>
              <w:t>Investment banking and trading income $352 million versus $205 million a year earlier</w:t>
            </w:r>
          </w:p>
        </w:tc>
      </w:tr>
    </w:tbl>
    <w:p w14:paraId="42C61A29" w14:textId="56416EF0" w:rsidR="657611A1" w:rsidRDefault="657611A1">
      <w:r>
        <w:t>The benchmark table gives us three talking points. U.S. Bancorp leads this peer set on efficiency (57.1% against 60% at PNC and 58.0% at Truist) and on return on tangible common equity, which means proposals must be framed as extending an advantage rather than fixing a problem. Its loan growth (7.1% year-over-year) is the fastest of the three, so capacity and onboarding in growth businesses such as business banking are live operational questions. And all three banks closed or converted acquisitions in the same quarter, so integration workload (BTIG at U.S. Bank, FirstBank at PNC) is competing for the same technology and change-management capacity we would need.</w:t>
      </w:r>
    </w:p>
    <w:p w14:paraId="16A4468B" w14:textId="1AB50BC6" w:rsidR="657611A1" w:rsidRDefault="657611A1" w:rsidP="657611A1">
      <w:pPr>
        <w:pStyle w:val="Heading2"/>
      </w:pPr>
      <w:r w:rsidRPr="657611A1">
        <w:rPr>
          <w:color w:val="64381F"/>
        </w:rPr>
        <w:t>The field How2Demos competes in</w:t>
      </w:r>
    </w:p>
    <w:p w14:paraId="684EF958" w14:textId="7289D9E4" w:rsidR="657611A1" w:rsidRDefault="657611A1">
      <w:r>
        <w:t xml:space="preserve">Industry surveys confirm the budget exists and where it is going. Alithya's 2026 Financial Services Survey finds AI at the top of the financial-services investment agenda through 2026 with cybersecurity close behind, and frames agentic AI as </w:t>
      </w:r>
      <w:proofErr w:type="gramStart"/>
      <w:r>
        <w:t>the</w:t>
      </w:r>
      <w:proofErr w:type="gramEnd"/>
      <w:r>
        <w:t xml:space="preserve"> emerging opportunity. At the same time the ABA Banking Journal (September 2026) reports that bank customers use generative AI but hesitate to share personal information with it or trust its output, which makes trust, governance and control the differentiating story for a bank-facing AI partner rather than raw capability. For How2Demos the practical competition is threefold: U.S. Bancorp's own technology organisation, funded at about $2.6 billion a year and already running AI at scale; the professional-services arms of the hyperscalers it works with (Microsoft as primary cloud, with an Amazon partnership also referenced in 2026 coverage); and global systems integrators that typically hold master agreements at </w:t>
      </w:r>
      <w:proofErr w:type="gramStart"/>
      <w:r>
        <w:t>top-five</w:t>
      </w:r>
      <w:proofErr w:type="gramEnd"/>
      <w:r>
        <w:t xml:space="preserve"> banks. Our position is deliberately narrow: evidenced agentic AI governance and Microsoft-native agent solutioning delivered fast, complementary to Microsoft's own account motion, and priced for a pilot rather than a programme.</w:t>
      </w:r>
    </w:p>
    <w:p w14:paraId="2EFB2BA5" w14:textId="54CC5EEC" w:rsidR="657611A1" w:rsidRDefault="657611A1">
      <w:r w:rsidRPr="657611A1">
        <w:rPr>
          <w:i/>
          <w:iCs/>
          <w:color w:val="595959" w:themeColor="text1" w:themeTint="A6"/>
          <w:sz w:val="18"/>
          <w:szCs w:val="18"/>
        </w:rPr>
        <w:t>Sources for this section: public sources E1, E6, E9, E10, E11, E12, E13 and E14 (see Section 8).</w:t>
      </w:r>
    </w:p>
    <w:p w14:paraId="47CD4F34" w14:textId="5C939376" w:rsidR="657611A1" w:rsidRDefault="657611A1" w:rsidP="657611A1">
      <w:pPr>
        <w:pStyle w:val="Heading1"/>
      </w:pPr>
      <w:r w:rsidRPr="657611A1">
        <w:rPr>
          <w:color w:val="64381F"/>
        </w:rPr>
        <w:t>7. 90-Day Action Plan (3 September to 2 December 2026)</w:t>
      </w:r>
    </w:p>
    <w:p w14:paraId="2325ADE8" w14:textId="361FB329" w:rsidR="657611A1" w:rsidRDefault="657611A1">
      <w:r>
        <w:t>The plan runs in three 30-day phases with checkpoints on 3 October, 2 November and 2 December 2026. Phase one rebuilds the thread from the June demo and gets our security and governance evidence ready before anyone at the bank asks for it. Phase two turns introductions into a discovery workshop and a first-pass assessment. Phase three converts discovery into a scoped, priced pilot proposal and an executive briefing timed to the bank's 2027 planning cycle. Owners are named from the current account team; dates assume the Microsoft introduction lands within the first three weeks, and the day-30 checkpoint should re-plan phase two if it does not.</w:t>
      </w:r>
    </w:p>
    <w:tbl>
      <w:tblPr>
        <w:tblStyle w:val="TableGrid"/>
        <w:tblW w:w="0" w:type="auto"/>
        <w:tblLook w:val="0000" w:firstRow="0" w:lastRow="0" w:firstColumn="0" w:lastColumn="0" w:noHBand="0" w:noVBand="0"/>
      </w:tblPr>
      <w:tblGrid>
        <w:gridCol w:w="1200"/>
        <w:gridCol w:w="3660"/>
        <w:gridCol w:w="1500"/>
        <w:gridCol w:w="1200"/>
        <w:gridCol w:w="1800"/>
      </w:tblGrid>
      <w:tr w:rsidR="657611A1" w14:paraId="223B2408" w14:textId="77777777" w:rsidTr="657611A1">
        <w:tc>
          <w:tcPr>
            <w:tcW w:w="1200" w:type="dxa"/>
          </w:tcPr>
          <w:p w14:paraId="5CBB8F60" w14:textId="0BABBEB2" w:rsidR="657611A1" w:rsidRDefault="657611A1">
            <w:r>
              <w:lastRenderedPageBreak/>
              <w:t>Phase</w:t>
            </w:r>
          </w:p>
        </w:tc>
        <w:tc>
          <w:tcPr>
            <w:tcW w:w="3660" w:type="dxa"/>
          </w:tcPr>
          <w:p w14:paraId="6D67E1F3" w14:textId="0489A576" w:rsidR="657611A1" w:rsidRDefault="657611A1">
            <w:r>
              <w:t>Action</w:t>
            </w:r>
          </w:p>
        </w:tc>
        <w:tc>
          <w:tcPr>
            <w:tcW w:w="1500" w:type="dxa"/>
          </w:tcPr>
          <w:p w14:paraId="622CEECB" w14:textId="7D678C3A" w:rsidR="657611A1" w:rsidRDefault="657611A1">
            <w:r>
              <w:t>Owner</w:t>
            </w:r>
          </w:p>
        </w:tc>
        <w:tc>
          <w:tcPr>
            <w:tcW w:w="1200" w:type="dxa"/>
          </w:tcPr>
          <w:p w14:paraId="48F03E3C" w14:textId="764572FE" w:rsidR="657611A1" w:rsidRDefault="657611A1">
            <w:r>
              <w:t>Due</w:t>
            </w:r>
          </w:p>
        </w:tc>
        <w:tc>
          <w:tcPr>
            <w:tcW w:w="1800" w:type="dxa"/>
          </w:tcPr>
          <w:p w14:paraId="5F5F3D52" w14:textId="6F2359C2" w:rsidR="657611A1" w:rsidRDefault="657611A1">
            <w:r>
              <w:t>Success measure</w:t>
            </w:r>
          </w:p>
        </w:tc>
      </w:tr>
      <w:tr w:rsidR="657611A1" w14:paraId="3CC6406F" w14:textId="77777777" w:rsidTr="657611A1">
        <w:tc>
          <w:tcPr>
            <w:tcW w:w="1200" w:type="dxa"/>
          </w:tcPr>
          <w:p w14:paraId="4498ED41" w14:textId="0638BA37" w:rsidR="657611A1" w:rsidRDefault="657611A1">
            <w:r>
              <w:t>Days 1 to 30</w:t>
            </w:r>
          </w:p>
        </w:tc>
        <w:tc>
          <w:tcPr>
            <w:tcW w:w="3660" w:type="dxa"/>
          </w:tcPr>
          <w:p w14:paraId="3B3A9992" w14:textId="7F16A0FB" w:rsidR="657611A1" w:rsidRDefault="657611A1">
            <w:r>
              <w:t>Debrief the 2 June 2026 demo preparation with Valene Samuels; record audience, content shown, reactions and any follow-ups owed</w:t>
            </w:r>
          </w:p>
        </w:tc>
        <w:tc>
          <w:tcPr>
            <w:tcW w:w="1500" w:type="dxa"/>
          </w:tcPr>
          <w:p w14:paraId="4DBFDBD5" w14:textId="77F487BF" w:rsidR="657611A1" w:rsidRDefault="657611A1">
            <w:r>
              <w:t>Valene Samuels</w:t>
            </w:r>
          </w:p>
        </w:tc>
        <w:tc>
          <w:tcPr>
            <w:tcW w:w="1200" w:type="dxa"/>
          </w:tcPr>
          <w:p w14:paraId="5A091919" w14:textId="70D26E83" w:rsidR="657611A1" w:rsidRDefault="657611A1">
            <w:r>
              <w:t>10 Sep 2026</w:t>
            </w:r>
          </w:p>
        </w:tc>
        <w:tc>
          <w:tcPr>
            <w:tcW w:w="1800" w:type="dxa"/>
          </w:tcPr>
          <w:p w14:paraId="76BF06F5" w14:textId="69B05547" w:rsidR="657611A1" w:rsidRDefault="657611A1">
            <w:r>
              <w:t>Written debrief filed in the account folder</w:t>
            </w:r>
          </w:p>
        </w:tc>
      </w:tr>
      <w:tr w:rsidR="657611A1" w14:paraId="468FD91E" w14:textId="77777777" w:rsidTr="657611A1">
        <w:tc>
          <w:tcPr>
            <w:tcW w:w="1200" w:type="dxa"/>
          </w:tcPr>
          <w:p w14:paraId="3196738B" w14:textId="00C5B5BC" w:rsidR="657611A1" w:rsidRDefault="657611A1">
            <w:r>
              <w:t>Days 1 to 30</w:t>
            </w:r>
          </w:p>
        </w:tc>
        <w:tc>
          <w:tcPr>
            <w:tcW w:w="3660" w:type="dxa"/>
          </w:tcPr>
          <w:p w14:paraId="429282CA" w14:textId="79A39C80" w:rsidR="657611A1" w:rsidRDefault="657611A1">
            <w:r>
              <w:t>Create a U.S. Bank account folder in SharePoint holding this plan, the public source pack and a contact log</w:t>
            </w:r>
          </w:p>
        </w:tc>
        <w:tc>
          <w:tcPr>
            <w:tcW w:w="1500" w:type="dxa"/>
          </w:tcPr>
          <w:p w14:paraId="2F7A1E94" w14:textId="72818344" w:rsidR="657611A1" w:rsidRDefault="657611A1">
            <w:r>
              <w:t>Bojan Buhac</w:t>
            </w:r>
          </w:p>
        </w:tc>
        <w:tc>
          <w:tcPr>
            <w:tcW w:w="1200" w:type="dxa"/>
          </w:tcPr>
          <w:p w14:paraId="7B7FAFC2" w14:textId="6B5F6A08" w:rsidR="657611A1" w:rsidRDefault="657611A1">
            <w:r>
              <w:t>10 Sep 2026</w:t>
            </w:r>
          </w:p>
        </w:tc>
        <w:tc>
          <w:tcPr>
            <w:tcW w:w="1800" w:type="dxa"/>
          </w:tcPr>
          <w:p w14:paraId="17F36D7B" w14:textId="643D50CC" w:rsidR="657611A1" w:rsidRDefault="657611A1">
            <w:r>
              <w:t>Folder live; all future artefacts stored there</w:t>
            </w:r>
          </w:p>
        </w:tc>
      </w:tr>
      <w:tr w:rsidR="657611A1" w14:paraId="7DBAC22D" w14:textId="77777777" w:rsidTr="657611A1">
        <w:tc>
          <w:tcPr>
            <w:tcW w:w="1200" w:type="dxa"/>
          </w:tcPr>
          <w:p w14:paraId="635618CD" w14:textId="7B52B141" w:rsidR="657611A1" w:rsidRDefault="657611A1">
            <w:r>
              <w:t>Days 1 to 30</w:t>
            </w:r>
          </w:p>
        </w:tc>
        <w:tc>
          <w:tcPr>
            <w:tcW w:w="3660" w:type="dxa"/>
          </w:tcPr>
          <w:p w14:paraId="35D1B992" w14:textId="74309805" w:rsidR="657611A1" w:rsidRDefault="657611A1">
            <w:r>
              <w:t>Monitor the outcome of the 3 September LockBit deadline and any disclosure; adjust tone and timing of outreach</w:t>
            </w:r>
          </w:p>
        </w:tc>
        <w:tc>
          <w:tcPr>
            <w:tcW w:w="1500" w:type="dxa"/>
          </w:tcPr>
          <w:p w14:paraId="795CE10B" w14:textId="6D0E7EC9" w:rsidR="657611A1" w:rsidRDefault="657611A1">
            <w:r>
              <w:t>Valene Samuels</w:t>
            </w:r>
          </w:p>
        </w:tc>
        <w:tc>
          <w:tcPr>
            <w:tcW w:w="1200" w:type="dxa"/>
          </w:tcPr>
          <w:p w14:paraId="784318AD" w14:textId="65EC658D" w:rsidR="657611A1" w:rsidRDefault="657611A1">
            <w:r>
              <w:t>5 Sep 2026, then weekly</w:t>
            </w:r>
          </w:p>
        </w:tc>
        <w:tc>
          <w:tcPr>
            <w:tcW w:w="1800" w:type="dxa"/>
          </w:tcPr>
          <w:p w14:paraId="196070BF" w14:textId="5ECA4C51" w:rsidR="657611A1" w:rsidRDefault="657611A1">
            <w:r>
              <w:t xml:space="preserve">Watch </w:t>
            </w:r>
            <w:proofErr w:type="gramStart"/>
            <w:r>
              <w:t>note</w:t>
            </w:r>
            <w:proofErr w:type="gramEnd"/>
            <w:r>
              <w:t xml:space="preserve"> added to the contact log each week</w:t>
            </w:r>
          </w:p>
        </w:tc>
      </w:tr>
      <w:tr w:rsidR="657611A1" w14:paraId="29FF542D" w14:textId="77777777" w:rsidTr="657611A1">
        <w:tc>
          <w:tcPr>
            <w:tcW w:w="1200" w:type="dxa"/>
          </w:tcPr>
          <w:p w14:paraId="4DAFEDAD" w14:textId="75DFACC6" w:rsidR="657611A1" w:rsidRDefault="657611A1">
            <w:r>
              <w:t>Days 1 to 30</w:t>
            </w:r>
          </w:p>
        </w:tc>
        <w:tc>
          <w:tcPr>
            <w:tcW w:w="3660" w:type="dxa"/>
          </w:tcPr>
          <w:p w14:paraId="51D21D3E" w14:textId="6EBD938A" w:rsidR="657611A1" w:rsidRDefault="657611A1">
            <w:r>
              <w:t>Request an introduction to the Global Chief Information and Technology Officer's organisation through the Microsoft account team; identify Microsoft financial-services contacts covering U.S. Bank</w:t>
            </w:r>
          </w:p>
        </w:tc>
        <w:tc>
          <w:tcPr>
            <w:tcW w:w="1500" w:type="dxa"/>
          </w:tcPr>
          <w:p w14:paraId="3E1BA630" w14:textId="679B7A4E" w:rsidR="657611A1" w:rsidRDefault="657611A1">
            <w:r>
              <w:t>Bojan Buhac</w:t>
            </w:r>
          </w:p>
        </w:tc>
        <w:tc>
          <w:tcPr>
            <w:tcW w:w="1200" w:type="dxa"/>
          </w:tcPr>
          <w:p w14:paraId="50C0F204" w14:textId="60796112" w:rsidR="657611A1" w:rsidRDefault="657611A1">
            <w:r>
              <w:t>24 Sep 2026</w:t>
            </w:r>
          </w:p>
        </w:tc>
        <w:tc>
          <w:tcPr>
            <w:tcW w:w="1800" w:type="dxa"/>
          </w:tcPr>
          <w:p w14:paraId="54C8B298" w14:textId="595747D6" w:rsidR="657611A1" w:rsidRDefault="657611A1">
            <w:r>
              <w:t>Introductory meeting scheduled</w:t>
            </w:r>
          </w:p>
        </w:tc>
      </w:tr>
      <w:tr w:rsidR="657611A1" w14:paraId="1E7303C2" w14:textId="77777777" w:rsidTr="657611A1">
        <w:tc>
          <w:tcPr>
            <w:tcW w:w="1200" w:type="dxa"/>
          </w:tcPr>
          <w:p w14:paraId="4E18A2DB" w14:textId="706CA84B" w:rsidR="657611A1" w:rsidRDefault="657611A1">
            <w:r>
              <w:t>Days 1 to 30</w:t>
            </w:r>
          </w:p>
        </w:tc>
        <w:tc>
          <w:tcPr>
            <w:tcW w:w="3660" w:type="dxa"/>
          </w:tcPr>
          <w:p w14:paraId="19B68FC8" w14:textId="694A8F0F" w:rsidR="657611A1" w:rsidRDefault="657611A1">
            <w:r>
              <w:t>Prepare the security and governance pack (Pillar 5) and vendor-onboarding evidence (data handling, access model, logging, model versioning)</w:t>
            </w:r>
          </w:p>
        </w:tc>
        <w:tc>
          <w:tcPr>
            <w:tcW w:w="1500" w:type="dxa"/>
          </w:tcPr>
          <w:p w14:paraId="642DE630" w14:textId="622875D3" w:rsidR="657611A1" w:rsidRDefault="657611A1">
            <w:r>
              <w:t>Valene Samuels</w:t>
            </w:r>
          </w:p>
        </w:tc>
        <w:tc>
          <w:tcPr>
            <w:tcW w:w="1200" w:type="dxa"/>
          </w:tcPr>
          <w:p w14:paraId="749EEAA7" w14:textId="5B065C97" w:rsidR="657611A1" w:rsidRDefault="657611A1">
            <w:r>
              <w:t>1 Oct 2026</w:t>
            </w:r>
          </w:p>
        </w:tc>
        <w:tc>
          <w:tcPr>
            <w:tcW w:w="1800" w:type="dxa"/>
          </w:tcPr>
          <w:p w14:paraId="13FABCD7" w14:textId="53E4435B" w:rsidR="657611A1" w:rsidRDefault="657611A1">
            <w:r>
              <w:t>Pack reviewed internally and ready to send</w:t>
            </w:r>
          </w:p>
        </w:tc>
      </w:tr>
      <w:tr w:rsidR="657611A1" w14:paraId="3C426FE9" w14:textId="77777777" w:rsidTr="657611A1">
        <w:tc>
          <w:tcPr>
            <w:tcW w:w="1200" w:type="dxa"/>
          </w:tcPr>
          <w:p w14:paraId="68BC54C4" w14:textId="6AF9A3D0" w:rsidR="657611A1" w:rsidRDefault="657611A1">
            <w:r>
              <w:t>Days 1 to 30</w:t>
            </w:r>
          </w:p>
        </w:tc>
        <w:tc>
          <w:tcPr>
            <w:tcW w:w="3660" w:type="dxa"/>
          </w:tcPr>
          <w:p w14:paraId="2E870742" w14:textId="63D78A94" w:rsidR="657611A1" w:rsidRDefault="657611A1">
            <w:r>
              <w:t>Draft two one-page use-case briefs: agentic AI governance readiness assessment and business banker productivity agent</w:t>
            </w:r>
          </w:p>
        </w:tc>
        <w:tc>
          <w:tcPr>
            <w:tcW w:w="1500" w:type="dxa"/>
          </w:tcPr>
          <w:p w14:paraId="192B5054" w14:textId="5CB57158" w:rsidR="657611A1" w:rsidRDefault="657611A1">
            <w:r>
              <w:t>Bojan Buhac</w:t>
            </w:r>
          </w:p>
        </w:tc>
        <w:tc>
          <w:tcPr>
            <w:tcW w:w="1200" w:type="dxa"/>
          </w:tcPr>
          <w:p w14:paraId="1563DF16" w14:textId="5593581C" w:rsidR="657611A1" w:rsidRDefault="657611A1">
            <w:r>
              <w:t>3 Oct 2026</w:t>
            </w:r>
          </w:p>
        </w:tc>
        <w:tc>
          <w:tcPr>
            <w:tcW w:w="1800" w:type="dxa"/>
          </w:tcPr>
          <w:p w14:paraId="4F9635B5" w14:textId="4E713EE0" w:rsidR="657611A1" w:rsidRDefault="657611A1">
            <w:r>
              <w:t>Briefs approved by Lisa Taylor</w:t>
            </w:r>
          </w:p>
        </w:tc>
      </w:tr>
      <w:tr w:rsidR="657611A1" w14:paraId="2C88D838" w14:textId="77777777" w:rsidTr="657611A1">
        <w:tc>
          <w:tcPr>
            <w:tcW w:w="1200" w:type="dxa"/>
          </w:tcPr>
          <w:p w14:paraId="47516A8F" w14:textId="65869F55" w:rsidR="657611A1" w:rsidRDefault="657611A1">
            <w:r>
              <w:t>Days 31 to 60</w:t>
            </w:r>
          </w:p>
        </w:tc>
        <w:tc>
          <w:tcPr>
            <w:tcW w:w="3660" w:type="dxa"/>
          </w:tcPr>
          <w:p w14:paraId="1EB8173A" w14:textId="5E648619" w:rsidR="657611A1" w:rsidRDefault="657611A1">
            <w:r>
              <w:t>Track U.S. Bancorp's third-quarter 2026 results (expected mid-October, following the 16 July second-quarter cadence) and refresh the account snapshot</w:t>
            </w:r>
          </w:p>
        </w:tc>
        <w:tc>
          <w:tcPr>
            <w:tcW w:w="1500" w:type="dxa"/>
          </w:tcPr>
          <w:p w14:paraId="2A371860" w14:textId="57426CDD" w:rsidR="657611A1" w:rsidRDefault="657611A1">
            <w:r>
              <w:t>Bojan Buhac</w:t>
            </w:r>
          </w:p>
        </w:tc>
        <w:tc>
          <w:tcPr>
            <w:tcW w:w="1200" w:type="dxa"/>
          </w:tcPr>
          <w:p w14:paraId="1DF8FDC6" w14:textId="502053A1" w:rsidR="657611A1" w:rsidRDefault="657611A1">
            <w:r>
              <w:t>20 Oct 2026</w:t>
            </w:r>
          </w:p>
        </w:tc>
        <w:tc>
          <w:tcPr>
            <w:tcW w:w="1800" w:type="dxa"/>
          </w:tcPr>
          <w:p w14:paraId="2A2B573C" w14:textId="48FE3A65" w:rsidR="657611A1" w:rsidRDefault="657611A1">
            <w:r>
              <w:t>Snapshot table updated with Q3 figures</w:t>
            </w:r>
          </w:p>
        </w:tc>
      </w:tr>
      <w:tr w:rsidR="657611A1" w14:paraId="687CB107" w14:textId="77777777" w:rsidTr="657611A1">
        <w:tc>
          <w:tcPr>
            <w:tcW w:w="1200" w:type="dxa"/>
          </w:tcPr>
          <w:p w14:paraId="7FB3595D" w14:textId="60139ADA" w:rsidR="657611A1" w:rsidRDefault="657611A1">
            <w:r>
              <w:t>Days 31 to 60</w:t>
            </w:r>
          </w:p>
        </w:tc>
        <w:tc>
          <w:tcPr>
            <w:tcW w:w="3660" w:type="dxa"/>
          </w:tcPr>
          <w:p w14:paraId="43F6CD4F" w14:textId="58F1819E" w:rsidR="657611A1" w:rsidRDefault="657611A1">
            <w:r>
              <w:t>Run a 90-minute discovery workshop with technology and business banking stakeholders using the two briefs</w:t>
            </w:r>
          </w:p>
        </w:tc>
        <w:tc>
          <w:tcPr>
            <w:tcW w:w="1500" w:type="dxa"/>
          </w:tcPr>
          <w:p w14:paraId="540D6ADD" w14:textId="51CF6862" w:rsidR="657611A1" w:rsidRDefault="657611A1">
            <w:r>
              <w:t>Bojan Buhac and Valene Samuels</w:t>
            </w:r>
          </w:p>
        </w:tc>
        <w:tc>
          <w:tcPr>
            <w:tcW w:w="1200" w:type="dxa"/>
          </w:tcPr>
          <w:p w14:paraId="6D03B37C" w14:textId="4AAD4F26" w:rsidR="657611A1" w:rsidRDefault="657611A1">
            <w:r>
              <w:t>30 Oct 2026</w:t>
            </w:r>
          </w:p>
        </w:tc>
        <w:tc>
          <w:tcPr>
            <w:tcW w:w="1800" w:type="dxa"/>
          </w:tcPr>
          <w:p w14:paraId="79CC9308" w14:textId="438B35EA" w:rsidR="657611A1" w:rsidRDefault="657611A1">
            <w:r>
              <w:t>Three named U.S. Bank contacts; pain points and one candidate workflow captured</w:t>
            </w:r>
          </w:p>
        </w:tc>
      </w:tr>
      <w:tr w:rsidR="657611A1" w14:paraId="76C42542" w14:textId="77777777" w:rsidTr="657611A1">
        <w:tc>
          <w:tcPr>
            <w:tcW w:w="1200" w:type="dxa"/>
          </w:tcPr>
          <w:p w14:paraId="4A54BB65" w14:textId="5AA0965F" w:rsidR="657611A1" w:rsidRDefault="657611A1">
            <w:r>
              <w:t>Days 31 to 60</w:t>
            </w:r>
          </w:p>
        </w:tc>
        <w:tc>
          <w:tcPr>
            <w:tcW w:w="3660" w:type="dxa"/>
          </w:tcPr>
          <w:p w14:paraId="47652F1B" w14:textId="537E7D23" w:rsidR="657611A1" w:rsidRDefault="657611A1">
            <w:r>
              <w:t>Complete lightweight Pillar 1 and Pillar 2 inputs (strategy alignment, process map of the candidate workflow) from discovery output</w:t>
            </w:r>
          </w:p>
        </w:tc>
        <w:tc>
          <w:tcPr>
            <w:tcW w:w="1500" w:type="dxa"/>
          </w:tcPr>
          <w:p w14:paraId="1F372337" w14:textId="4C5C63E7" w:rsidR="657611A1" w:rsidRDefault="657611A1">
            <w:r>
              <w:t>Bojan Buhac</w:t>
            </w:r>
          </w:p>
        </w:tc>
        <w:tc>
          <w:tcPr>
            <w:tcW w:w="1200" w:type="dxa"/>
          </w:tcPr>
          <w:p w14:paraId="4CC355CD" w14:textId="453A4AAB" w:rsidR="657611A1" w:rsidRDefault="657611A1">
            <w:r>
              <w:t>2 Nov 2026</w:t>
            </w:r>
          </w:p>
        </w:tc>
        <w:tc>
          <w:tcPr>
            <w:tcW w:w="1800" w:type="dxa"/>
          </w:tcPr>
          <w:p w14:paraId="70D72C72" w14:textId="3E18316F" w:rsidR="657611A1" w:rsidRDefault="657611A1">
            <w:r>
              <w:t>Draft assessment shared with the customer contacts</w:t>
            </w:r>
          </w:p>
        </w:tc>
      </w:tr>
      <w:tr w:rsidR="657611A1" w14:paraId="61FD3780" w14:textId="77777777" w:rsidTr="657611A1">
        <w:tc>
          <w:tcPr>
            <w:tcW w:w="1200" w:type="dxa"/>
          </w:tcPr>
          <w:p w14:paraId="62C6BE1A" w14:textId="552D91E4" w:rsidR="657611A1" w:rsidRDefault="657611A1">
            <w:r>
              <w:t>Days 61 to 90</w:t>
            </w:r>
          </w:p>
        </w:tc>
        <w:tc>
          <w:tcPr>
            <w:tcW w:w="3660" w:type="dxa"/>
          </w:tcPr>
          <w:p w14:paraId="7FF2854D" w14:textId="4E0B78A8" w:rsidR="657611A1" w:rsidRDefault="657611A1">
            <w:r>
              <w:t>Submit a scoped pilot proposal using the T.I.G.RE.S statement-of-work structure, with success metrics tied to efficiency and operating leverage</w:t>
            </w:r>
          </w:p>
        </w:tc>
        <w:tc>
          <w:tcPr>
            <w:tcW w:w="1500" w:type="dxa"/>
          </w:tcPr>
          <w:p w14:paraId="288DA2FD" w14:textId="46E95F6C" w:rsidR="657611A1" w:rsidRDefault="657611A1">
            <w:r>
              <w:t>Bojan Buhac</w:t>
            </w:r>
          </w:p>
        </w:tc>
        <w:tc>
          <w:tcPr>
            <w:tcW w:w="1200" w:type="dxa"/>
          </w:tcPr>
          <w:p w14:paraId="6D1996D9" w14:textId="3FC74630" w:rsidR="657611A1" w:rsidRDefault="657611A1">
            <w:r>
              <w:t>20 Nov 2026</w:t>
            </w:r>
          </w:p>
        </w:tc>
        <w:tc>
          <w:tcPr>
            <w:tcW w:w="1800" w:type="dxa"/>
          </w:tcPr>
          <w:p w14:paraId="2DA40606" w14:textId="38A52CF4" w:rsidR="657611A1" w:rsidRDefault="657611A1">
            <w:r>
              <w:t>Proposal acknowledged by a budget owner</w:t>
            </w:r>
          </w:p>
        </w:tc>
      </w:tr>
      <w:tr w:rsidR="657611A1" w14:paraId="66BAEC6B" w14:textId="77777777" w:rsidTr="657611A1">
        <w:tc>
          <w:tcPr>
            <w:tcW w:w="1200" w:type="dxa"/>
          </w:tcPr>
          <w:p w14:paraId="6B280609" w14:textId="4FBA8D69" w:rsidR="657611A1" w:rsidRDefault="657611A1">
            <w:r>
              <w:lastRenderedPageBreak/>
              <w:t>Days 61 to 90</w:t>
            </w:r>
          </w:p>
        </w:tc>
        <w:tc>
          <w:tcPr>
            <w:tcW w:w="3660" w:type="dxa"/>
          </w:tcPr>
          <w:p w14:paraId="575B98AA" w14:textId="4898742D" w:rsidR="657611A1" w:rsidRDefault="657611A1">
            <w:r>
              <w:t>Deliver an executive briefing or one-page value letter to the sponsor and request a slot in the 2027 planning cycle</w:t>
            </w:r>
          </w:p>
        </w:tc>
        <w:tc>
          <w:tcPr>
            <w:tcW w:w="1500" w:type="dxa"/>
          </w:tcPr>
          <w:p w14:paraId="3D6E1412" w14:textId="41765AF1" w:rsidR="657611A1" w:rsidRDefault="657611A1">
            <w:r>
              <w:t>Bojan Buhac with Lisa Taylor</w:t>
            </w:r>
          </w:p>
        </w:tc>
        <w:tc>
          <w:tcPr>
            <w:tcW w:w="1200" w:type="dxa"/>
          </w:tcPr>
          <w:p w14:paraId="394E310D" w14:textId="3A5441B5" w:rsidR="657611A1" w:rsidRDefault="657611A1">
            <w:r>
              <w:t>2 Dec 2026</w:t>
            </w:r>
          </w:p>
        </w:tc>
        <w:tc>
          <w:tcPr>
            <w:tcW w:w="1800" w:type="dxa"/>
          </w:tcPr>
          <w:p w14:paraId="63026E77" w14:textId="33322879" w:rsidR="657611A1" w:rsidRDefault="657611A1">
            <w:r>
              <w:t>Sponsor meeting held or scheduled</w:t>
            </w:r>
          </w:p>
        </w:tc>
      </w:tr>
      <w:tr w:rsidR="657611A1" w14:paraId="7F3F7117" w14:textId="77777777" w:rsidTr="657611A1">
        <w:tc>
          <w:tcPr>
            <w:tcW w:w="1200" w:type="dxa"/>
          </w:tcPr>
          <w:p w14:paraId="7F232581" w14:textId="4A4788EE" w:rsidR="657611A1" w:rsidRDefault="657611A1">
            <w:r>
              <w:t>Days 61 to 90</w:t>
            </w:r>
          </w:p>
        </w:tc>
        <w:tc>
          <w:tcPr>
            <w:tcW w:w="3660" w:type="dxa"/>
          </w:tcPr>
          <w:p w14:paraId="664A00C5" w14:textId="43256FB2" w:rsidR="657611A1" w:rsidRDefault="657611A1">
            <w:r>
              <w:t>Pre-stage a persistent demo tenant and confirm a second technical resource for delivery</w:t>
            </w:r>
          </w:p>
        </w:tc>
        <w:tc>
          <w:tcPr>
            <w:tcW w:w="1500" w:type="dxa"/>
          </w:tcPr>
          <w:p w14:paraId="4126F282" w14:textId="3C035676" w:rsidR="657611A1" w:rsidRDefault="657611A1">
            <w:r>
              <w:t>Valene Samuels with Lisa Taylor</w:t>
            </w:r>
          </w:p>
        </w:tc>
        <w:tc>
          <w:tcPr>
            <w:tcW w:w="1200" w:type="dxa"/>
          </w:tcPr>
          <w:p w14:paraId="3AC77B8E" w14:textId="34E13D3A" w:rsidR="657611A1" w:rsidRDefault="657611A1">
            <w:r>
              <w:t>20 Nov 2026</w:t>
            </w:r>
          </w:p>
        </w:tc>
        <w:tc>
          <w:tcPr>
            <w:tcW w:w="1800" w:type="dxa"/>
          </w:tcPr>
          <w:p w14:paraId="74CA12B6" w14:textId="2DBF23FE" w:rsidR="657611A1" w:rsidRDefault="657611A1">
            <w:r>
              <w:t>Demo tenant available without just-in-time activations</w:t>
            </w:r>
          </w:p>
        </w:tc>
      </w:tr>
      <w:tr w:rsidR="657611A1" w14:paraId="696FAAB8" w14:textId="77777777" w:rsidTr="657611A1">
        <w:tc>
          <w:tcPr>
            <w:tcW w:w="1200" w:type="dxa"/>
          </w:tcPr>
          <w:p w14:paraId="345ADA61" w14:textId="44D48473" w:rsidR="657611A1" w:rsidRDefault="657611A1">
            <w:r>
              <w:t>Day 90 review</w:t>
            </w:r>
          </w:p>
        </w:tc>
        <w:tc>
          <w:tcPr>
            <w:tcW w:w="3660" w:type="dxa"/>
          </w:tcPr>
          <w:p w14:paraId="3D7D2718" w14:textId="3DB26B37" w:rsidR="657611A1" w:rsidRDefault="657611A1">
            <w:r>
              <w:t>Update the relationship map, opportunity stages and risk ratings; decide to continue, pivot or pause the account</w:t>
            </w:r>
          </w:p>
        </w:tc>
        <w:tc>
          <w:tcPr>
            <w:tcW w:w="1500" w:type="dxa"/>
          </w:tcPr>
          <w:p w14:paraId="4676BFE8" w14:textId="369051FB" w:rsidR="657611A1" w:rsidRDefault="657611A1">
            <w:r>
              <w:t>Bojan Buhac and Lisa Taylor</w:t>
            </w:r>
          </w:p>
        </w:tc>
        <w:tc>
          <w:tcPr>
            <w:tcW w:w="1200" w:type="dxa"/>
          </w:tcPr>
          <w:p w14:paraId="264B132C" w14:textId="2F6E38BF" w:rsidR="657611A1" w:rsidRDefault="657611A1">
            <w:r>
              <w:t>2 Dec 2026</w:t>
            </w:r>
          </w:p>
        </w:tc>
        <w:tc>
          <w:tcPr>
            <w:tcW w:w="1800" w:type="dxa"/>
          </w:tcPr>
          <w:p w14:paraId="27C19015" w14:textId="284C1F83" w:rsidR="657611A1" w:rsidRDefault="657611A1">
            <w:r>
              <w:t>Revised plan issued for Q1 2027</w:t>
            </w:r>
          </w:p>
        </w:tc>
      </w:tr>
    </w:tbl>
    <w:p w14:paraId="4391BECD" w14:textId="4621468C" w:rsidR="657611A1" w:rsidRDefault="657611A1">
      <w:r>
        <w:t>Day-90 success is defined as three things being true on 2 December 2026: at least three named U.S. Bank contacts with a recorded interaction in the last 30 days; one discovery workshop delivered and written up; and one pilot proposal in front of a budget owner. If the Microsoft introduction has not landed by 3 October, the fallback is direct outreach to the business banking leadership named in the 31 August 2026 announcement, using the banker-productivity brief, and the day-30 checkpoint should re-set the dates accordingly.</w:t>
      </w:r>
    </w:p>
    <w:p w14:paraId="1BD1033E" w14:textId="4A2835B6" w:rsidR="657611A1" w:rsidRDefault="657611A1" w:rsidP="657611A1">
      <w:pPr>
        <w:pStyle w:val="Heading1"/>
      </w:pPr>
      <w:r w:rsidRPr="657611A1">
        <w:rPr>
          <w:color w:val="64381F"/>
        </w:rPr>
        <w:t>8. Sources</w:t>
      </w:r>
    </w:p>
    <w:p w14:paraId="29C9B31B" w14:textId="46CF7B53" w:rsidR="657611A1" w:rsidRDefault="657611A1">
      <w:r>
        <w:t>Internal sources are Microsoft 365 records available to the account team as of 3 September 2026. External sources are public documents; figures quoted from secondary outlets (InfotechLead, Hudson Labs, Market Inference, earningscalls.dev, StockTitan) should be re-verified against the primary filing before they are used in customer-facing material.</w:t>
      </w:r>
    </w:p>
    <w:p w14:paraId="79656174" w14:textId="4580368F" w:rsidR="657611A1" w:rsidRDefault="657611A1" w:rsidP="657611A1">
      <w:pPr>
        <w:pStyle w:val="Heading2"/>
      </w:pPr>
      <w:r w:rsidRPr="657611A1">
        <w:rPr>
          <w:color w:val="64381F"/>
        </w:rPr>
        <w:t>Internal (Microsoft 365)</w:t>
      </w:r>
    </w:p>
    <w:tbl>
      <w:tblPr>
        <w:tblStyle w:val="TableGrid"/>
        <w:tblW w:w="0" w:type="auto"/>
        <w:tblLook w:val="0000" w:firstRow="0" w:lastRow="0" w:firstColumn="0" w:lastColumn="0" w:noHBand="0" w:noVBand="0"/>
      </w:tblPr>
      <w:tblGrid>
        <w:gridCol w:w="600"/>
        <w:gridCol w:w="4760"/>
        <w:gridCol w:w="1400"/>
        <w:gridCol w:w="2600"/>
      </w:tblGrid>
      <w:tr w:rsidR="657611A1" w14:paraId="36C25ECF" w14:textId="77777777" w:rsidTr="657611A1">
        <w:tc>
          <w:tcPr>
            <w:tcW w:w="600" w:type="dxa"/>
          </w:tcPr>
          <w:p w14:paraId="41F29950" w14:textId="22D91B08" w:rsidR="657611A1" w:rsidRDefault="657611A1">
            <w:r>
              <w:t>Ref</w:t>
            </w:r>
          </w:p>
        </w:tc>
        <w:tc>
          <w:tcPr>
            <w:tcW w:w="4760" w:type="dxa"/>
          </w:tcPr>
          <w:p w14:paraId="555F1A4D" w14:textId="1BB701CC" w:rsidR="657611A1" w:rsidRDefault="657611A1">
            <w:r>
              <w:t>Source</w:t>
            </w:r>
          </w:p>
        </w:tc>
        <w:tc>
          <w:tcPr>
            <w:tcW w:w="1400" w:type="dxa"/>
          </w:tcPr>
          <w:p w14:paraId="326D34B2" w14:textId="1494E890" w:rsidR="657611A1" w:rsidRDefault="657611A1">
            <w:r>
              <w:t>Date</w:t>
            </w:r>
          </w:p>
        </w:tc>
        <w:tc>
          <w:tcPr>
            <w:tcW w:w="2600" w:type="dxa"/>
          </w:tcPr>
          <w:p w14:paraId="191230CD" w14:textId="0D72CF54" w:rsidR="657611A1" w:rsidRDefault="657611A1">
            <w:r>
              <w:t>Location</w:t>
            </w:r>
          </w:p>
        </w:tc>
      </w:tr>
      <w:tr w:rsidR="657611A1" w14:paraId="7B710E92" w14:textId="77777777" w:rsidTr="657611A1">
        <w:tc>
          <w:tcPr>
            <w:tcW w:w="600" w:type="dxa"/>
          </w:tcPr>
          <w:p w14:paraId="4230748F" w14:textId="24882FC9" w:rsidR="657611A1" w:rsidRDefault="657611A1">
            <w:r>
              <w:t>I1</w:t>
            </w:r>
          </w:p>
        </w:tc>
        <w:tc>
          <w:tcPr>
            <w:tcW w:w="4760" w:type="dxa"/>
          </w:tcPr>
          <w:p w14:paraId="39BDD8F5" w14:textId="1D66168D" w:rsidR="657611A1" w:rsidRDefault="657611A1">
            <w:r>
              <w:t>Email: "PIM: Valene Samuels activated the AI Administrator role assignment" (Microsoft Security to Bojan Buhac); justification "Customer demo prep - US Bank"; activation 2 June 2026 15:53 UTC to 3 June 2026 03:53 UTC</w:t>
            </w:r>
          </w:p>
        </w:tc>
        <w:tc>
          <w:tcPr>
            <w:tcW w:w="1400" w:type="dxa"/>
          </w:tcPr>
          <w:p w14:paraId="4547A53A" w14:textId="1643FD51" w:rsidR="657611A1" w:rsidRDefault="657611A1">
            <w:r>
              <w:t>2 June 2026</w:t>
            </w:r>
          </w:p>
        </w:tc>
        <w:tc>
          <w:tcPr>
            <w:tcW w:w="2600" w:type="dxa"/>
          </w:tcPr>
          <w:p w14:paraId="65BBA811" w14:textId="0F21E415" w:rsidR="657611A1" w:rsidRDefault="657611A1">
            <w:r>
              <w:t>Outlook inbox, Bojan Buhac</w:t>
            </w:r>
          </w:p>
        </w:tc>
      </w:tr>
      <w:tr w:rsidR="657611A1" w14:paraId="71E4F311" w14:textId="77777777" w:rsidTr="657611A1">
        <w:tc>
          <w:tcPr>
            <w:tcW w:w="600" w:type="dxa"/>
          </w:tcPr>
          <w:p w14:paraId="44AB59CC" w14:textId="2637448A" w:rsidR="657611A1" w:rsidRDefault="657611A1">
            <w:r>
              <w:t>I2</w:t>
            </w:r>
          </w:p>
        </w:tc>
        <w:tc>
          <w:tcPr>
            <w:tcW w:w="4760" w:type="dxa"/>
          </w:tcPr>
          <w:p w14:paraId="2B4B43BA" w14:textId="1F152B4E" w:rsidR="657611A1" w:rsidRDefault="657611A1">
            <w:r>
              <w:t>T.I.G.RE.S SOW v1.7.docx (Architecture Design and Solutioning with Microsoft Agent Factory; T.I.G.RE.S Strategy Intelligence Agent)</w:t>
            </w:r>
          </w:p>
        </w:tc>
        <w:tc>
          <w:tcPr>
            <w:tcW w:w="1400" w:type="dxa"/>
          </w:tcPr>
          <w:p w14:paraId="1718CB24" w14:textId="17F31212" w:rsidR="657611A1" w:rsidRDefault="657611A1">
            <w:r>
              <w:t>16 to 17 July 2026</w:t>
            </w:r>
          </w:p>
        </w:tc>
        <w:tc>
          <w:tcPr>
            <w:tcW w:w="2600" w:type="dxa"/>
          </w:tcPr>
          <w:p w14:paraId="428D3B4A" w14:textId="10D0F8D6" w:rsidR="657611A1" w:rsidRDefault="657611A1">
            <w:r>
              <w:t xml:space="preserve">SharePoint site AIAC, </w:t>
            </w:r>
            <w:proofErr w:type="gramStart"/>
            <w:r>
              <w:t>Evidences</w:t>
            </w:r>
            <w:proofErr w:type="gramEnd"/>
            <w:r>
              <w:t>/TITAN</w:t>
            </w:r>
          </w:p>
        </w:tc>
      </w:tr>
      <w:tr w:rsidR="657611A1" w14:paraId="363BBBE4" w14:textId="77777777" w:rsidTr="657611A1">
        <w:tc>
          <w:tcPr>
            <w:tcW w:w="600" w:type="dxa"/>
          </w:tcPr>
          <w:p w14:paraId="6CF18A41" w14:textId="27E6594B" w:rsidR="657611A1" w:rsidRDefault="657611A1">
            <w:r>
              <w:t>I3</w:t>
            </w:r>
          </w:p>
        </w:tc>
        <w:tc>
          <w:tcPr>
            <w:tcW w:w="4760" w:type="dxa"/>
          </w:tcPr>
          <w:p w14:paraId="6756D47A" w14:textId="20C4400F" w:rsidR="657611A1" w:rsidRDefault="657611A1">
            <w:r>
              <w:t>AI Agent Central pillar evidence: Pillar1-Zava-S2P-Business_AI_Strategy, Pillar2-Zava-S2P-Business_Process_Mapping, Pillar3-Zava-S2P-Technology_and_Data, Pillar5-Zava-S2P-Security_and_Governance; pillar templates</w:t>
            </w:r>
          </w:p>
        </w:tc>
        <w:tc>
          <w:tcPr>
            <w:tcW w:w="1400" w:type="dxa"/>
          </w:tcPr>
          <w:p w14:paraId="43D72940" w14:textId="19A226D3" w:rsidR="657611A1" w:rsidRDefault="657611A1">
            <w:r>
              <w:t>March 2026</w:t>
            </w:r>
          </w:p>
        </w:tc>
        <w:tc>
          <w:tcPr>
            <w:tcW w:w="2600" w:type="dxa"/>
          </w:tcPr>
          <w:p w14:paraId="10FEA9EB" w14:textId="12800D97" w:rsidR="657611A1" w:rsidRDefault="657611A1">
            <w:r>
              <w:t xml:space="preserve">SharePoint site AIAC, </w:t>
            </w:r>
            <w:proofErr w:type="gramStart"/>
            <w:r>
              <w:t>Evidences</w:t>
            </w:r>
            <w:proofErr w:type="gramEnd"/>
            <w:r>
              <w:t>/Zava S2P Agent and SiteAssets/Pillar Templates</w:t>
            </w:r>
          </w:p>
        </w:tc>
      </w:tr>
      <w:tr w:rsidR="657611A1" w14:paraId="142888E6" w14:textId="77777777" w:rsidTr="657611A1">
        <w:tc>
          <w:tcPr>
            <w:tcW w:w="600" w:type="dxa"/>
          </w:tcPr>
          <w:p w14:paraId="348763B0" w14:textId="29956E0C" w:rsidR="657611A1" w:rsidRDefault="657611A1">
            <w:r>
              <w:t>I4</w:t>
            </w:r>
          </w:p>
        </w:tc>
        <w:tc>
          <w:tcPr>
            <w:tcW w:w="4760" w:type="dxa"/>
          </w:tcPr>
          <w:p w14:paraId="618252F2" w14:textId="227354D0" w:rsidR="657611A1" w:rsidRDefault="657611A1">
            <w:r>
              <w:t>People directory: Valene Samuels (Consultant, Information Technology); Lisa Taylor (Director Human Resources); Teams team "AI Agent Central" (AI Agent Governance team)</w:t>
            </w:r>
          </w:p>
        </w:tc>
        <w:tc>
          <w:tcPr>
            <w:tcW w:w="1400" w:type="dxa"/>
          </w:tcPr>
          <w:p w14:paraId="7551912F" w14:textId="1B513B94" w:rsidR="657611A1" w:rsidRDefault="657611A1">
            <w:r>
              <w:t>3 September 2026</w:t>
            </w:r>
          </w:p>
        </w:tc>
        <w:tc>
          <w:tcPr>
            <w:tcW w:w="2600" w:type="dxa"/>
          </w:tcPr>
          <w:p w14:paraId="5B004942" w14:textId="142F2258" w:rsidR="657611A1" w:rsidRDefault="657611A1">
            <w:r>
              <w:t>Microsoft 365 directory and Teams</w:t>
            </w:r>
          </w:p>
        </w:tc>
      </w:tr>
      <w:tr w:rsidR="657611A1" w14:paraId="6D56B7F7" w14:textId="77777777" w:rsidTr="657611A1">
        <w:tc>
          <w:tcPr>
            <w:tcW w:w="600" w:type="dxa"/>
          </w:tcPr>
          <w:p w14:paraId="58D0268C" w14:textId="2B4482CD" w:rsidR="657611A1" w:rsidRDefault="657611A1">
            <w:r>
              <w:t>I5</w:t>
            </w:r>
          </w:p>
        </w:tc>
        <w:tc>
          <w:tcPr>
            <w:tcW w:w="4760" w:type="dxa"/>
          </w:tcPr>
          <w:p w14:paraId="4AD233F7" w14:textId="24226991" w:rsidR="657611A1" w:rsidRDefault="657611A1">
            <w:r>
              <w:t xml:space="preserve">Coverage check: searches of email, Teams, calendar and SharePoint/OneDrive for "US </w:t>
            </w:r>
            <w:r>
              <w:lastRenderedPageBreak/>
              <w:t>Bank", "U.S. Bancorp", "Bancorp" and related terms returned only I1</w:t>
            </w:r>
          </w:p>
        </w:tc>
        <w:tc>
          <w:tcPr>
            <w:tcW w:w="1400" w:type="dxa"/>
          </w:tcPr>
          <w:p w14:paraId="3EF48445" w14:textId="1D005055" w:rsidR="657611A1" w:rsidRDefault="657611A1">
            <w:r>
              <w:lastRenderedPageBreak/>
              <w:t xml:space="preserve">3 September </w:t>
            </w:r>
            <w:r>
              <w:lastRenderedPageBreak/>
              <w:t>2026</w:t>
            </w:r>
          </w:p>
        </w:tc>
        <w:tc>
          <w:tcPr>
            <w:tcW w:w="2600" w:type="dxa"/>
          </w:tcPr>
          <w:p w14:paraId="50B3BF85" w14:textId="15DE3719" w:rsidR="657611A1" w:rsidRDefault="657611A1">
            <w:r>
              <w:lastRenderedPageBreak/>
              <w:t>Microsoft 365 search</w:t>
            </w:r>
          </w:p>
        </w:tc>
      </w:tr>
    </w:tbl>
    <w:p w14:paraId="2EFAB74B" w14:textId="3D94BE09" w:rsidR="657611A1" w:rsidRDefault="657611A1" w:rsidP="657611A1">
      <w:pPr>
        <w:pStyle w:val="Heading2"/>
      </w:pPr>
      <w:r w:rsidRPr="657611A1">
        <w:rPr>
          <w:color w:val="64381F"/>
        </w:rPr>
        <w:t>External (public)</w:t>
      </w:r>
    </w:p>
    <w:tbl>
      <w:tblPr>
        <w:tblStyle w:val="TableGrid"/>
        <w:tblW w:w="0" w:type="auto"/>
        <w:tblLook w:val="0000" w:firstRow="0" w:lastRow="0" w:firstColumn="0" w:lastColumn="0" w:noHBand="0" w:noVBand="0"/>
      </w:tblPr>
      <w:tblGrid>
        <w:gridCol w:w="586"/>
        <w:gridCol w:w="1833"/>
        <w:gridCol w:w="1237"/>
        <w:gridCol w:w="5920"/>
      </w:tblGrid>
      <w:tr w:rsidR="657611A1" w14:paraId="7C3AF46B" w14:textId="77777777" w:rsidTr="657611A1">
        <w:tc>
          <w:tcPr>
            <w:tcW w:w="600" w:type="dxa"/>
          </w:tcPr>
          <w:p w14:paraId="2B7F35CA" w14:textId="624071B4" w:rsidR="657611A1" w:rsidRDefault="657611A1">
            <w:r>
              <w:t>Ref</w:t>
            </w:r>
          </w:p>
        </w:tc>
        <w:tc>
          <w:tcPr>
            <w:tcW w:w="3700" w:type="dxa"/>
          </w:tcPr>
          <w:p w14:paraId="182D3395" w14:textId="5B1E5878" w:rsidR="657611A1" w:rsidRDefault="657611A1">
            <w:r>
              <w:t>Source</w:t>
            </w:r>
          </w:p>
        </w:tc>
        <w:tc>
          <w:tcPr>
            <w:tcW w:w="1300" w:type="dxa"/>
          </w:tcPr>
          <w:p w14:paraId="66A8004B" w14:textId="53FC3F3C" w:rsidR="657611A1" w:rsidRDefault="657611A1">
            <w:r>
              <w:t>Date</w:t>
            </w:r>
          </w:p>
        </w:tc>
        <w:tc>
          <w:tcPr>
            <w:tcW w:w="3760" w:type="dxa"/>
          </w:tcPr>
          <w:p w14:paraId="44A9788D" w14:textId="4CDA2600" w:rsidR="657611A1" w:rsidRDefault="657611A1">
            <w:r>
              <w:t>URL</w:t>
            </w:r>
          </w:p>
        </w:tc>
      </w:tr>
      <w:tr w:rsidR="657611A1" w14:paraId="41DBC7C7" w14:textId="77777777" w:rsidTr="657611A1">
        <w:tc>
          <w:tcPr>
            <w:tcW w:w="600" w:type="dxa"/>
          </w:tcPr>
          <w:p w14:paraId="1A636B4D" w14:textId="63EF8675" w:rsidR="657611A1" w:rsidRDefault="657611A1">
            <w:r>
              <w:t>E1</w:t>
            </w:r>
          </w:p>
        </w:tc>
        <w:tc>
          <w:tcPr>
            <w:tcW w:w="3700" w:type="dxa"/>
          </w:tcPr>
          <w:p w14:paraId="36446A3A" w14:textId="5CCD6D39" w:rsidR="657611A1" w:rsidRDefault="657611A1">
            <w:r>
              <w:t>U.S. Bancorp reports second quarter 2026 results (news release and CEO commentary), U.S. Bank</w:t>
            </w:r>
          </w:p>
        </w:tc>
        <w:tc>
          <w:tcPr>
            <w:tcW w:w="1300" w:type="dxa"/>
          </w:tcPr>
          <w:p w14:paraId="3F1B5B1C" w14:textId="55AB53FD" w:rsidR="657611A1" w:rsidRDefault="657611A1">
            <w:r>
              <w:t>16 July 2026</w:t>
            </w:r>
          </w:p>
        </w:tc>
        <w:tc>
          <w:tcPr>
            <w:tcW w:w="3760" w:type="dxa"/>
          </w:tcPr>
          <w:p w14:paraId="58B62419" w14:textId="4E893AC1" w:rsidR="657611A1" w:rsidRDefault="657611A1">
            <w:r>
              <w:t>https://www.usbank.com/about-us-bank/news-and-stories/article-library/us-bancorp-reports-second-quarter-2026-results.html</w:t>
            </w:r>
          </w:p>
        </w:tc>
      </w:tr>
      <w:tr w:rsidR="657611A1" w14:paraId="4DA8132D" w14:textId="77777777" w:rsidTr="657611A1">
        <w:tc>
          <w:tcPr>
            <w:tcW w:w="600" w:type="dxa"/>
          </w:tcPr>
          <w:p w14:paraId="2F626CD5" w14:textId="659E9B36" w:rsidR="657611A1" w:rsidRDefault="657611A1">
            <w:r>
              <w:t>E2</w:t>
            </w:r>
          </w:p>
        </w:tc>
        <w:tc>
          <w:tcPr>
            <w:tcW w:w="3700" w:type="dxa"/>
          </w:tcPr>
          <w:p w14:paraId="73CA7F26" w14:textId="5E7C81FA" w:rsidR="657611A1" w:rsidRDefault="657611A1">
            <w:r>
              <w:t>U.S. Bancorp 2026 Annual Report and 2026 Proxy Statement, shareholder letters from Andrew Cecere and Roland A. Hernandez (via MarketScreener)</w:t>
            </w:r>
          </w:p>
        </w:tc>
        <w:tc>
          <w:tcPr>
            <w:tcW w:w="1300" w:type="dxa"/>
          </w:tcPr>
          <w:p w14:paraId="7D7FDD22" w14:textId="575A68BE" w:rsidR="657611A1" w:rsidRDefault="657611A1">
            <w:r>
              <w:t>10 March 2026</w:t>
            </w:r>
          </w:p>
        </w:tc>
        <w:tc>
          <w:tcPr>
            <w:tcW w:w="3760" w:type="dxa"/>
          </w:tcPr>
          <w:p w14:paraId="4413A296" w14:textId="50384F82" w:rsidR="657611A1" w:rsidRDefault="657611A1">
            <w:r>
              <w:t>https://uk.marketscreener.com/news/us-bancorp-2026-annual-report-2026-proxy-statement-ce7e5fdfdc80f32d</w:t>
            </w:r>
          </w:p>
        </w:tc>
      </w:tr>
      <w:tr w:rsidR="657611A1" w14:paraId="73EBC147" w14:textId="77777777" w:rsidTr="657611A1">
        <w:tc>
          <w:tcPr>
            <w:tcW w:w="600" w:type="dxa"/>
          </w:tcPr>
          <w:p w14:paraId="2A225ECD" w14:textId="674DAFF7" w:rsidR="657611A1" w:rsidRDefault="657611A1">
            <w:r>
              <w:t>E3</w:t>
            </w:r>
          </w:p>
        </w:tc>
        <w:tc>
          <w:tcPr>
            <w:tcW w:w="3700" w:type="dxa"/>
          </w:tcPr>
          <w:p w14:paraId="11B6DD3A" w14:textId="602B96BB" w:rsidR="657611A1" w:rsidRDefault="657611A1">
            <w:r>
              <w:t>U.S. Bancorp DEF 14A definitive proxy statement summary (leadership transition; Technology Committee effective 1 January 2026), StockTitan</w:t>
            </w:r>
          </w:p>
        </w:tc>
        <w:tc>
          <w:tcPr>
            <w:tcW w:w="1300" w:type="dxa"/>
          </w:tcPr>
          <w:p w14:paraId="3A6CBD9D" w14:textId="59097D7F" w:rsidR="657611A1" w:rsidRDefault="657611A1">
            <w:r>
              <w:t>Filed 10 March 2026</w:t>
            </w:r>
          </w:p>
        </w:tc>
        <w:tc>
          <w:tcPr>
            <w:tcW w:w="3760" w:type="dxa"/>
          </w:tcPr>
          <w:p w14:paraId="48BF3DE2" w14:textId="51E76443" w:rsidR="657611A1" w:rsidRDefault="657611A1">
            <w:r>
              <w:t>https://www.stocktitan.net/sec-filings/USB/def-14a-us-bancorp-de-definitive-proxy-statement-7dd9748aba69.html</w:t>
            </w:r>
          </w:p>
        </w:tc>
      </w:tr>
      <w:tr w:rsidR="657611A1" w14:paraId="183F77AF" w14:textId="77777777" w:rsidTr="657611A1">
        <w:tc>
          <w:tcPr>
            <w:tcW w:w="600" w:type="dxa"/>
          </w:tcPr>
          <w:p w14:paraId="592D6A8B" w14:textId="68FCC4B8" w:rsidR="657611A1" w:rsidRDefault="657611A1">
            <w:r>
              <w:t>E4</w:t>
            </w:r>
          </w:p>
        </w:tc>
        <w:tc>
          <w:tcPr>
            <w:tcW w:w="3700" w:type="dxa"/>
          </w:tcPr>
          <w:p w14:paraId="41CA713F" w14:textId="61DAAB7C" w:rsidR="657611A1" w:rsidRDefault="657611A1">
            <w:r>
              <w:t>U.S. Bancorp (USB) 10 June 2026 investor remarks, transcript and summary (Gunjan Kedia and John Stern), earningscalls.dev</w:t>
            </w:r>
          </w:p>
        </w:tc>
        <w:tc>
          <w:tcPr>
            <w:tcW w:w="1300" w:type="dxa"/>
          </w:tcPr>
          <w:p w14:paraId="5E9EE951" w14:textId="5AB89240" w:rsidR="657611A1" w:rsidRDefault="657611A1">
            <w:r>
              <w:t>10 June 2026</w:t>
            </w:r>
          </w:p>
        </w:tc>
        <w:tc>
          <w:tcPr>
            <w:tcW w:w="3760" w:type="dxa"/>
          </w:tcPr>
          <w:p w14:paraId="3DA708A5" w14:textId="53967904" w:rsidR="657611A1" w:rsidRDefault="657611A1">
            <w:r>
              <w:t>https://earningscalls.dev/transcripts/u-s-bancorp_usb_earnings_call_transcript_2026-06-10</w:t>
            </w:r>
          </w:p>
        </w:tc>
      </w:tr>
      <w:tr w:rsidR="657611A1" w14:paraId="4CD7F2C6" w14:textId="77777777" w:rsidTr="657611A1">
        <w:tc>
          <w:tcPr>
            <w:tcW w:w="600" w:type="dxa"/>
          </w:tcPr>
          <w:p w14:paraId="1F26AD1E" w14:textId="6AABD979" w:rsidR="657611A1" w:rsidRDefault="657611A1">
            <w:r>
              <w:t>E5</w:t>
            </w:r>
          </w:p>
        </w:tc>
        <w:tc>
          <w:tcPr>
            <w:tcW w:w="3700" w:type="dxa"/>
          </w:tcPr>
          <w:p w14:paraId="6EAC5303" w14:textId="6389C03D" w:rsidR="657611A1" w:rsidRDefault="657611A1">
            <w:r>
              <w:t xml:space="preserve">U.S. Bancorp accelerates AI-driven digital transformation with 83% digital </w:t>
            </w:r>
            <w:r>
              <w:lastRenderedPageBreak/>
              <w:t>users and $2.6 bn tech investment, InfotechLead</w:t>
            </w:r>
          </w:p>
        </w:tc>
        <w:tc>
          <w:tcPr>
            <w:tcW w:w="1300" w:type="dxa"/>
          </w:tcPr>
          <w:p w14:paraId="28B2D846" w14:textId="5C67A701" w:rsidR="657611A1" w:rsidRDefault="657611A1">
            <w:r>
              <w:lastRenderedPageBreak/>
              <w:t>21 April 2026</w:t>
            </w:r>
          </w:p>
        </w:tc>
        <w:tc>
          <w:tcPr>
            <w:tcW w:w="3760" w:type="dxa"/>
          </w:tcPr>
          <w:p w14:paraId="42F70EC2" w14:textId="55458DC5" w:rsidR="657611A1" w:rsidRDefault="657611A1">
            <w:r>
              <w:t>https://infotechlead.com/cio/u-s-bancorp-q1-2026-ai-driven-digital-platform-amazon-partnership-and-tech-reinvestment-fuel-growth-95211</w:t>
            </w:r>
          </w:p>
        </w:tc>
      </w:tr>
      <w:tr w:rsidR="657611A1" w14:paraId="181D83A8" w14:textId="77777777" w:rsidTr="657611A1">
        <w:tc>
          <w:tcPr>
            <w:tcW w:w="600" w:type="dxa"/>
          </w:tcPr>
          <w:p w14:paraId="45EF58CD" w14:textId="6C5AEE3A" w:rsidR="657611A1" w:rsidRDefault="657611A1">
            <w:r>
              <w:t>E6</w:t>
            </w:r>
          </w:p>
        </w:tc>
        <w:tc>
          <w:tcPr>
            <w:tcW w:w="3700" w:type="dxa"/>
          </w:tcPr>
          <w:p w14:paraId="1A3E9847" w14:textId="6538D4FE" w:rsidR="657611A1" w:rsidRDefault="657611A1">
            <w:r>
              <w:t>Elavon expands All-In-One payments platform across North America to power integrated commerce, U.S. Bancorp investor relations</w:t>
            </w:r>
          </w:p>
        </w:tc>
        <w:tc>
          <w:tcPr>
            <w:tcW w:w="1300" w:type="dxa"/>
          </w:tcPr>
          <w:p w14:paraId="3C1C06BF" w14:textId="5E16BBC2" w:rsidR="657611A1" w:rsidRDefault="657611A1">
            <w:r>
              <w:t>17 June 2026</w:t>
            </w:r>
          </w:p>
        </w:tc>
        <w:tc>
          <w:tcPr>
            <w:tcW w:w="3760" w:type="dxa"/>
          </w:tcPr>
          <w:p w14:paraId="2C4E86FF" w14:textId="56F4A286" w:rsidR="657611A1" w:rsidRDefault="657611A1">
            <w:r>
              <w:t>https://ir.usbank.com/news-events/news/news-details/2026/Elavon-expands-All-In-One-payments-platform-across-North-America-to-power-integrated-commerce/default.aspx</w:t>
            </w:r>
          </w:p>
        </w:tc>
      </w:tr>
      <w:tr w:rsidR="657611A1" w14:paraId="6B6D13D4" w14:textId="77777777" w:rsidTr="657611A1">
        <w:tc>
          <w:tcPr>
            <w:tcW w:w="600" w:type="dxa"/>
          </w:tcPr>
          <w:p w14:paraId="20483F35" w14:textId="6E0A02FB" w:rsidR="657611A1" w:rsidRDefault="657611A1">
            <w:r>
              <w:t>E7</w:t>
            </w:r>
          </w:p>
        </w:tc>
        <w:tc>
          <w:tcPr>
            <w:tcW w:w="3700" w:type="dxa"/>
          </w:tcPr>
          <w:p w14:paraId="7F19FEB0" w14:textId="66E7E9BF" w:rsidR="657611A1" w:rsidRDefault="657611A1">
            <w:r>
              <w:t xml:space="preserve">U.S. Bank Expands Business Banking Team </w:t>
            </w:r>
            <w:proofErr w:type="gramStart"/>
            <w:r>
              <w:t>Into</w:t>
            </w:r>
            <w:proofErr w:type="gramEnd"/>
            <w:r>
              <w:t xml:space="preserve"> Florida and Georgia, Accelerates Growth in Texas and Arizona, U.S. Bancorp investor relations</w:t>
            </w:r>
          </w:p>
        </w:tc>
        <w:tc>
          <w:tcPr>
            <w:tcW w:w="1300" w:type="dxa"/>
          </w:tcPr>
          <w:p w14:paraId="2E266E60" w14:textId="5FC5D083" w:rsidR="657611A1" w:rsidRDefault="657611A1">
            <w:r>
              <w:t>31 August 2026</w:t>
            </w:r>
          </w:p>
        </w:tc>
        <w:tc>
          <w:tcPr>
            <w:tcW w:w="3760" w:type="dxa"/>
          </w:tcPr>
          <w:p w14:paraId="53CBAFD1" w14:textId="58A3B747" w:rsidR="657611A1" w:rsidRDefault="657611A1">
            <w:r>
              <w:t>https://ir.usbank.com/news-events/news/news-details/2026/U-S--Bank-Expands-Business-Banking-Team-Into-Florida-and-Georgia-Accelerates-Growth-in-Texas-and-Arizona/default.aspx</w:t>
            </w:r>
          </w:p>
        </w:tc>
      </w:tr>
      <w:tr w:rsidR="657611A1" w14:paraId="405EB34A" w14:textId="77777777" w:rsidTr="657611A1">
        <w:tc>
          <w:tcPr>
            <w:tcW w:w="600" w:type="dxa"/>
          </w:tcPr>
          <w:p w14:paraId="664A2E0C" w14:textId="6FB917BC" w:rsidR="657611A1" w:rsidRDefault="657611A1">
            <w:r>
              <w:t>E8</w:t>
            </w:r>
          </w:p>
        </w:tc>
        <w:tc>
          <w:tcPr>
            <w:tcW w:w="3700" w:type="dxa"/>
          </w:tcPr>
          <w:p w14:paraId="7E651C49" w14:textId="6896FE80" w:rsidR="657611A1" w:rsidRDefault="657611A1">
            <w:r>
              <w:t>US Bank Investigating Data Breach Following LockBit Ransomware Claim, Cyber Security News</w:t>
            </w:r>
          </w:p>
        </w:tc>
        <w:tc>
          <w:tcPr>
            <w:tcW w:w="1300" w:type="dxa"/>
          </w:tcPr>
          <w:p w14:paraId="3CAE2441" w14:textId="6174E544" w:rsidR="657611A1" w:rsidRDefault="657611A1">
            <w:r>
              <w:t>21 August 2026</w:t>
            </w:r>
          </w:p>
        </w:tc>
        <w:tc>
          <w:tcPr>
            <w:tcW w:w="3760" w:type="dxa"/>
          </w:tcPr>
          <w:p w14:paraId="2292D78C" w14:textId="5A52CC08" w:rsidR="657611A1" w:rsidRDefault="657611A1">
            <w:r>
              <w:t>https://cybersecuritynews.com/us-bank-investigating-data-breach-lockbit-claim/</w:t>
            </w:r>
          </w:p>
        </w:tc>
      </w:tr>
      <w:tr w:rsidR="657611A1" w14:paraId="5158B70E" w14:textId="77777777" w:rsidTr="657611A1">
        <w:tc>
          <w:tcPr>
            <w:tcW w:w="600" w:type="dxa"/>
          </w:tcPr>
          <w:p w14:paraId="78A1947E" w14:textId="71682C7D" w:rsidR="657611A1" w:rsidRDefault="657611A1">
            <w:r>
              <w:t>E9</w:t>
            </w:r>
          </w:p>
        </w:tc>
        <w:tc>
          <w:tcPr>
            <w:tcW w:w="3700" w:type="dxa"/>
          </w:tcPr>
          <w:p w14:paraId="2CFD471E" w14:textId="6A461341" w:rsidR="657611A1" w:rsidRDefault="657611A1">
            <w:r>
              <w:t>U.S. Bank, Microsoft accelerate the future of banking with cloud computing, U.S. Bank company blog</w:t>
            </w:r>
          </w:p>
        </w:tc>
        <w:tc>
          <w:tcPr>
            <w:tcW w:w="1300" w:type="dxa"/>
          </w:tcPr>
          <w:p w14:paraId="108FB671" w14:textId="6323FA05" w:rsidR="657611A1" w:rsidRDefault="657611A1">
            <w:r>
              <w:t>22 February 2022</w:t>
            </w:r>
          </w:p>
        </w:tc>
        <w:tc>
          <w:tcPr>
            <w:tcW w:w="3760" w:type="dxa"/>
          </w:tcPr>
          <w:p w14:paraId="69C4C4E5" w14:textId="5C01E0C9" w:rsidR="657611A1" w:rsidRDefault="657611A1">
            <w:r>
              <w:t>https://www.usbank.com/about-us-bank/company-blog/article-library/us-bank-microsoft-accelerate-the-future-of-banking-with-cloud-computing.html</w:t>
            </w:r>
          </w:p>
        </w:tc>
      </w:tr>
      <w:tr w:rsidR="657611A1" w14:paraId="478FD447" w14:textId="77777777" w:rsidTr="657611A1">
        <w:tc>
          <w:tcPr>
            <w:tcW w:w="600" w:type="dxa"/>
          </w:tcPr>
          <w:p w14:paraId="36B86537" w14:textId="7317413E" w:rsidR="657611A1" w:rsidRDefault="657611A1">
            <w:r>
              <w:t>E10</w:t>
            </w:r>
          </w:p>
        </w:tc>
        <w:tc>
          <w:tcPr>
            <w:tcW w:w="3700" w:type="dxa"/>
          </w:tcPr>
          <w:p w14:paraId="540B11A3" w14:textId="6BF52802" w:rsidR="657611A1" w:rsidRDefault="657611A1">
            <w:r>
              <w:t xml:space="preserve">U.S. Bancorp Competitors: USB Peer Comparison 2026, Hudson </w:t>
            </w:r>
            <w:r>
              <w:lastRenderedPageBreak/>
              <w:t>Labs</w:t>
            </w:r>
          </w:p>
        </w:tc>
        <w:tc>
          <w:tcPr>
            <w:tcW w:w="1300" w:type="dxa"/>
          </w:tcPr>
          <w:p w14:paraId="4439EF81" w14:textId="64D30EC6" w:rsidR="657611A1" w:rsidRDefault="657611A1">
            <w:r>
              <w:lastRenderedPageBreak/>
              <w:t>22 May 2026</w:t>
            </w:r>
          </w:p>
        </w:tc>
        <w:tc>
          <w:tcPr>
            <w:tcW w:w="3760" w:type="dxa"/>
          </w:tcPr>
          <w:p w14:paraId="7D64481A" w14:textId="5DB0F58A" w:rsidR="657611A1" w:rsidRDefault="657611A1">
            <w:r>
              <w:t>https://www.hudson-labs.com/research/us-bancorp-competitors-usb-peer-comparison-2026</w:t>
            </w:r>
          </w:p>
        </w:tc>
      </w:tr>
      <w:tr w:rsidR="657611A1" w14:paraId="3ACB773D" w14:textId="77777777" w:rsidTr="657611A1">
        <w:tc>
          <w:tcPr>
            <w:tcW w:w="600" w:type="dxa"/>
          </w:tcPr>
          <w:p w14:paraId="37380CE9" w14:textId="74C655FF" w:rsidR="657611A1" w:rsidRDefault="657611A1">
            <w:r>
              <w:t>E11</w:t>
            </w:r>
          </w:p>
        </w:tc>
        <w:tc>
          <w:tcPr>
            <w:tcW w:w="3700" w:type="dxa"/>
          </w:tcPr>
          <w:p w14:paraId="7D2263FE" w14:textId="6DA43CC3" w:rsidR="657611A1" w:rsidRDefault="657611A1">
            <w:r>
              <w:t>PNC Reports Second Quarter 2026 Net Income of $2.1 Billion, $4.81 Diluted EPS or $4.85 as Adjusted, PNC investor relations</w:t>
            </w:r>
          </w:p>
        </w:tc>
        <w:tc>
          <w:tcPr>
            <w:tcW w:w="1300" w:type="dxa"/>
          </w:tcPr>
          <w:p w14:paraId="3AB0C94B" w14:textId="66822387" w:rsidR="657611A1" w:rsidRDefault="657611A1">
            <w:r>
              <w:t>15 July 2026</w:t>
            </w:r>
          </w:p>
        </w:tc>
        <w:tc>
          <w:tcPr>
            <w:tcW w:w="3760" w:type="dxa"/>
          </w:tcPr>
          <w:p w14:paraId="755BCAC9" w14:textId="5F600A4B" w:rsidR="657611A1" w:rsidRDefault="657611A1">
            <w:r>
              <w:t>https://investor.pnc.com/news-events/financial-press-releases/detail/694/pnc-reports-second-quarter-2026-net-income-of-2-1-billion-4-81-diluted-eps-or-4-85-as-adjusted</w:t>
            </w:r>
          </w:p>
        </w:tc>
      </w:tr>
      <w:tr w:rsidR="657611A1" w14:paraId="3A49420A" w14:textId="77777777" w:rsidTr="657611A1">
        <w:tc>
          <w:tcPr>
            <w:tcW w:w="600" w:type="dxa"/>
          </w:tcPr>
          <w:p w14:paraId="48DA4C6A" w14:textId="76756AC0" w:rsidR="657611A1" w:rsidRDefault="657611A1">
            <w:r>
              <w:t>E12</w:t>
            </w:r>
          </w:p>
        </w:tc>
        <w:tc>
          <w:tcPr>
            <w:tcW w:w="3700" w:type="dxa"/>
          </w:tcPr>
          <w:p w14:paraId="70A798A0" w14:textId="6F535184" w:rsidR="657611A1" w:rsidRDefault="657611A1">
            <w:r>
              <w:t>Truist reports strong Q2 growth (analysis of Truist's second quarter 2026 results), Market Inference; Truist news release of the same date</w:t>
            </w:r>
          </w:p>
        </w:tc>
        <w:tc>
          <w:tcPr>
            <w:tcW w:w="1300" w:type="dxa"/>
          </w:tcPr>
          <w:p w14:paraId="5A83A015" w14:textId="68313848" w:rsidR="657611A1" w:rsidRDefault="657611A1">
            <w:r>
              <w:t>17 July 2026</w:t>
            </w:r>
          </w:p>
        </w:tc>
        <w:tc>
          <w:tcPr>
            <w:tcW w:w="3760" w:type="dxa"/>
          </w:tcPr>
          <w:p w14:paraId="3EB0FB09" w14:textId="610F1F0C" w:rsidR="657611A1" w:rsidRDefault="657611A1">
            <w:r>
              <w:t>https://marketinference.com/analysis/r/2026/07/17/TFC/ and https://ir.truist.com/2026-07-17-Truist-reports-second-quarter-2026-results</w:t>
            </w:r>
          </w:p>
        </w:tc>
      </w:tr>
      <w:tr w:rsidR="657611A1" w14:paraId="19258A19" w14:textId="77777777" w:rsidTr="657611A1">
        <w:tc>
          <w:tcPr>
            <w:tcW w:w="600" w:type="dxa"/>
          </w:tcPr>
          <w:p w14:paraId="65DDB4D6" w14:textId="78247F81" w:rsidR="657611A1" w:rsidRDefault="657611A1">
            <w:r>
              <w:t>E13</w:t>
            </w:r>
          </w:p>
        </w:tc>
        <w:tc>
          <w:tcPr>
            <w:tcW w:w="3700" w:type="dxa"/>
          </w:tcPr>
          <w:p w14:paraId="5D90F06A" w14:textId="71026645" w:rsidR="657611A1" w:rsidRDefault="657611A1">
            <w:r>
              <w:t>2026 Financial Services Survey: AI is the priority. Agentic AI is the opportunity, Alithya</w:t>
            </w:r>
          </w:p>
        </w:tc>
        <w:tc>
          <w:tcPr>
            <w:tcW w:w="1300" w:type="dxa"/>
          </w:tcPr>
          <w:p w14:paraId="6026F705" w14:textId="69E04D09" w:rsidR="657611A1" w:rsidRDefault="657611A1">
            <w:r>
              <w:t>2026</w:t>
            </w:r>
          </w:p>
        </w:tc>
        <w:tc>
          <w:tcPr>
            <w:tcW w:w="3760" w:type="dxa"/>
          </w:tcPr>
          <w:p w14:paraId="468E2419" w14:textId="62BE33CD" w:rsidR="657611A1" w:rsidRDefault="657611A1">
            <w:r>
              <w:t>https://www.alithya.com/en/insights/blog-posts/2026-financial-services-survey-ai-priority-agentic-ai-opportunity</w:t>
            </w:r>
          </w:p>
        </w:tc>
      </w:tr>
      <w:tr w:rsidR="657611A1" w14:paraId="4BBDEDB4" w14:textId="77777777" w:rsidTr="657611A1">
        <w:tc>
          <w:tcPr>
            <w:tcW w:w="600" w:type="dxa"/>
          </w:tcPr>
          <w:p w14:paraId="2501E131" w14:textId="79D39442" w:rsidR="657611A1" w:rsidRDefault="657611A1">
            <w:r>
              <w:t>E14</w:t>
            </w:r>
          </w:p>
        </w:tc>
        <w:tc>
          <w:tcPr>
            <w:tcW w:w="3700" w:type="dxa"/>
          </w:tcPr>
          <w:p w14:paraId="5108D438" w14:textId="72B17B06" w:rsidR="657611A1" w:rsidRDefault="657611A1">
            <w:r>
              <w:t>Survey finds many bank customers use gen AI, but don't trust it, ABA Banking Journal</w:t>
            </w:r>
          </w:p>
        </w:tc>
        <w:tc>
          <w:tcPr>
            <w:tcW w:w="1300" w:type="dxa"/>
          </w:tcPr>
          <w:p w14:paraId="529E4FF5" w14:textId="6B8F61CA" w:rsidR="657611A1" w:rsidRDefault="657611A1">
            <w:r>
              <w:t>September 2026</w:t>
            </w:r>
          </w:p>
        </w:tc>
        <w:tc>
          <w:tcPr>
            <w:tcW w:w="3760" w:type="dxa"/>
          </w:tcPr>
          <w:p w14:paraId="36FB593B" w14:textId="646D488E" w:rsidR="657611A1" w:rsidRDefault="657611A1">
            <w:r>
              <w:t>https://bankingjournal.aba.com/2026/09/survey-finds-many-bank-customers-use-gen-ai-but-dont-trust-it/</w:t>
            </w:r>
          </w:p>
        </w:tc>
      </w:tr>
    </w:tbl>
    <w:p w14:paraId="7A7CC9C8" w14:textId="77777777" w:rsidR="0021647F" w:rsidRDefault="0021647F"/>
    <w:sectPr w:rsidR="0021647F"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133342">
    <w:abstractNumId w:val="8"/>
  </w:num>
  <w:num w:numId="2" w16cid:durableId="1179663617">
    <w:abstractNumId w:val="6"/>
  </w:num>
  <w:num w:numId="3" w16cid:durableId="1660503392">
    <w:abstractNumId w:val="5"/>
  </w:num>
  <w:num w:numId="4" w16cid:durableId="1804733107">
    <w:abstractNumId w:val="4"/>
  </w:num>
  <w:num w:numId="5" w16cid:durableId="435029406">
    <w:abstractNumId w:val="7"/>
  </w:num>
  <w:num w:numId="6" w16cid:durableId="1532647175">
    <w:abstractNumId w:val="3"/>
  </w:num>
  <w:num w:numId="7" w16cid:durableId="93091507">
    <w:abstractNumId w:val="2"/>
  </w:num>
  <w:num w:numId="8" w16cid:durableId="386606626">
    <w:abstractNumId w:val="1"/>
  </w:num>
  <w:num w:numId="9" w16cid:durableId="133061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32C1"/>
    <w:rsid w:val="00144F61"/>
    <w:rsid w:val="0015074B"/>
    <w:rsid w:val="0021647F"/>
    <w:rsid w:val="0029639D"/>
    <w:rsid w:val="00326F90"/>
    <w:rsid w:val="008F6CDD"/>
    <w:rsid w:val="00AA1D8D"/>
    <w:rsid w:val="00B47730"/>
    <w:rsid w:val="00CB0664"/>
    <w:rsid w:val="00FC693F"/>
    <w:rsid w:val="022CE830"/>
    <w:rsid w:val="02611C70"/>
    <w:rsid w:val="02F17BBB"/>
    <w:rsid w:val="0425E8FC"/>
    <w:rsid w:val="04C5746D"/>
    <w:rsid w:val="06F2BC23"/>
    <w:rsid w:val="089EA776"/>
    <w:rsid w:val="0B27FFBA"/>
    <w:rsid w:val="0B77DD12"/>
    <w:rsid w:val="0BBC0A9D"/>
    <w:rsid w:val="0E53D4E2"/>
    <w:rsid w:val="0EF7744F"/>
    <w:rsid w:val="13441E35"/>
    <w:rsid w:val="1390F7A0"/>
    <w:rsid w:val="141DBCD0"/>
    <w:rsid w:val="1451E2AB"/>
    <w:rsid w:val="1A02896F"/>
    <w:rsid w:val="1CA8EC4E"/>
    <w:rsid w:val="1E2CF6A1"/>
    <w:rsid w:val="225EB40E"/>
    <w:rsid w:val="28C66200"/>
    <w:rsid w:val="2CA5E60F"/>
    <w:rsid w:val="2D1115D8"/>
    <w:rsid w:val="2EF5A545"/>
    <w:rsid w:val="308DC15F"/>
    <w:rsid w:val="34EFCE42"/>
    <w:rsid w:val="352DA249"/>
    <w:rsid w:val="378BE619"/>
    <w:rsid w:val="38CAB8D0"/>
    <w:rsid w:val="39131BD6"/>
    <w:rsid w:val="3E833F8F"/>
    <w:rsid w:val="48F6EE88"/>
    <w:rsid w:val="4D2EDA97"/>
    <w:rsid w:val="504AF6B8"/>
    <w:rsid w:val="51EDD09A"/>
    <w:rsid w:val="5327CA5E"/>
    <w:rsid w:val="55561384"/>
    <w:rsid w:val="567053E8"/>
    <w:rsid w:val="57B0E2DB"/>
    <w:rsid w:val="5BF19E41"/>
    <w:rsid w:val="5FC0329E"/>
    <w:rsid w:val="6466E8E7"/>
    <w:rsid w:val="657611A1"/>
    <w:rsid w:val="66AB31C0"/>
    <w:rsid w:val="6A425021"/>
    <w:rsid w:val="6A53E230"/>
    <w:rsid w:val="6E7A4D50"/>
    <w:rsid w:val="6FD075FA"/>
    <w:rsid w:val="70407364"/>
    <w:rsid w:val="708D2B2E"/>
    <w:rsid w:val="7198AC48"/>
    <w:rsid w:val="731D43E9"/>
    <w:rsid w:val="772102A1"/>
    <w:rsid w:val="7B0F176B"/>
    <w:rsid w:val="7E2E0DCC"/>
    <w:rsid w:val="7EE56447"/>
    <w:rsid w:val="7F072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C9EC5D-556A-4077-8660-AC53571B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57B81E5-2A80-4843-A94A-0A25E233E859}">
  <ds:schemaRefs>
    <ds:schemaRef ds:uri="http://schemas.microsoft.com/sharepoint/v3/contenttype/forms"/>
  </ds:schemaRefs>
</ds:datastoreItem>
</file>

<file path=customXml/itemProps3.xml><?xml version="1.0" encoding="utf-8"?>
<ds:datastoreItem xmlns:ds="http://schemas.openxmlformats.org/officeDocument/2006/customXml" ds:itemID="{F0A484D1-53E0-4E5D-901E-4EF881D46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41562F-70F7-411F-87C3-D5A2D5EEB3FE}">
  <ds:schemaRefs>
    <ds:schemaRef ds:uri="http://schemas.microsoft.com/office/2006/metadata/properties"/>
    <ds:schemaRef ds:uri="http://schemas.microsoft.com/office/infopath/2007/PartnerControls"/>
    <ds:schemaRef ds:uri="http://schemas.microsoft.com/sharepoint/v3"/>
    <ds:schemaRef ds:uri="debf2d1a-3119-443f-9311-2f3fb0fd7de8"/>
    <ds:schemaRef ds:uri="9ece1660-89e4-4efe-8613-f619625afc8d"/>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b3405559-59d9-471c-b95a-994a94f9a3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4995</Words>
  <Characters>28473</Characters>
  <Application>Microsoft Office Word</Application>
  <DocSecurity>0</DocSecurity>
  <Lines>237</Lines>
  <Paragraphs>66</Paragraphs>
  <ScaleCrop>false</ScaleCrop>
  <Manager/>
  <Company/>
  <LinksUpToDate>false</LinksUpToDate>
  <CharactersWithSpaces>33402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2026-09-03T14:33:00Z</dcterms:created>
  <dcterms:modified xsi:type="dcterms:W3CDTF">2026-09-03T20:00:00Z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0x01010042410C10365B41458A488A2E06A7CDDA</vt:lpwstr>
  </property>
  <property fmtid="{D5CDD505-2E9C-101B-9397-08002B2CF9AE}" pid="4" name="docLang">
    <vt:lpwstr>en</vt:lpwstr>
  </property>
</Properties>
</file>