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4ED1A6" w14:textId="4CFA1D37" w:rsidR="21EE64F1" w:rsidRDefault="21EE64F1" w:rsidP="21EE64F1">
      <w:pPr>
        <w:pStyle w:val="Title"/>
      </w:pPr>
      <w:r w:rsidRPr="21EE64F1">
        <w:rPr>
          <w:color w:val="40230C"/>
        </w:rPr>
        <w:t>U.S. Bank Account Plan</w:t>
      </w:r>
    </w:p>
    <w:p w14:paraId="53DDB8CE" w14:textId="60AEC1BE" w:rsidR="21EE64F1" w:rsidRDefault="21EE64F1">
      <w:r w:rsidRPr="21EE64F1">
        <w:rPr>
          <w:i/>
          <w:iCs/>
          <w:color w:val="595959" w:themeColor="text1" w:themeTint="A6"/>
          <w:sz w:val="24"/>
          <w:szCs w:val="24"/>
        </w:rPr>
        <w:t>Q3 2026 (July to September) with a 90-day action plan to early December 2026</w:t>
      </w:r>
    </w:p>
    <w:p w14:paraId="10DE17AD" w14:textId="296CD194" w:rsidR="21EE64F1" w:rsidRDefault="21EE64F1">
      <w:r w:rsidRPr="21EE64F1">
        <w:rPr>
          <w:color w:val="595959" w:themeColor="text1" w:themeTint="A6"/>
          <w:sz w:val="20"/>
          <w:szCs w:val="20"/>
        </w:rPr>
        <w:t>Prepared for Bojan Buhac, Consultant, How2Demos. Prepared 3 September 2026.</w:t>
      </w:r>
    </w:p>
    <w:p w14:paraId="2F9C8929" w14:textId="7A2D951C" w:rsidR="21EE64F1" w:rsidRDefault="21EE64F1" w:rsidP="21EE64F1">
      <w:pPr>
        <w:pStyle w:val="Heading1"/>
      </w:pPr>
      <w:r w:rsidRPr="21EE64F1">
        <w:rPr>
          <w:color w:val="40230C"/>
        </w:rPr>
        <w:t>How this plan was built</w:t>
      </w:r>
    </w:p>
    <w:p w14:paraId="4D40C356" w14:textId="54409BFF" w:rsidR="21EE64F1" w:rsidRDefault="21EE64F1">
      <w:r>
        <w:t xml:space="preserve">The primary source for this plan was intended to be the How2Demos Microsoft 365 workspace: Bojan Buhac's email, Teams chats, calendar and meeting transcripts, and files in SharePoint and OneDrive. </w:t>
      </w:r>
      <w:proofErr w:type="gramStart"/>
      <w:r>
        <w:t>Searches</w:t>
      </w:r>
      <w:proofErr w:type="gramEnd"/>
      <w:r>
        <w:t xml:space="preserve"> covered the quarter to date (1 July to 3 September 2026) and were then widened to the full year. Public sources (U.S. Bancorp investor relations releases, the Q2 2026 earnings call, the 2026 proxy statement, U.S. Bank company news and trade press) were used for the customer's results, strategic priorities, competitive context and external benchmarks. Every figure in this document is quoted from a named source in the Sources section; nothing has been estimated.</w:t>
      </w:r>
    </w:p>
    <w:p w14:paraId="5704F2BD" w14:textId="781157D8" w:rsidR="21EE64F1" w:rsidRDefault="21EE64F1">
      <w:r w:rsidRPr="21EE64F1">
        <w:rPr>
          <w:i/>
          <w:iCs/>
        </w:rPr>
        <w:t xml:space="preserve">Important data-coverage note: the internal search returned a single reference to this customer. On 2 June 2026, Valene Samuels activated an AI Administrator role in the How2Demos tenant with the justification "Customer demo prep - US Bank" (Microsoft Security notification, 2 June 2026). No emails to or from U.S. Bank contacts, no Teams conversations, no calendar meetings, no transcripts and </w:t>
      </w:r>
      <w:proofErr w:type="gramStart"/>
      <w:r w:rsidRPr="21EE64F1">
        <w:rPr>
          <w:i/>
          <w:iCs/>
        </w:rPr>
        <w:t>no account</w:t>
      </w:r>
      <w:proofErr w:type="gramEnd"/>
      <w:r w:rsidRPr="21EE64F1">
        <w:rPr>
          <w:i/>
          <w:iCs/>
        </w:rPr>
        <w:t xml:space="preserve"> files were found. The relationship map, opportunity register and risk register therefore rely on public information, and every internal-relationship field that could not be verified is marked "Not recorded" so the account team can complete it.</w:t>
      </w:r>
    </w:p>
    <w:p w14:paraId="503A3F06" w14:textId="7FDA5217" w:rsidR="21EE64F1" w:rsidRDefault="21EE64F1" w:rsidP="21EE64F1">
      <w:pPr>
        <w:pStyle w:val="Heading1"/>
      </w:pPr>
      <w:r w:rsidRPr="21EE64F1">
        <w:rPr>
          <w:color w:val="40230C"/>
        </w:rPr>
        <w:t>1. Executive summary</w:t>
      </w:r>
    </w:p>
    <w:p w14:paraId="36900CBE" w14:textId="7CD07F68" w:rsidR="21EE64F1" w:rsidRDefault="21EE64F1">
      <w:r>
        <w:t>U.S. Bancorp, the Minneapolis-based parent of U.S. Bank National Association and the fifth-largest commercial bank in the United States, enters the second half of 2026 with strong momentum. Second quarter 2026 results (reported 16 July 2026) showed record net revenue of $7,712 million, net income of $2,177 million (up 20% year-over-year), diluted earnings per share of $1.35 (up 22%), an efficiency ratio of 57.1%, return on tangible common equity of 18.7% and a CET1 ratio of 10.8%. CEO Gunjan Kedia described "400 basis points of positive operating leverage" driven by loan growth, a third consecutive quarter of record consumer deposits, broad-based fee momentum and productivity.</w:t>
      </w:r>
    </w:p>
    <w:p w14:paraId="595483DC" w14:textId="5EF2A2F2" w:rsidR="21EE64F1" w:rsidRDefault="21EE64F1">
      <w:r>
        <w:t>The bank is executing against three publicly stated strategic priorities: organic growth, payments transformation and expense management. In 2026 it has completed the BTIG acquisition (effective 1 June), expanded Elavon's All-In-One payments platform across North America, announced a $1.6 billion Amazon small-business card portfolio purchase, and added more than 50 client-facing business banking roles in Florida, Georgia, Texas and Arizona. Technology is central: the board created a Technology Committee on 1 January 2026 to oversee modernization, AI and cybersecurity, and trade press reports roughly $2.6 billion of planned 2026 technology investment, with 75% of core applications already in hybrid cloud and a 90% target by 2027. Microsoft Azure has been the bank's primary cloud provider since February 2022, and the bank already runs Microsoft 365 and Teams.</w:t>
      </w:r>
    </w:p>
    <w:p w14:paraId="11BF02AA" w14:textId="7669E8FC" w:rsidR="21EE64F1" w:rsidRDefault="21EE64F1">
      <w:r>
        <w:lastRenderedPageBreak/>
        <w:t>For How2Demos this is a greenfield account. The only internal trace of engagement is demo preparation on 2 June 2026; there is no recorded executive contact, opportunity or proposal. The recommended posture for the next 90 days is to convert that demo work into a qualified conversation: identify the sponsoring U.S. Bank team behind the June demo, land an agentic-AI or Copilot enablement discovery workshop aligned to the bank's expense-management and "One U.S. Bank" digital-unification priorities, and build a documented account record in Microsoft 365 so the next plan is grounded in first-party data. Two external developments need care in outreach timing: the LockBit ransomware claim (published 21 August 2026, with a 3 September deadline) and the bank's transition toward Category II regulatory requirements, both of which will make security, third-party risk and data governance the first questions any new vendor is asked.</w:t>
      </w:r>
    </w:p>
    <w:p w14:paraId="6BA07F6B" w14:textId="6FBFE934" w:rsidR="21EE64F1" w:rsidRDefault="21EE64F1" w:rsidP="21EE64F1">
      <w:pPr>
        <w:pStyle w:val="Heading2"/>
      </w:pPr>
      <w:r w:rsidRPr="21EE64F1">
        <w:rPr>
          <w:color w:val="40230C"/>
        </w:rPr>
        <w:t>Account snapshot</w:t>
      </w:r>
    </w:p>
    <w:tbl>
      <w:tblPr>
        <w:tblStyle w:val="TableGrid"/>
        <w:tblW w:w="0" w:type="auto"/>
        <w:tblLook w:val="0000" w:firstRow="0" w:lastRow="0" w:firstColumn="0" w:lastColumn="0" w:noHBand="0" w:noVBand="0"/>
      </w:tblPr>
      <w:tblGrid>
        <w:gridCol w:w="2153"/>
        <w:gridCol w:w="4689"/>
        <w:gridCol w:w="3022"/>
      </w:tblGrid>
      <w:tr w:rsidR="21EE64F1" w14:paraId="3966556C" w14:textId="77777777" w:rsidTr="21EE64F1">
        <w:tc>
          <w:tcPr>
            <w:tcW w:w="2200" w:type="dxa"/>
          </w:tcPr>
          <w:p w14:paraId="2FA9B60E" w14:textId="7DEB2507" w:rsidR="21EE64F1" w:rsidRDefault="21EE64F1">
            <w:r w:rsidRPr="21EE64F1">
              <w:rPr>
                <w:b/>
                <w:bCs/>
              </w:rPr>
              <w:t>Snapshot item</w:t>
            </w:r>
          </w:p>
        </w:tc>
        <w:tc>
          <w:tcPr>
            <w:tcW w:w="4900" w:type="dxa"/>
          </w:tcPr>
          <w:p w14:paraId="446B0BFB" w14:textId="76C90BCB" w:rsidR="21EE64F1" w:rsidRDefault="21EE64F1">
            <w:r w:rsidRPr="21EE64F1">
              <w:rPr>
                <w:b/>
                <w:bCs/>
              </w:rPr>
              <w:t>Latest public data point</w:t>
            </w:r>
          </w:p>
        </w:tc>
        <w:tc>
          <w:tcPr>
            <w:tcW w:w="3120" w:type="dxa"/>
          </w:tcPr>
          <w:p w14:paraId="74C5EC3E" w14:textId="6FA6F28F" w:rsidR="21EE64F1" w:rsidRDefault="21EE64F1">
            <w:r w:rsidRPr="21EE64F1">
              <w:rPr>
                <w:b/>
                <w:bCs/>
              </w:rPr>
              <w:t>Public source</w:t>
            </w:r>
          </w:p>
        </w:tc>
      </w:tr>
      <w:tr w:rsidR="21EE64F1" w14:paraId="231DDC24" w14:textId="77777777" w:rsidTr="21EE64F1">
        <w:tc>
          <w:tcPr>
            <w:tcW w:w="2200" w:type="dxa"/>
          </w:tcPr>
          <w:p w14:paraId="63005123" w14:textId="06BC5304" w:rsidR="21EE64F1" w:rsidRDefault="21EE64F1">
            <w:r>
              <w:t>Legal entity and HQ</w:t>
            </w:r>
          </w:p>
        </w:tc>
        <w:tc>
          <w:tcPr>
            <w:tcW w:w="4900" w:type="dxa"/>
          </w:tcPr>
          <w:p w14:paraId="464C5278" w14:textId="7F9A39C8" w:rsidR="21EE64F1" w:rsidRDefault="21EE64F1">
            <w:r>
              <w:t>U.S. Bancorp (NYSE: USB), parent of U.S. Bank National Association; Minneapolis, Minnesota</w:t>
            </w:r>
          </w:p>
        </w:tc>
        <w:tc>
          <w:tcPr>
            <w:tcW w:w="3120" w:type="dxa"/>
          </w:tcPr>
          <w:p w14:paraId="71247554" w14:textId="7878208C" w:rsidR="21EE64F1" w:rsidRDefault="21EE64F1">
            <w:r>
              <w:t>U.S. Bancorp release, 31 Aug 2026</w:t>
            </w:r>
          </w:p>
        </w:tc>
      </w:tr>
      <w:tr w:rsidR="21EE64F1" w14:paraId="4C5E31C6" w14:textId="77777777" w:rsidTr="21EE64F1">
        <w:tc>
          <w:tcPr>
            <w:tcW w:w="2200" w:type="dxa"/>
          </w:tcPr>
          <w:p w14:paraId="68332C5C" w14:textId="0F8D8101" w:rsidR="21EE64F1" w:rsidRDefault="21EE64F1">
            <w:r>
              <w:t>Scale</w:t>
            </w:r>
          </w:p>
        </w:tc>
        <w:tc>
          <w:tcPr>
            <w:tcW w:w="4900" w:type="dxa"/>
          </w:tcPr>
          <w:p w14:paraId="6BFDF63A" w14:textId="086B67C5" w:rsidR="21EE64F1" w:rsidRDefault="21EE64F1">
            <w:r>
              <w:t>Fifth-largest U.S. commercial bank; three major business lines serving 15 million clients; nearly 70,000 employees; Fortune 500 rank 110</w:t>
            </w:r>
          </w:p>
        </w:tc>
        <w:tc>
          <w:tcPr>
            <w:tcW w:w="3120" w:type="dxa"/>
          </w:tcPr>
          <w:p w14:paraId="1C47B263" w14:textId="01494E89" w:rsidR="21EE64F1" w:rsidRDefault="21EE64F1">
            <w:r>
              <w:t>U.S. Bancorp release, 31 Aug 2026</w:t>
            </w:r>
          </w:p>
        </w:tc>
      </w:tr>
      <w:tr w:rsidR="21EE64F1" w14:paraId="1E1E90C4" w14:textId="77777777" w:rsidTr="21EE64F1">
        <w:tc>
          <w:tcPr>
            <w:tcW w:w="2200" w:type="dxa"/>
          </w:tcPr>
          <w:p w14:paraId="61D657D1" w14:textId="185EAEFE" w:rsidR="21EE64F1" w:rsidRDefault="21EE64F1">
            <w:r>
              <w:t>Q2 2026 net revenue</w:t>
            </w:r>
          </w:p>
        </w:tc>
        <w:tc>
          <w:tcPr>
            <w:tcW w:w="4900" w:type="dxa"/>
          </w:tcPr>
          <w:p w14:paraId="7AFF0825" w14:textId="113C95C2" w:rsidR="21EE64F1" w:rsidRDefault="21EE64F1">
            <w:r>
              <w:t>$7,712 million (record); net interest income up 7.5% and fee revenue up 13.2% year-over-year</w:t>
            </w:r>
          </w:p>
        </w:tc>
        <w:tc>
          <w:tcPr>
            <w:tcW w:w="3120" w:type="dxa"/>
          </w:tcPr>
          <w:p w14:paraId="6DB9556D" w14:textId="0A1A7C86" w:rsidR="21EE64F1" w:rsidRDefault="21EE64F1">
            <w:r>
              <w:t>Q2 2026 results, 16 Jul 2026</w:t>
            </w:r>
          </w:p>
        </w:tc>
      </w:tr>
      <w:tr w:rsidR="21EE64F1" w14:paraId="34B91A9B" w14:textId="77777777" w:rsidTr="21EE64F1">
        <w:tc>
          <w:tcPr>
            <w:tcW w:w="2200" w:type="dxa"/>
          </w:tcPr>
          <w:p w14:paraId="5A986332" w14:textId="212FDCFB" w:rsidR="21EE64F1" w:rsidRDefault="21EE64F1">
            <w:r>
              <w:t>Q2 2026 profitability</w:t>
            </w:r>
          </w:p>
        </w:tc>
        <w:tc>
          <w:tcPr>
            <w:tcW w:w="4900" w:type="dxa"/>
          </w:tcPr>
          <w:p w14:paraId="2D8A9527" w14:textId="1A0DC3BF" w:rsidR="21EE64F1" w:rsidRDefault="21EE64F1">
            <w:r>
              <w:t>Net income $2,177 million (+20%); diluted EPS $1.35 (+22%); ROTCE 18.7%; ROA 1.26%</w:t>
            </w:r>
          </w:p>
        </w:tc>
        <w:tc>
          <w:tcPr>
            <w:tcW w:w="3120" w:type="dxa"/>
          </w:tcPr>
          <w:p w14:paraId="78CCDAFD" w14:textId="12EBAA83" w:rsidR="21EE64F1" w:rsidRDefault="21EE64F1">
            <w:r>
              <w:t>Q2 2026 results, 16 Jul 2026</w:t>
            </w:r>
          </w:p>
        </w:tc>
      </w:tr>
      <w:tr w:rsidR="21EE64F1" w14:paraId="47936B7F" w14:textId="77777777" w:rsidTr="21EE64F1">
        <w:tc>
          <w:tcPr>
            <w:tcW w:w="2200" w:type="dxa"/>
          </w:tcPr>
          <w:p w14:paraId="4E83F13A" w14:textId="2A010AF8" w:rsidR="21EE64F1" w:rsidRDefault="21EE64F1">
            <w:r>
              <w:t>Efficiency and capital</w:t>
            </w:r>
          </w:p>
        </w:tc>
        <w:tc>
          <w:tcPr>
            <w:tcW w:w="4900" w:type="dxa"/>
          </w:tcPr>
          <w:p w14:paraId="36848E18" w14:textId="22DEF1BC" w:rsidR="21EE64F1" w:rsidRDefault="21EE64F1">
            <w:r>
              <w:t xml:space="preserve">Efficiency ratio 57.1%; CET1 ratio 10.8% </w:t>
            </w:r>
            <w:proofErr w:type="gramStart"/>
            <w:r>
              <w:t>at</w:t>
            </w:r>
            <w:proofErr w:type="gramEnd"/>
            <w:r>
              <w:t xml:space="preserve"> 30 June 2026; net interest margin 2.79%</w:t>
            </w:r>
          </w:p>
        </w:tc>
        <w:tc>
          <w:tcPr>
            <w:tcW w:w="3120" w:type="dxa"/>
          </w:tcPr>
          <w:p w14:paraId="4BDF50BC" w14:textId="1BBCD880" w:rsidR="21EE64F1" w:rsidRDefault="21EE64F1">
            <w:r>
              <w:t>Q2 2026 results, 16 Jul 2026</w:t>
            </w:r>
          </w:p>
        </w:tc>
      </w:tr>
      <w:tr w:rsidR="21EE64F1" w14:paraId="5C2CFC32" w14:textId="77777777" w:rsidTr="21EE64F1">
        <w:tc>
          <w:tcPr>
            <w:tcW w:w="2200" w:type="dxa"/>
          </w:tcPr>
          <w:p w14:paraId="2B5020A7" w14:textId="32D238F5" w:rsidR="21EE64F1" w:rsidRDefault="21EE64F1">
            <w:r>
              <w:t>Full-year 2026 guidance</w:t>
            </w:r>
          </w:p>
        </w:tc>
        <w:tc>
          <w:tcPr>
            <w:tcW w:w="4900" w:type="dxa"/>
          </w:tcPr>
          <w:p w14:paraId="13AE57D6" w14:textId="2BB01FB9" w:rsidR="21EE64F1" w:rsidRDefault="21EE64F1">
            <w:r>
              <w:t>Revenue growth of 7% to 9%, upgraded from 4% to 6% primarily due to BTIG; Q3 fee revenue growth of 12% to 14%</w:t>
            </w:r>
          </w:p>
        </w:tc>
        <w:tc>
          <w:tcPr>
            <w:tcW w:w="3120" w:type="dxa"/>
          </w:tcPr>
          <w:p w14:paraId="16CBA7C1" w14:textId="248E067D" w:rsidR="21EE64F1" w:rsidRDefault="21EE64F1">
            <w:r>
              <w:t>Q2 2026 earnings call, 16 Jul 2026</w:t>
            </w:r>
          </w:p>
        </w:tc>
      </w:tr>
      <w:tr w:rsidR="21EE64F1" w14:paraId="146EA980" w14:textId="77777777" w:rsidTr="21EE64F1">
        <w:tc>
          <w:tcPr>
            <w:tcW w:w="2200" w:type="dxa"/>
          </w:tcPr>
          <w:p w14:paraId="28A44985" w14:textId="3BA366F2" w:rsidR="21EE64F1" w:rsidRDefault="21EE64F1">
            <w:r>
              <w:t>Medium-term targets</w:t>
            </w:r>
          </w:p>
        </w:tc>
        <w:tc>
          <w:tcPr>
            <w:tcW w:w="4900" w:type="dxa"/>
          </w:tcPr>
          <w:p w14:paraId="6F86A28A" w14:textId="34814DB6" w:rsidR="21EE64F1" w:rsidRDefault="21EE64F1">
            <w:r>
              <w:t>ROA 1.15% to 1.35%; ROTCE in the high teens; mid-single-digit fee growth; efficiency ratio in the mid-to-high 50s</w:t>
            </w:r>
          </w:p>
        </w:tc>
        <w:tc>
          <w:tcPr>
            <w:tcW w:w="3120" w:type="dxa"/>
          </w:tcPr>
          <w:p w14:paraId="5B6ADAF8" w14:textId="2D5F347A" w:rsidR="21EE64F1" w:rsidRDefault="21EE64F1">
            <w:r>
              <w:t>Q1 2026 earnings summary (Quartr)</w:t>
            </w:r>
          </w:p>
        </w:tc>
      </w:tr>
      <w:tr w:rsidR="21EE64F1" w14:paraId="7257FE42" w14:textId="77777777" w:rsidTr="21EE64F1">
        <w:tc>
          <w:tcPr>
            <w:tcW w:w="2200" w:type="dxa"/>
          </w:tcPr>
          <w:p w14:paraId="6F71B189" w14:textId="447494EF" w:rsidR="21EE64F1" w:rsidRDefault="21EE64F1">
            <w:r>
              <w:t>Leadership</w:t>
            </w:r>
          </w:p>
        </w:tc>
        <w:tc>
          <w:tcPr>
            <w:tcW w:w="4900" w:type="dxa"/>
          </w:tcPr>
          <w:p w14:paraId="7C2FAB60" w14:textId="3D527BB3" w:rsidR="21EE64F1" w:rsidRDefault="21EE64F1">
            <w:r>
              <w:t>Gunjan Kedia, Chairman, President and CEO (Chair since April 2026 annual meeting); John Stern, Vice Chair and CFO</w:t>
            </w:r>
          </w:p>
        </w:tc>
        <w:tc>
          <w:tcPr>
            <w:tcW w:w="3120" w:type="dxa"/>
          </w:tcPr>
          <w:p w14:paraId="3F6F9FDE" w14:textId="36306277" w:rsidR="21EE64F1" w:rsidRDefault="21EE64F1">
            <w:r>
              <w:t>2026 proxy statement; Q2 2026 call</w:t>
            </w:r>
          </w:p>
        </w:tc>
      </w:tr>
      <w:tr w:rsidR="21EE64F1" w14:paraId="286AD548" w14:textId="77777777" w:rsidTr="21EE64F1">
        <w:tc>
          <w:tcPr>
            <w:tcW w:w="2200" w:type="dxa"/>
          </w:tcPr>
          <w:p w14:paraId="580588CD" w14:textId="4D45C2EC" w:rsidR="21EE64F1" w:rsidRDefault="21EE64F1">
            <w:r>
              <w:t>Technology posture</w:t>
            </w:r>
          </w:p>
        </w:tc>
        <w:tc>
          <w:tcPr>
            <w:tcW w:w="4900" w:type="dxa"/>
          </w:tcPr>
          <w:p w14:paraId="2A5725FB" w14:textId="4623A9B0" w:rsidR="21EE64F1" w:rsidRDefault="21EE64F1">
            <w:r>
              <w:t>Microsoft Azure primary cloud since Feb 2022; multi-cloud for redundancy; about $2.6 billion 2026 technology spend reported; 83% of active customers digitally engaged</w:t>
            </w:r>
          </w:p>
        </w:tc>
        <w:tc>
          <w:tcPr>
            <w:tcW w:w="3120" w:type="dxa"/>
          </w:tcPr>
          <w:p w14:paraId="3FA81D5A" w14:textId="3F019074" w:rsidR="21EE64F1" w:rsidRDefault="21EE64F1">
            <w:r>
              <w:t>U.S. Bank blog, 23 Feb 2022; InfotechLead, 21 Apr 2026</w:t>
            </w:r>
          </w:p>
        </w:tc>
      </w:tr>
      <w:tr w:rsidR="21EE64F1" w14:paraId="5C257052" w14:textId="77777777" w:rsidTr="21EE64F1">
        <w:tc>
          <w:tcPr>
            <w:tcW w:w="2200" w:type="dxa"/>
          </w:tcPr>
          <w:p w14:paraId="4C06350D" w14:textId="5616F0E9" w:rsidR="21EE64F1" w:rsidRDefault="21EE64F1">
            <w:r>
              <w:t>How2Demos relationship status</w:t>
            </w:r>
          </w:p>
        </w:tc>
        <w:tc>
          <w:tcPr>
            <w:tcW w:w="4900" w:type="dxa"/>
          </w:tcPr>
          <w:p w14:paraId="1C9E7477" w14:textId="4EF4D7AD" w:rsidR="21EE64F1" w:rsidRDefault="21EE64F1">
            <w:r>
              <w:t>Not recorded. Single internal trace: demo preparation by Valene Samuels on 2 June 2026</w:t>
            </w:r>
          </w:p>
        </w:tc>
        <w:tc>
          <w:tcPr>
            <w:tcW w:w="3120" w:type="dxa"/>
          </w:tcPr>
          <w:p w14:paraId="1FB780EE" w14:textId="47D2BE71" w:rsidR="21EE64F1" w:rsidRDefault="21EE64F1">
            <w:r>
              <w:t>Microsoft Security notification, 2 Jun 2026</w:t>
            </w:r>
          </w:p>
        </w:tc>
      </w:tr>
    </w:tbl>
    <w:p w14:paraId="7468AD33" w14:textId="1041C74D" w:rsidR="21EE64F1" w:rsidRDefault="21EE64F1">
      <w:r>
        <w:t xml:space="preserve"> </w:t>
      </w:r>
    </w:p>
    <w:p w14:paraId="3497A5FF" w14:textId="76981767" w:rsidR="21EE64F1" w:rsidRDefault="21EE64F1" w:rsidP="21EE64F1">
      <w:pPr>
        <w:pStyle w:val="Heading1"/>
      </w:pPr>
      <w:r w:rsidRPr="21EE64F1">
        <w:rPr>
          <w:color w:val="40230C"/>
        </w:rPr>
        <w:t>2. Relationship map</w:t>
      </w:r>
    </w:p>
    <w:p w14:paraId="583099E3" w14:textId="69B93030" w:rsidR="21EE64F1" w:rsidRDefault="21EE64F1">
      <w:r>
        <w:t xml:space="preserve">The map below lists the U.S. Bank decision-makers and influencers who are publicly identifiable and relevant to a technology, AI or payments engagement, followed by the How2Demos coverage team. Because no U.S. Bank contact appears in email, Teams or calendar history, every relationship strength </w:t>
      </w:r>
      <w:r>
        <w:lastRenderedPageBreak/>
        <w:t>is recorded as "Not recorded" rather than assumed. The first 30-day action is to replace these entries with verified contact owners and last-touch dates.</w:t>
      </w:r>
    </w:p>
    <w:p w14:paraId="519728E6" w14:textId="1A3B9460" w:rsidR="21EE64F1" w:rsidRDefault="21EE64F1" w:rsidP="21EE64F1">
      <w:pPr>
        <w:pStyle w:val="Heading2"/>
      </w:pPr>
      <w:r w:rsidRPr="21EE64F1">
        <w:rPr>
          <w:color w:val="40230C"/>
        </w:rPr>
        <w:t>U.S. Bank stakeholders (public record)</w:t>
      </w:r>
    </w:p>
    <w:tbl>
      <w:tblPr>
        <w:tblStyle w:val="TableGrid"/>
        <w:tblW w:w="0" w:type="auto"/>
        <w:tblLook w:val="0000" w:firstRow="0" w:lastRow="0" w:firstColumn="0" w:lastColumn="0" w:noHBand="0" w:noVBand="0"/>
      </w:tblPr>
      <w:tblGrid>
        <w:gridCol w:w="1872"/>
        <w:gridCol w:w="1872"/>
        <w:gridCol w:w="1872"/>
        <w:gridCol w:w="1872"/>
        <w:gridCol w:w="1872"/>
      </w:tblGrid>
      <w:tr w:rsidR="21EE64F1" w14:paraId="46A30207" w14:textId="77777777" w:rsidTr="21EE64F1">
        <w:tc>
          <w:tcPr>
            <w:tcW w:w="1872" w:type="dxa"/>
          </w:tcPr>
          <w:p w14:paraId="5ACD6D84" w14:textId="1D062709" w:rsidR="21EE64F1" w:rsidRDefault="21EE64F1">
            <w:r w:rsidRPr="21EE64F1">
              <w:rPr>
                <w:b/>
                <w:bCs/>
              </w:rPr>
              <w:t>Stakeholder name</w:t>
            </w:r>
          </w:p>
        </w:tc>
        <w:tc>
          <w:tcPr>
            <w:tcW w:w="1872" w:type="dxa"/>
          </w:tcPr>
          <w:p w14:paraId="5D8F2509" w14:textId="15E40DCD" w:rsidR="21EE64F1" w:rsidRDefault="21EE64F1">
            <w:r w:rsidRPr="21EE64F1">
              <w:rPr>
                <w:b/>
                <w:bCs/>
              </w:rPr>
              <w:t>Role at U.S. Bank</w:t>
            </w:r>
          </w:p>
        </w:tc>
        <w:tc>
          <w:tcPr>
            <w:tcW w:w="1872" w:type="dxa"/>
          </w:tcPr>
          <w:p w14:paraId="11F24FE0" w14:textId="0EC1F491" w:rsidR="21EE64F1" w:rsidRDefault="21EE64F1">
            <w:r w:rsidRPr="21EE64F1">
              <w:rPr>
                <w:b/>
                <w:bCs/>
              </w:rPr>
              <w:t>Why they matter to this account</w:t>
            </w:r>
          </w:p>
        </w:tc>
        <w:tc>
          <w:tcPr>
            <w:tcW w:w="1872" w:type="dxa"/>
          </w:tcPr>
          <w:p w14:paraId="51174AF8" w14:textId="079FDB55" w:rsidR="21EE64F1" w:rsidRDefault="21EE64F1">
            <w:r w:rsidRPr="21EE64F1">
              <w:rPr>
                <w:b/>
                <w:bCs/>
              </w:rPr>
              <w:t>How2Demos owner</w:t>
            </w:r>
          </w:p>
        </w:tc>
        <w:tc>
          <w:tcPr>
            <w:tcW w:w="1872" w:type="dxa"/>
          </w:tcPr>
          <w:p w14:paraId="4CE46038" w14:textId="007DC219" w:rsidR="21EE64F1" w:rsidRDefault="21EE64F1">
            <w:r w:rsidRPr="21EE64F1">
              <w:rPr>
                <w:b/>
                <w:bCs/>
              </w:rPr>
              <w:t>Relationship strength</w:t>
            </w:r>
          </w:p>
        </w:tc>
      </w:tr>
      <w:tr w:rsidR="21EE64F1" w14:paraId="3F6C0ED9" w14:textId="77777777" w:rsidTr="21EE64F1">
        <w:tc>
          <w:tcPr>
            <w:tcW w:w="1872" w:type="dxa"/>
          </w:tcPr>
          <w:p w14:paraId="5F0603A0" w14:textId="1793228E" w:rsidR="21EE64F1" w:rsidRDefault="21EE64F1">
            <w:r>
              <w:t>Gunjan Kedia</w:t>
            </w:r>
          </w:p>
        </w:tc>
        <w:tc>
          <w:tcPr>
            <w:tcW w:w="1872" w:type="dxa"/>
          </w:tcPr>
          <w:p w14:paraId="7D20D565" w14:textId="10710952" w:rsidR="21EE64F1" w:rsidRDefault="21EE64F1">
            <w:r>
              <w:t>Chairman, President and CEO</w:t>
            </w:r>
          </w:p>
        </w:tc>
        <w:tc>
          <w:tcPr>
            <w:tcW w:w="1872" w:type="dxa"/>
          </w:tcPr>
          <w:p w14:paraId="6CCAD17A" w14:textId="094EF016" w:rsidR="21EE64F1" w:rsidRDefault="21EE64F1">
            <w:r>
              <w:t>Sets the three strategic priorities (organic growth, payments transformation, expense management); publicly ties strategy to digitization, partnerships and AI</w:t>
            </w:r>
          </w:p>
        </w:tc>
        <w:tc>
          <w:tcPr>
            <w:tcW w:w="1872" w:type="dxa"/>
          </w:tcPr>
          <w:p w14:paraId="452ECED3" w14:textId="022CD6DA" w:rsidR="21EE64F1" w:rsidRDefault="21EE64F1">
            <w:r>
              <w:t>Not recorded</w:t>
            </w:r>
          </w:p>
        </w:tc>
        <w:tc>
          <w:tcPr>
            <w:tcW w:w="1872" w:type="dxa"/>
          </w:tcPr>
          <w:p w14:paraId="57C624ED" w14:textId="7B0ABD9E" w:rsidR="21EE64F1" w:rsidRDefault="21EE64F1">
            <w:r>
              <w:t>Not recorded</w:t>
            </w:r>
          </w:p>
        </w:tc>
      </w:tr>
      <w:tr w:rsidR="21EE64F1" w14:paraId="758E503B" w14:textId="77777777" w:rsidTr="21EE64F1">
        <w:tc>
          <w:tcPr>
            <w:tcW w:w="1872" w:type="dxa"/>
          </w:tcPr>
          <w:p w14:paraId="7D18624E" w14:textId="12201E13" w:rsidR="21EE64F1" w:rsidRDefault="21EE64F1">
            <w:r>
              <w:t>John Stern</w:t>
            </w:r>
          </w:p>
        </w:tc>
        <w:tc>
          <w:tcPr>
            <w:tcW w:w="1872" w:type="dxa"/>
          </w:tcPr>
          <w:p w14:paraId="2000720B" w14:textId="0AFE04D7" w:rsidR="21EE64F1" w:rsidRDefault="21EE64F1">
            <w:r>
              <w:t>Vice Chair and CFO</w:t>
            </w:r>
          </w:p>
        </w:tc>
        <w:tc>
          <w:tcPr>
            <w:tcW w:w="1872" w:type="dxa"/>
          </w:tcPr>
          <w:p w14:paraId="74D0C909" w14:textId="03DBEB9B" w:rsidR="21EE64F1" w:rsidRDefault="21EE64F1">
            <w:r>
              <w:t>Owns expense discipline and the medium-term efficiency-ratio target; approves large technology spend</w:t>
            </w:r>
          </w:p>
        </w:tc>
        <w:tc>
          <w:tcPr>
            <w:tcW w:w="1872" w:type="dxa"/>
          </w:tcPr>
          <w:p w14:paraId="5EFBCBFA" w14:textId="7CB9D25F" w:rsidR="21EE64F1" w:rsidRDefault="21EE64F1">
            <w:r>
              <w:t>Not recorded</w:t>
            </w:r>
          </w:p>
        </w:tc>
        <w:tc>
          <w:tcPr>
            <w:tcW w:w="1872" w:type="dxa"/>
          </w:tcPr>
          <w:p w14:paraId="5221514F" w14:textId="7597B923" w:rsidR="21EE64F1" w:rsidRDefault="21EE64F1">
            <w:r>
              <w:t>Not recorded</w:t>
            </w:r>
          </w:p>
        </w:tc>
      </w:tr>
      <w:tr w:rsidR="21EE64F1" w14:paraId="7F7D0B8D" w14:textId="77777777" w:rsidTr="21EE64F1">
        <w:tc>
          <w:tcPr>
            <w:tcW w:w="1872" w:type="dxa"/>
          </w:tcPr>
          <w:p w14:paraId="1A51D8AF" w14:textId="0CAD1998" w:rsidR="21EE64F1" w:rsidRDefault="21EE64F1">
            <w:r>
              <w:t>Dilip Venkatachari</w:t>
            </w:r>
          </w:p>
        </w:tc>
        <w:tc>
          <w:tcPr>
            <w:tcW w:w="1872" w:type="dxa"/>
          </w:tcPr>
          <w:p w14:paraId="46D45DB9" w14:textId="058B005C" w:rsidR="21EE64F1" w:rsidRDefault="21EE64F1">
            <w:r>
              <w:t>Global Chief Information and Technology Officer</w:t>
            </w:r>
          </w:p>
        </w:tc>
        <w:tc>
          <w:tcPr>
            <w:tcW w:w="1872" w:type="dxa"/>
          </w:tcPr>
          <w:p w14:paraId="4D75EBEB" w14:textId="7E68E720" w:rsidR="21EE64F1" w:rsidRDefault="21EE64F1">
            <w:r>
              <w:t>Leads technology, digital and AI initiatives; executive sponsor of the Microsoft Azure partnership since 2022</w:t>
            </w:r>
          </w:p>
        </w:tc>
        <w:tc>
          <w:tcPr>
            <w:tcW w:w="1872" w:type="dxa"/>
          </w:tcPr>
          <w:p w14:paraId="6D0FA9A7" w14:textId="7746CDE4" w:rsidR="21EE64F1" w:rsidRDefault="21EE64F1">
            <w:r>
              <w:t>Not recorded</w:t>
            </w:r>
          </w:p>
        </w:tc>
        <w:tc>
          <w:tcPr>
            <w:tcW w:w="1872" w:type="dxa"/>
          </w:tcPr>
          <w:p w14:paraId="439AEF24" w14:textId="7024B4A8" w:rsidR="21EE64F1" w:rsidRDefault="21EE64F1">
            <w:r>
              <w:t>Not recorded</w:t>
            </w:r>
          </w:p>
        </w:tc>
      </w:tr>
      <w:tr w:rsidR="21EE64F1" w14:paraId="3B6F0EA1" w14:textId="77777777" w:rsidTr="21EE64F1">
        <w:tc>
          <w:tcPr>
            <w:tcW w:w="1872" w:type="dxa"/>
          </w:tcPr>
          <w:p w14:paraId="6AEA3363" w14:textId="073A151D" w:rsidR="21EE64F1" w:rsidRDefault="21EE64F1">
            <w:r>
              <w:t>Board Technology Committee</w:t>
            </w:r>
          </w:p>
        </w:tc>
        <w:tc>
          <w:tcPr>
            <w:tcW w:w="1872" w:type="dxa"/>
          </w:tcPr>
          <w:p w14:paraId="1192104D" w14:textId="0017FBE1" w:rsidR="21EE64F1" w:rsidRDefault="21EE64F1">
            <w:r>
              <w:t>Board committee created 1 January 2026</w:t>
            </w:r>
          </w:p>
        </w:tc>
        <w:tc>
          <w:tcPr>
            <w:tcW w:w="1872" w:type="dxa"/>
          </w:tcPr>
          <w:p w14:paraId="49DB10C7" w14:textId="78F5E2A5" w:rsidR="21EE64F1" w:rsidRDefault="21EE64F1">
            <w:proofErr w:type="gramStart"/>
            <w:r>
              <w:t>Oversees</w:t>
            </w:r>
            <w:proofErr w:type="gramEnd"/>
            <w:r>
              <w:t xml:space="preserve"> technology strategy, modernization, AI, cybersecurity and emerging fintech; shapes governance any AI vendor must satisfy</w:t>
            </w:r>
          </w:p>
        </w:tc>
        <w:tc>
          <w:tcPr>
            <w:tcW w:w="1872" w:type="dxa"/>
          </w:tcPr>
          <w:p w14:paraId="76B23AF6" w14:textId="71D3C969" w:rsidR="21EE64F1" w:rsidRDefault="21EE64F1">
            <w:r>
              <w:t>Not recorded</w:t>
            </w:r>
          </w:p>
        </w:tc>
        <w:tc>
          <w:tcPr>
            <w:tcW w:w="1872" w:type="dxa"/>
          </w:tcPr>
          <w:p w14:paraId="40BCEAE3" w14:textId="6AB1B02D" w:rsidR="21EE64F1" w:rsidRDefault="21EE64F1">
            <w:r>
              <w:t>Not recorded</w:t>
            </w:r>
          </w:p>
        </w:tc>
      </w:tr>
      <w:tr w:rsidR="21EE64F1" w14:paraId="4785D959" w14:textId="77777777" w:rsidTr="21EE64F1">
        <w:tc>
          <w:tcPr>
            <w:tcW w:w="1872" w:type="dxa"/>
          </w:tcPr>
          <w:p w14:paraId="1584A4EC" w14:textId="01C710A2" w:rsidR="21EE64F1" w:rsidRDefault="21EE64F1">
            <w:r>
              <w:t>Dee O'Dell</w:t>
            </w:r>
          </w:p>
        </w:tc>
        <w:tc>
          <w:tcPr>
            <w:tcW w:w="1872" w:type="dxa"/>
          </w:tcPr>
          <w:p w14:paraId="60D37D4F" w14:textId="7AA4F766" w:rsidR="21EE64F1" w:rsidRDefault="21EE64F1">
            <w:r>
              <w:t>Head of Business Banking Sales</w:t>
            </w:r>
          </w:p>
        </w:tc>
        <w:tc>
          <w:tcPr>
            <w:tcW w:w="1872" w:type="dxa"/>
          </w:tcPr>
          <w:p w14:paraId="1BB0F597" w14:textId="7382DE2A" w:rsidR="21EE64F1" w:rsidRDefault="21EE64F1">
            <w:r>
              <w:t xml:space="preserve">Leading the 2026 expansion (50+ roles, 1,300+ </w:t>
            </w:r>
            <w:r>
              <w:lastRenderedPageBreak/>
              <w:t>bankers) into Florida, Georgia, Texas and Arizona; a candidate sponsor for banker productivity and Copilot enablement</w:t>
            </w:r>
          </w:p>
        </w:tc>
        <w:tc>
          <w:tcPr>
            <w:tcW w:w="1872" w:type="dxa"/>
          </w:tcPr>
          <w:p w14:paraId="19D7EEAE" w14:textId="6C60C4EE" w:rsidR="21EE64F1" w:rsidRDefault="21EE64F1">
            <w:r>
              <w:lastRenderedPageBreak/>
              <w:t>Not recorded</w:t>
            </w:r>
          </w:p>
        </w:tc>
        <w:tc>
          <w:tcPr>
            <w:tcW w:w="1872" w:type="dxa"/>
          </w:tcPr>
          <w:p w14:paraId="642C04D3" w14:textId="653EABB2" w:rsidR="21EE64F1" w:rsidRDefault="21EE64F1">
            <w:r>
              <w:t>Not recorded</w:t>
            </w:r>
          </w:p>
        </w:tc>
      </w:tr>
      <w:tr w:rsidR="21EE64F1" w14:paraId="72FBFB09" w14:textId="77777777" w:rsidTr="21EE64F1">
        <w:tc>
          <w:tcPr>
            <w:tcW w:w="1872" w:type="dxa"/>
          </w:tcPr>
          <w:p w14:paraId="49CE85A1" w14:textId="7C540C27" w:rsidR="21EE64F1" w:rsidRDefault="21EE64F1">
            <w:r>
              <w:t>Elavon leadership (Atlanta)</w:t>
            </w:r>
          </w:p>
        </w:tc>
        <w:tc>
          <w:tcPr>
            <w:tcW w:w="1872" w:type="dxa"/>
          </w:tcPr>
          <w:p w14:paraId="29D384F1" w14:textId="7531F2EB" w:rsidR="21EE64F1" w:rsidRDefault="21EE64F1">
            <w:r>
              <w:t>Merchant services subsidiary</w:t>
            </w:r>
          </w:p>
        </w:tc>
        <w:tc>
          <w:tcPr>
            <w:tcW w:w="1872" w:type="dxa"/>
          </w:tcPr>
          <w:p w14:paraId="6E4F184C" w14:textId="6E0FD9AF" w:rsidR="21EE64F1" w:rsidRDefault="21EE64F1">
            <w:r>
              <w:t>Runs the All-In-One payments platform and the existing Dynamics 365 embedded-payments integration with Microsoft</w:t>
            </w:r>
          </w:p>
        </w:tc>
        <w:tc>
          <w:tcPr>
            <w:tcW w:w="1872" w:type="dxa"/>
          </w:tcPr>
          <w:p w14:paraId="5653C7B4" w14:textId="66EDC073" w:rsidR="21EE64F1" w:rsidRDefault="21EE64F1">
            <w:r>
              <w:t>Not recorded</w:t>
            </w:r>
          </w:p>
        </w:tc>
        <w:tc>
          <w:tcPr>
            <w:tcW w:w="1872" w:type="dxa"/>
          </w:tcPr>
          <w:p w14:paraId="735C30B8" w14:textId="5FCBA737" w:rsidR="21EE64F1" w:rsidRDefault="21EE64F1">
            <w:r>
              <w:t>Not recorded</w:t>
            </w:r>
          </w:p>
        </w:tc>
      </w:tr>
      <w:tr w:rsidR="21EE64F1" w14:paraId="32E75ADB" w14:textId="77777777" w:rsidTr="21EE64F1">
        <w:tc>
          <w:tcPr>
            <w:tcW w:w="1872" w:type="dxa"/>
          </w:tcPr>
          <w:p w14:paraId="58954007" w14:textId="76E107AC" w:rsidR="21EE64F1" w:rsidRDefault="21EE64F1">
            <w:r>
              <w:t>Brian Mauney</w:t>
            </w:r>
          </w:p>
        </w:tc>
        <w:tc>
          <w:tcPr>
            <w:tcW w:w="1872" w:type="dxa"/>
          </w:tcPr>
          <w:p w14:paraId="6F370B88" w14:textId="6FBEEE70" w:rsidR="21EE64F1" w:rsidRDefault="21EE64F1">
            <w:r>
              <w:t>Director of Investor Relations</w:t>
            </w:r>
          </w:p>
        </w:tc>
        <w:tc>
          <w:tcPr>
            <w:tcW w:w="1872" w:type="dxa"/>
          </w:tcPr>
          <w:p w14:paraId="531EF459" w14:textId="689CD534" w:rsidR="21EE64F1" w:rsidRDefault="21EE64F1">
            <w:r>
              <w:t>Public point of contact for corporate information; useful for briefing materials, not a sales entry point</w:t>
            </w:r>
          </w:p>
        </w:tc>
        <w:tc>
          <w:tcPr>
            <w:tcW w:w="1872" w:type="dxa"/>
          </w:tcPr>
          <w:p w14:paraId="2415B94A" w14:textId="617ABBF8" w:rsidR="21EE64F1" w:rsidRDefault="21EE64F1">
            <w:r>
              <w:t>Not applicable</w:t>
            </w:r>
          </w:p>
        </w:tc>
        <w:tc>
          <w:tcPr>
            <w:tcW w:w="1872" w:type="dxa"/>
          </w:tcPr>
          <w:p w14:paraId="72B756E9" w14:textId="5A58A2BC" w:rsidR="21EE64F1" w:rsidRDefault="21EE64F1">
            <w:r>
              <w:t>Not applicable</w:t>
            </w:r>
          </w:p>
        </w:tc>
      </w:tr>
    </w:tbl>
    <w:p w14:paraId="4688E681" w14:textId="6A150A9B" w:rsidR="21EE64F1" w:rsidRDefault="21EE64F1">
      <w:r>
        <w:t xml:space="preserve"> </w:t>
      </w:r>
    </w:p>
    <w:p w14:paraId="54865220" w14:textId="369ECACF" w:rsidR="21EE64F1" w:rsidRDefault="21EE64F1" w:rsidP="21EE64F1">
      <w:pPr>
        <w:pStyle w:val="Heading2"/>
      </w:pPr>
      <w:r w:rsidRPr="21EE64F1">
        <w:rPr>
          <w:color w:val="40230C"/>
        </w:rPr>
        <w:t>How2Demos coverage team</w:t>
      </w:r>
    </w:p>
    <w:tbl>
      <w:tblPr>
        <w:tblStyle w:val="TableGrid"/>
        <w:tblW w:w="0" w:type="auto"/>
        <w:tblLook w:val="0000" w:firstRow="0" w:lastRow="0" w:firstColumn="0" w:lastColumn="0" w:noHBand="0" w:noVBand="0"/>
      </w:tblPr>
      <w:tblGrid>
        <w:gridCol w:w="2340"/>
        <w:gridCol w:w="2340"/>
        <w:gridCol w:w="2340"/>
        <w:gridCol w:w="2340"/>
      </w:tblGrid>
      <w:tr w:rsidR="21EE64F1" w14:paraId="348D743B" w14:textId="77777777" w:rsidTr="21EE64F1">
        <w:tc>
          <w:tcPr>
            <w:tcW w:w="2340" w:type="dxa"/>
          </w:tcPr>
          <w:p w14:paraId="392A754A" w14:textId="1876AADF" w:rsidR="21EE64F1" w:rsidRDefault="21EE64F1">
            <w:r w:rsidRPr="21EE64F1">
              <w:rPr>
                <w:b/>
                <w:bCs/>
              </w:rPr>
              <w:t>Team member</w:t>
            </w:r>
          </w:p>
        </w:tc>
        <w:tc>
          <w:tcPr>
            <w:tcW w:w="2340" w:type="dxa"/>
          </w:tcPr>
          <w:p w14:paraId="44D15342" w14:textId="115491A3" w:rsidR="21EE64F1" w:rsidRDefault="21EE64F1">
            <w:r w:rsidRPr="21EE64F1">
              <w:rPr>
                <w:b/>
                <w:bCs/>
              </w:rPr>
              <w:t>Role on the account</w:t>
            </w:r>
          </w:p>
        </w:tc>
        <w:tc>
          <w:tcPr>
            <w:tcW w:w="2340" w:type="dxa"/>
          </w:tcPr>
          <w:p w14:paraId="7DCCC7C2" w14:textId="0A327867" w:rsidR="21EE64F1" w:rsidRDefault="21EE64F1">
            <w:r w:rsidRPr="21EE64F1">
              <w:rPr>
                <w:b/>
                <w:bCs/>
              </w:rPr>
              <w:t>Evidence of involvement</w:t>
            </w:r>
          </w:p>
        </w:tc>
        <w:tc>
          <w:tcPr>
            <w:tcW w:w="2340" w:type="dxa"/>
          </w:tcPr>
          <w:p w14:paraId="5AB2FF24" w14:textId="03105F2B" w:rsidR="21EE64F1" w:rsidRDefault="21EE64F1">
            <w:r w:rsidRPr="21EE64F1">
              <w:rPr>
                <w:b/>
                <w:bCs/>
              </w:rPr>
              <w:t>Next step</w:t>
            </w:r>
          </w:p>
        </w:tc>
      </w:tr>
      <w:tr w:rsidR="21EE64F1" w14:paraId="45384802" w14:textId="77777777" w:rsidTr="21EE64F1">
        <w:tc>
          <w:tcPr>
            <w:tcW w:w="2340" w:type="dxa"/>
          </w:tcPr>
          <w:p w14:paraId="199AEAD8" w14:textId="1A25BFA0" w:rsidR="21EE64F1" w:rsidRDefault="21EE64F1">
            <w:r>
              <w:t>Bojan Buhac</w:t>
            </w:r>
          </w:p>
        </w:tc>
        <w:tc>
          <w:tcPr>
            <w:tcW w:w="2340" w:type="dxa"/>
          </w:tcPr>
          <w:p w14:paraId="365F212D" w14:textId="1303A664" w:rsidR="21EE64F1" w:rsidRDefault="21EE64F1">
            <w:r>
              <w:t>Consultant; account plan owner</w:t>
            </w:r>
          </w:p>
        </w:tc>
        <w:tc>
          <w:tcPr>
            <w:tcW w:w="2340" w:type="dxa"/>
          </w:tcPr>
          <w:p w14:paraId="42673979" w14:textId="0BE18D28" w:rsidR="21EE64F1" w:rsidRDefault="21EE64F1">
            <w:r>
              <w:t>Author of this plan; no prior U.S. Bank correspondence found in mailbox, chats or calendar</w:t>
            </w:r>
          </w:p>
        </w:tc>
        <w:tc>
          <w:tcPr>
            <w:tcW w:w="2340" w:type="dxa"/>
          </w:tcPr>
          <w:p w14:paraId="660AEB47" w14:textId="04BF73EC" w:rsidR="21EE64F1" w:rsidRDefault="21EE64F1">
            <w:r>
              <w:t>Confirm account ownership and executive sponsor with Lisa Taylor</w:t>
            </w:r>
          </w:p>
        </w:tc>
      </w:tr>
      <w:tr w:rsidR="21EE64F1" w14:paraId="26D26F06" w14:textId="77777777" w:rsidTr="21EE64F1">
        <w:tc>
          <w:tcPr>
            <w:tcW w:w="2340" w:type="dxa"/>
          </w:tcPr>
          <w:p w14:paraId="4E6CED13" w14:textId="1BD4D461" w:rsidR="21EE64F1" w:rsidRDefault="21EE64F1">
            <w:r>
              <w:t>Valene Samuels</w:t>
            </w:r>
          </w:p>
        </w:tc>
        <w:tc>
          <w:tcPr>
            <w:tcW w:w="2340" w:type="dxa"/>
          </w:tcPr>
          <w:p w14:paraId="36BF49CA" w14:textId="14B2BB25" w:rsidR="21EE64F1" w:rsidRDefault="21EE64F1">
            <w:r>
              <w:t>Demo preparation</w:t>
            </w:r>
          </w:p>
        </w:tc>
        <w:tc>
          <w:tcPr>
            <w:tcW w:w="2340" w:type="dxa"/>
          </w:tcPr>
          <w:p w14:paraId="7A0F26B7" w14:textId="0D90A1E9" w:rsidR="21EE64F1" w:rsidRDefault="21EE64F1">
            <w:r>
              <w:t>Activated an AI Administrator role on 2 June 2026 with justification "Customer demo prep - US Bank"</w:t>
            </w:r>
          </w:p>
        </w:tc>
        <w:tc>
          <w:tcPr>
            <w:tcW w:w="2340" w:type="dxa"/>
          </w:tcPr>
          <w:p w14:paraId="6E20E1C4" w14:textId="066E88AD" w:rsidR="21EE64F1" w:rsidRDefault="21EE64F1">
            <w:r>
              <w:t>Debrief: who requested the demo, which U.S. Bank team attended, what was shown, and what follow-up was promised</w:t>
            </w:r>
          </w:p>
        </w:tc>
      </w:tr>
      <w:tr w:rsidR="21EE64F1" w14:paraId="4C46C83C" w14:textId="77777777" w:rsidTr="21EE64F1">
        <w:tc>
          <w:tcPr>
            <w:tcW w:w="2340" w:type="dxa"/>
          </w:tcPr>
          <w:p w14:paraId="140C3069" w14:textId="1D83E922" w:rsidR="21EE64F1" w:rsidRDefault="21EE64F1">
            <w:r>
              <w:t>Executive sponsor</w:t>
            </w:r>
          </w:p>
        </w:tc>
        <w:tc>
          <w:tcPr>
            <w:tcW w:w="2340" w:type="dxa"/>
          </w:tcPr>
          <w:p w14:paraId="6765ED3F" w14:textId="1661CFE6" w:rsidR="21EE64F1" w:rsidRDefault="21EE64F1">
            <w:r>
              <w:t>Not yet assigned</w:t>
            </w:r>
          </w:p>
        </w:tc>
        <w:tc>
          <w:tcPr>
            <w:tcW w:w="2340" w:type="dxa"/>
          </w:tcPr>
          <w:p w14:paraId="497A0052" w14:textId="0F3FB6AA" w:rsidR="21EE64F1" w:rsidRDefault="21EE64F1">
            <w:r>
              <w:t>No sponsor recorded in Microsoft 365</w:t>
            </w:r>
          </w:p>
        </w:tc>
        <w:tc>
          <w:tcPr>
            <w:tcW w:w="2340" w:type="dxa"/>
          </w:tcPr>
          <w:p w14:paraId="60F9B01D" w14:textId="081D9D6E" w:rsidR="21EE64F1" w:rsidRDefault="21EE64F1">
            <w:r>
              <w:t xml:space="preserve">Nominate a How2Demos executive sponsor before first outreach to U.S. Bank </w:t>
            </w:r>
            <w:r>
              <w:lastRenderedPageBreak/>
              <w:t>leadership</w:t>
            </w:r>
          </w:p>
        </w:tc>
      </w:tr>
    </w:tbl>
    <w:p w14:paraId="203A8DC4" w14:textId="35B47524" w:rsidR="21EE64F1" w:rsidRDefault="21EE64F1">
      <w:r>
        <w:lastRenderedPageBreak/>
        <w:t xml:space="preserve"> </w:t>
      </w:r>
    </w:p>
    <w:p w14:paraId="4512EADD" w14:textId="45B347D2" w:rsidR="21EE64F1" w:rsidRDefault="21EE64F1" w:rsidP="21EE64F1">
      <w:pPr>
        <w:pStyle w:val="Heading1"/>
      </w:pPr>
      <w:r w:rsidRPr="21EE64F1">
        <w:rPr>
          <w:color w:val="40230C"/>
        </w:rPr>
        <w:t>3. Open opportunities and risks</w:t>
      </w:r>
    </w:p>
    <w:p w14:paraId="6F67EAB2" w14:textId="353C8EA1" w:rsidR="21EE64F1" w:rsidRDefault="21EE64F1">
      <w:r>
        <w:t>No opportunity is currently recorded in How2Demos systems for this account, so the register below is a hypothesis set derived from U.S. Bank's own published priorities and announcements. Each entry names the customer priority it maps to and the public evidence behind it. Stage is "Unqualified" throughout; the 90-day plan is designed to qualify or close out each one.</w:t>
      </w:r>
    </w:p>
    <w:p w14:paraId="3795458B" w14:textId="706B1A88" w:rsidR="21EE64F1" w:rsidRDefault="21EE64F1" w:rsidP="21EE64F1">
      <w:pPr>
        <w:pStyle w:val="Heading2"/>
      </w:pPr>
      <w:r w:rsidRPr="21EE64F1">
        <w:rPr>
          <w:color w:val="40230C"/>
        </w:rPr>
        <w:t>Opportunity register</w:t>
      </w:r>
    </w:p>
    <w:tbl>
      <w:tblPr>
        <w:tblStyle w:val="TableGrid"/>
        <w:tblW w:w="0" w:type="auto"/>
        <w:tblLook w:val="0000" w:firstRow="0" w:lastRow="0" w:firstColumn="0" w:lastColumn="0" w:noHBand="0" w:noVBand="0"/>
      </w:tblPr>
      <w:tblGrid>
        <w:gridCol w:w="1872"/>
        <w:gridCol w:w="1872"/>
        <w:gridCol w:w="1872"/>
        <w:gridCol w:w="1872"/>
        <w:gridCol w:w="1872"/>
      </w:tblGrid>
      <w:tr w:rsidR="21EE64F1" w14:paraId="7F0B5CDA" w14:textId="77777777" w:rsidTr="21EE64F1">
        <w:tc>
          <w:tcPr>
            <w:tcW w:w="1872" w:type="dxa"/>
          </w:tcPr>
          <w:p w14:paraId="4B169492" w14:textId="7B887FB7" w:rsidR="21EE64F1" w:rsidRDefault="21EE64F1">
            <w:r>
              <w:t>Opportunity</w:t>
            </w:r>
          </w:p>
        </w:tc>
        <w:tc>
          <w:tcPr>
            <w:tcW w:w="1872" w:type="dxa"/>
          </w:tcPr>
          <w:p w14:paraId="4EEBFBED" w14:textId="7466667B" w:rsidR="21EE64F1" w:rsidRDefault="21EE64F1">
            <w:r w:rsidRPr="21EE64F1">
              <w:rPr>
                <w:b/>
                <w:bCs/>
              </w:rPr>
              <w:t>U.S. Bank priority it serves</w:t>
            </w:r>
          </w:p>
        </w:tc>
        <w:tc>
          <w:tcPr>
            <w:tcW w:w="1872" w:type="dxa"/>
          </w:tcPr>
          <w:p w14:paraId="1533F12B" w14:textId="6D444D3F" w:rsidR="21EE64F1" w:rsidRDefault="21EE64F1">
            <w:r w:rsidRPr="21EE64F1">
              <w:rPr>
                <w:b/>
                <w:bCs/>
              </w:rPr>
              <w:t>Public evidence</w:t>
            </w:r>
          </w:p>
        </w:tc>
        <w:tc>
          <w:tcPr>
            <w:tcW w:w="1872" w:type="dxa"/>
          </w:tcPr>
          <w:p w14:paraId="5821BD5D" w14:textId="66223403" w:rsidR="21EE64F1" w:rsidRDefault="21EE64F1">
            <w:r w:rsidRPr="21EE64F1">
              <w:rPr>
                <w:b/>
                <w:bCs/>
              </w:rPr>
              <w:t>Proposed How2Demos play</w:t>
            </w:r>
          </w:p>
        </w:tc>
        <w:tc>
          <w:tcPr>
            <w:tcW w:w="1872" w:type="dxa"/>
          </w:tcPr>
          <w:p w14:paraId="4D76140D" w14:textId="5F001AC7" w:rsidR="21EE64F1" w:rsidRDefault="21EE64F1">
            <w:r>
              <w:t>Stage</w:t>
            </w:r>
          </w:p>
        </w:tc>
      </w:tr>
      <w:tr w:rsidR="21EE64F1" w14:paraId="15F5D78C" w14:textId="77777777" w:rsidTr="21EE64F1">
        <w:tc>
          <w:tcPr>
            <w:tcW w:w="1872" w:type="dxa"/>
          </w:tcPr>
          <w:p w14:paraId="72B182C4" w14:textId="76157B3C" w:rsidR="21EE64F1" w:rsidRDefault="21EE64F1">
            <w:r>
              <w:t>Agentic AI for corporate and commercial banking</w:t>
            </w:r>
          </w:p>
        </w:tc>
        <w:tc>
          <w:tcPr>
            <w:tcW w:w="1872" w:type="dxa"/>
          </w:tcPr>
          <w:p w14:paraId="20ECC40E" w14:textId="6EF36200" w:rsidR="21EE64F1" w:rsidRDefault="21EE64F1">
            <w:r>
              <w:t>Expense management; payments transformation</w:t>
            </w:r>
          </w:p>
        </w:tc>
        <w:tc>
          <w:tcPr>
            <w:tcW w:w="1872" w:type="dxa"/>
          </w:tcPr>
          <w:p w14:paraId="18F00A5D" w14:textId="67D148C4" w:rsidR="21EE64F1" w:rsidRDefault="21EE64F1">
            <w:r>
              <w:t>Microsoft Cloud blog (22 Jun 2026) on agentic AI in corporate and commercial banking; U.S. Bancorp reports AI moved from pilots to full-scale deployment for front-line staff and fraud detection (InfotechLead, 21 Apr 2026)</w:t>
            </w:r>
          </w:p>
        </w:tc>
        <w:tc>
          <w:tcPr>
            <w:tcW w:w="1872" w:type="dxa"/>
          </w:tcPr>
          <w:p w14:paraId="1F22F17B" w14:textId="60AF2F88" w:rsidR="21EE64F1" w:rsidRDefault="21EE64F1">
            <w:r>
              <w:t>Discovery workshop and demo on agent-based workflows in Azure and Microsoft 365, building on the 2 June demo preparation</w:t>
            </w:r>
          </w:p>
        </w:tc>
        <w:tc>
          <w:tcPr>
            <w:tcW w:w="1872" w:type="dxa"/>
          </w:tcPr>
          <w:p w14:paraId="5705B61B" w14:textId="598D164C" w:rsidR="21EE64F1" w:rsidRDefault="21EE64F1">
            <w:r>
              <w:t>Unqualified</w:t>
            </w:r>
          </w:p>
        </w:tc>
      </w:tr>
      <w:tr w:rsidR="21EE64F1" w14:paraId="1911FEFE" w14:textId="77777777" w:rsidTr="21EE64F1">
        <w:tc>
          <w:tcPr>
            <w:tcW w:w="1872" w:type="dxa"/>
          </w:tcPr>
          <w:p w14:paraId="7C9AC0F2" w14:textId="70A276C1" w:rsidR="21EE64F1" w:rsidRDefault="21EE64F1">
            <w:r>
              <w:t>Copilot and Microsoft 365 enablement for the expanding business banking force</w:t>
            </w:r>
          </w:p>
        </w:tc>
        <w:tc>
          <w:tcPr>
            <w:tcW w:w="1872" w:type="dxa"/>
          </w:tcPr>
          <w:p w14:paraId="183DA3B8" w14:textId="69805D85" w:rsidR="21EE64F1" w:rsidRDefault="21EE64F1">
            <w:r>
              <w:t>Organic growth</w:t>
            </w:r>
          </w:p>
        </w:tc>
        <w:tc>
          <w:tcPr>
            <w:tcW w:w="1872" w:type="dxa"/>
          </w:tcPr>
          <w:p w14:paraId="4C0C253C" w14:textId="625E4449" w:rsidR="21EE64F1" w:rsidRDefault="21EE64F1">
            <w:r>
              <w:t>50+ client-facing roles added in 2026; division now 1,300+ bankers across deposits, lending, payments and treasury (U.S. Bancorp, 31 Aug 2026); bank already uses Microsoft 365 and Teams (U.S. Bank, 23 Feb 2022)</w:t>
            </w:r>
          </w:p>
        </w:tc>
        <w:tc>
          <w:tcPr>
            <w:tcW w:w="1872" w:type="dxa"/>
          </w:tcPr>
          <w:p w14:paraId="491E6F2D" w14:textId="5B3C2B0D" w:rsidR="21EE64F1" w:rsidRDefault="21EE64F1">
            <w:r>
              <w:t>Banker productivity and onboarding programme for new Florida, Georgia, Texas and Arizona teams</w:t>
            </w:r>
          </w:p>
        </w:tc>
        <w:tc>
          <w:tcPr>
            <w:tcW w:w="1872" w:type="dxa"/>
          </w:tcPr>
          <w:p w14:paraId="67611511" w14:textId="541A11D1" w:rsidR="21EE64F1" w:rsidRDefault="21EE64F1">
            <w:r>
              <w:t>Unqualified</w:t>
            </w:r>
          </w:p>
        </w:tc>
      </w:tr>
      <w:tr w:rsidR="21EE64F1" w14:paraId="64A8A99E" w14:textId="77777777" w:rsidTr="21EE64F1">
        <w:tc>
          <w:tcPr>
            <w:tcW w:w="1872" w:type="dxa"/>
          </w:tcPr>
          <w:p w14:paraId="53BB98A7" w14:textId="6B2F7246" w:rsidR="21EE64F1" w:rsidRDefault="21EE64F1">
            <w:r>
              <w:t>Cloud modernization acceleration</w:t>
            </w:r>
          </w:p>
        </w:tc>
        <w:tc>
          <w:tcPr>
            <w:tcW w:w="1872" w:type="dxa"/>
          </w:tcPr>
          <w:p w14:paraId="55DB3D29" w14:textId="640D590A" w:rsidR="21EE64F1" w:rsidRDefault="21EE64F1">
            <w:r>
              <w:t>Expense management</w:t>
            </w:r>
          </w:p>
        </w:tc>
        <w:tc>
          <w:tcPr>
            <w:tcW w:w="1872" w:type="dxa"/>
          </w:tcPr>
          <w:p w14:paraId="758B4B45" w14:textId="5CEB3FCE" w:rsidR="21EE64F1" w:rsidRDefault="21EE64F1">
            <w:r>
              <w:t xml:space="preserve">75% of core applications in hybrid cloud, target 90% by </w:t>
            </w:r>
            <w:r>
              <w:lastRenderedPageBreak/>
              <w:t>2027; about $2.6 billion 2026 technology investment (InfotechLead, 21 Apr 2026); Azure is primary cloud (U.S. Bank, 23 Feb 2022)</w:t>
            </w:r>
          </w:p>
        </w:tc>
        <w:tc>
          <w:tcPr>
            <w:tcW w:w="1872" w:type="dxa"/>
          </w:tcPr>
          <w:p w14:paraId="1BFF4527" w14:textId="55C92692" w:rsidR="21EE64F1" w:rsidRDefault="21EE64F1">
            <w:r>
              <w:lastRenderedPageBreak/>
              <w:t xml:space="preserve">Architecture and migration advisory for the remaining </w:t>
            </w:r>
            <w:r>
              <w:lastRenderedPageBreak/>
              <w:t>application estate</w:t>
            </w:r>
          </w:p>
        </w:tc>
        <w:tc>
          <w:tcPr>
            <w:tcW w:w="1872" w:type="dxa"/>
          </w:tcPr>
          <w:p w14:paraId="3735AEA5" w14:textId="4EA70D56" w:rsidR="21EE64F1" w:rsidRDefault="21EE64F1">
            <w:r>
              <w:lastRenderedPageBreak/>
              <w:t>Unqualified</w:t>
            </w:r>
          </w:p>
        </w:tc>
      </w:tr>
      <w:tr w:rsidR="21EE64F1" w14:paraId="3762F589" w14:textId="77777777" w:rsidTr="21EE64F1">
        <w:tc>
          <w:tcPr>
            <w:tcW w:w="1872" w:type="dxa"/>
          </w:tcPr>
          <w:p w14:paraId="3A23E7E5" w14:textId="65BC6DCB" w:rsidR="21EE64F1" w:rsidRDefault="21EE64F1">
            <w:r>
              <w:t>BTIG integration collaboration and data platform</w:t>
            </w:r>
          </w:p>
        </w:tc>
        <w:tc>
          <w:tcPr>
            <w:tcW w:w="1872" w:type="dxa"/>
          </w:tcPr>
          <w:p w14:paraId="66DF691F" w14:textId="5E9A548F" w:rsidR="21EE64F1" w:rsidRDefault="21EE64F1">
            <w:r>
              <w:t>Organic growth (capital markets)</w:t>
            </w:r>
          </w:p>
        </w:tc>
        <w:tc>
          <w:tcPr>
            <w:tcW w:w="1872" w:type="dxa"/>
          </w:tcPr>
          <w:p w14:paraId="47337A11" w14:textId="57783B53" w:rsidR="21EE64F1" w:rsidRDefault="21EE64F1">
            <w:r>
              <w:t>BTIG acquisition completed 1 June 2026, adding institutional equity trading, ECM, electronic trading and M&amp;A advisory (Q2 2026 results)</w:t>
            </w:r>
          </w:p>
        </w:tc>
        <w:tc>
          <w:tcPr>
            <w:tcW w:w="1872" w:type="dxa"/>
          </w:tcPr>
          <w:p w14:paraId="26D9F97E" w14:textId="50562217" w:rsidR="21EE64F1" w:rsidRDefault="21EE64F1">
            <w:r>
              <w:t>Integration support for collaboration, data and reporting across the combined capital markets business</w:t>
            </w:r>
          </w:p>
        </w:tc>
        <w:tc>
          <w:tcPr>
            <w:tcW w:w="1872" w:type="dxa"/>
          </w:tcPr>
          <w:p w14:paraId="6A70043F" w14:textId="493408DB" w:rsidR="21EE64F1" w:rsidRDefault="21EE64F1">
            <w:r>
              <w:t>Unqualified</w:t>
            </w:r>
          </w:p>
        </w:tc>
      </w:tr>
      <w:tr w:rsidR="21EE64F1" w14:paraId="23FFAE66" w14:textId="77777777" w:rsidTr="21EE64F1">
        <w:tc>
          <w:tcPr>
            <w:tcW w:w="1872" w:type="dxa"/>
          </w:tcPr>
          <w:p w14:paraId="149D7384" w14:textId="60496950" w:rsidR="21EE64F1" w:rsidRDefault="21EE64F1">
            <w:r>
              <w:t>Embedded payments with Elavon and Dynamics 365</w:t>
            </w:r>
          </w:p>
        </w:tc>
        <w:tc>
          <w:tcPr>
            <w:tcW w:w="1872" w:type="dxa"/>
          </w:tcPr>
          <w:p w14:paraId="388EA020" w14:textId="59275014" w:rsidR="21EE64F1" w:rsidRDefault="21EE64F1">
            <w:proofErr w:type="gramStart"/>
            <w:r>
              <w:t>Payments</w:t>
            </w:r>
            <w:proofErr w:type="gramEnd"/>
            <w:r>
              <w:t xml:space="preserve"> transformation</w:t>
            </w:r>
          </w:p>
        </w:tc>
        <w:tc>
          <w:tcPr>
            <w:tcW w:w="1872" w:type="dxa"/>
          </w:tcPr>
          <w:p w14:paraId="55A574BE" w14:textId="520536D8" w:rsidR="21EE64F1" w:rsidRDefault="21EE64F1">
            <w:r>
              <w:t>Elavon All-In-One platform expanded across North America (Q2 2026 results); existing Elavon integration with Dynamics 365 for dealers (U.S. Bank, 23 Feb 2022)</w:t>
            </w:r>
          </w:p>
        </w:tc>
        <w:tc>
          <w:tcPr>
            <w:tcW w:w="1872" w:type="dxa"/>
          </w:tcPr>
          <w:p w14:paraId="53CED706" w14:textId="4AE31D9C" w:rsidR="21EE64F1" w:rsidRDefault="21EE64F1">
            <w:r>
              <w:t xml:space="preserve">Extend </w:t>
            </w:r>
            <w:proofErr w:type="gramStart"/>
            <w:r>
              <w:t>embedded-payments</w:t>
            </w:r>
            <w:proofErr w:type="gramEnd"/>
            <w:r>
              <w:t xml:space="preserve"> scenarios for merchants in hospitality, healthcare and retail</w:t>
            </w:r>
          </w:p>
        </w:tc>
        <w:tc>
          <w:tcPr>
            <w:tcW w:w="1872" w:type="dxa"/>
          </w:tcPr>
          <w:p w14:paraId="3C88B4F0" w14:textId="43C10460" w:rsidR="21EE64F1" w:rsidRDefault="21EE64F1">
            <w:r>
              <w:t>Unqualified</w:t>
            </w:r>
          </w:p>
        </w:tc>
      </w:tr>
      <w:tr w:rsidR="21EE64F1" w14:paraId="6B6069DF" w14:textId="77777777" w:rsidTr="21EE64F1">
        <w:tc>
          <w:tcPr>
            <w:tcW w:w="1872" w:type="dxa"/>
          </w:tcPr>
          <w:p w14:paraId="1732F6B8" w14:textId="5AD664D5" w:rsidR="21EE64F1" w:rsidRDefault="21EE64F1">
            <w:r>
              <w:t>Regulatory and risk reporting for the Category II transition</w:t>
            </w:r>
          </w:p>
        </w:tc>
        <w:tc>
          <w:tcPr>
            <w:tcW w:w="1872" w:type="dxa"/>
          </w:tcPr>
          <w:p w14:paraId="145F77EF" w14:textId="53B44B99" w:rsidR="21EE64F1" w:rsidRDefault="21EE64F1">
            <w:r>
              <w:t>Expense management; risk</w:t>
            </w:r>
          </w:p>
        </w:tc>
        <w:tc>
          <w:tcPr>
            <w:tcW w:w="1872" w:type="dxa"/>
          </w:tcPr>
          <w:p w14:paraId="789365E7" w14:textId="4C92325D" w:rsidR="21EE64F1" w:rsidRDefault="21EE64F1">
            <w:r>
              <w:t>Management said the firm is transitioning toward Category II regulatory requirements (Q2 2026 earnings call, 16 Jul 2026)</w:t>
            </w:r>
          </w:p>
        </w:tc>
        <w:tc>
          <w:tcPr>
            <w:tcW w:w="1872" w:type="dxa"/>
          </w:tcPr>
          <w:p w14:paraId="4D42B920" w14:textId="45701921" w:rsidR="21EE64F1" w:rsidRDefault="21EE64F1">
            <w:r>
              <w:t>Data governance and reporting solutions that reduce the cost of heightened regulatory reporting</w:t>
            </w:r>
          </w:p>
        </w:tc>
        <w:tc>
          <w:tcPr>
            <w:tcW w:w="1872" w:type="dxa"/>
          </w:tcPr>
          <w:p w14:paraId="6D784BC8" w14:textId="3E4DFFE5" w:rsidR="21EE64F1" w:rsidRDefault="21EE64F1">
            <w:r>
              <w:t>Unqualified</w:t>
            </w:r>
          </w:p>
        </w:tc>
      </w:tr>
    </w:tbl>
    <w:p w14:paraId="206CF02D" w14:textId="57007C29" w:rsidR="21EE64F1" w:rsidRDefault="21EE64F1">
      <w:r>
        <w:t xml:space="preserve"> </w:t>
      </w:r>
    </w:p>
    <w:p w14:paraId="11FFEB94" w14:textId="7404EF68" w:rsidR="21EE64F1" w:rsidRDefault="21EE64F1" w:rsidP="21EE64F1">
      <w:pPr>
        <w:pStyle w:val="Heading2"/>
      </w:pPr>
      <w:r w:rsidRPr="21EE64F1">
        <w:rPr>
          <w:color w:val="40230C"/>
        </w:rPr>
        <w:t>Risk register</w:t>
      </w:r>
    </w:p>
    <w:tbl>
      <w:tblPr>
        <w:tblStyle w:val="TableGrid"/>
        <w:tblW w:w="0" w:type="auto"/>
        <w:tblLook w:val="0000" w:firstRow="0" w:lastRow="0" w:firstColumn="0" w:lastColumn="0" w:noHBand="0" w:noVBand="0"/>
      </w:tblPr>
      <w:tblGrid>
        <w:gridCol w:w="2340"/>
        <w:gridCol w:w="2340"/>
        <w:gridCol w:w="2340"/>
        <w:gridCol w:w="2340"/>
      </w:tblGrid>
      <w:tr w:rsidR="21EE64F1" w14:paraId="11905C66" w14:textId="77777777" w:rsidTr="21EE64F1">
        <w:tc>
          <w:tcPr>
            <w:tcW w:w="2340" w:type="dxa"/>
          </w:tcPr>
          <w:p w14:paraId="22F7FADB" w14:textId="3FFD14A6" w:rsidR="21EE64F1" w:rsidRDefault="21EE64F1">
            <w:r>
              <w:t>Risk</w:t>
            </w:r>
          </w:p>
        </w:tc>
        <w:tc>
          <w:tcPr>
            <w:tcW w:w="2340" w:type="dxa"/>
          </w:tcPr>
          <w:p w14:paraId="12DA38A3" w14:textId="38DAFB6A" w:rsidR="21EE64F1" w:rsidRDefault="21EE64F1">
            <w:r>
              <w:t>Evidence</w:t>
            </w:r>
          </w:p>
        </w:tc>
        <w:tc>
          <w:tcPr>
            <w:tcW w:w="2340" w:type="dxa"/>
          </w:tcPr>
          <w:p w14:paraId="7C06A764" w14:textId="31B8E22E" w:rsidR="21EE64F1" w:rsidRDefault="21EE64F1">
            <w:r w:rsidRPr="21EE64F1">
              <w:rPr>
                <w:b/>
                <w:bCs/>
              </w:rPr>
              <w:t>Impact on the account</w:t>
            </w:r>
          </w:p>
        </w:tc>
        <w:tc>
          <w:tcPr>
            <w:tcW w:w="2340" w:type="dxa"/>
          </w:tcPr>
          <w:p w14:paraId="77F74278" w14:textId="2A96C8F2" w:rsidR="21EE64F1" w:rsidRDefault="21EE64F1">
            <w:r w:rsidRPr="21EE64F1">
              <w:rPr>
                <w:b/>
                <w:bCs/>
              </w:rPr>
              <w:t>Mitigation</w:t>
            </w:r>
          </w:p>
        </w:tc>
      </w:tr>
      <w:tr w:rsidR="21EE64F1" w14:paraId="6E2C0A38" w14:textId="77777777" w:rsidTr="21EE64F1">
        <w:tc>
          <w:tcPr>
            <w:tcW w:w="2340" w:type="dxa"/>
          </w:tcPr>
          <w:p w14:paraId="16E63901" w14:textId="41AC2967" w:rsidR="21EE64F1" w:rsidRDefault="21EE64F1">
            <w:r>
              <w:t>No established relationship or account record</w:t>
            </w:r>
          </w:p>
        </w:tc>
        <w:tc>
          <w:tcPr>
            <w:tcW w:w="2340" w:type="dxa"/>
          </w:tcPr>
          <w:p w14:paraId="3F64C592" w14:textId="3A8A102B" w:rsidR="21EE64F1" w:rsidRDefault="21EE64F1">
            <w:r>
              <w:t>Internal search found no U.S. Bank emails, chats, meetings or files; only a 2 June 2026 demo-prep trace</w:t>
            </w:r>
          </w:p>
        </w:tc>
        <w:tc>
          <w:tcPr>
            <w:tcW w:w="2340" w:type="dxa"/>
          </w:tcPr>
          <w:p w14:paraId="7C684D56" w14:textId="3367F6EF" w:rsidR="21EE64F1" w:rsidRDefault="21EE64F1">
            <w:r>
              <w:t>Plan rests on public data; outreach may duplicate or contradict earlier How2Demos contact</w:t>
            </w:r>
          </w:p>
        </w:tc>
        <w:tc>
          <w:tcPr>
            <w:tcW w:w="2340" w:type="dxa"/>
          </w:tcPr>
          <w:p w14:paraId="2682AF19" w14:textId="2C45DDB3" w:rsidR="21EE64F1" w:rsidRDefault="21EE64F1">
            <w:r>
              <w:t xml:space="preserve">Debrief Valene Samuels in week 1; create a shared account folder and contact log in </w:t>
            </w:r>
            <w:r>
              <w:lastRenderedPageBreak/>
              <w:t>Microsoft 365</w:t>
            </w:r>
          </w:p>
        </w:tc>
      </w:tr>
      <w:tr w:rsidR="21EE64F1" w14:paraId="359DA258" w14:textId="77777777" w:rsidTr="21EE64F1">
        <w:tc>
          <w:tcPr>
            <w:tcW w:w="2340" w:type="dxa"/>
          </w:tcPr>
          <w:p w14:paraId="6E9AC439" w14:textId="435B3E28" w:rsidR="21EE64F1" w:rsidRDefault="21EE64F1">
            <w:r>
              <w:lastRenderedPageBreak/>
              <w:t>Heightened security scrutiny after the LockBit claim</w:t>
            </w:r>
          </w:p>
        </w:tc>
        <w:tc>
          <w:tcPr>
            <w:tcW w:w="2340" w:type="dxa"/>
          </w:tcPr>
          <w:p w14:paraId="38B27DF4" w14:textId="3C3924EC" w:rsidR="21EE64F1" w:rsidRDefault="21EE64F1">
            <w:r>
              <w:t>LockBit listed U.S. Bank on its leak site with a 3 September 2026 deadline; the bank said there was no indication internal systems were impacted (Cybersecurity News, 21 Aug 2026)</w:t>
            </w:r>
          </w:p>
        </w:tc>
        <w:tc>
          <w:tcPr>
            <w:tcW w:w="2340" w:type="dxa"/>
          </w:tcPr>
          <w:p w14:paraId="1416CEDC" w14:textId="35170BB0" w:rsidR="21EE64F1" w:rsidRDefault="21EE64F1">
            <w:r>
              <w:t xml:space="preserve">Security and third-party risk teams will </w:t>
            </w:r>
            <w:proofErr w:type="gramStart"/>
            <w:r>
              <w:t>gate</w:t>
            </w:r>
            <w:proofErr w:type="gramEnd"/>
            <w:r>
              <w:t xml:space="preserve"> any new vendor; cold outreach in early September may be poorly timed</w:t>
            </w:r>
          </w:p>
        </w:tc>
        <w:tc>
          <w:tcPr>
            <w:tcW w:w="2340" w:type="dxa"/>
          </w:tcPr>
          <w:p w14:paraId="4A0C426E" w14:textId="2DF4F274" w:rsidR="21EE64F1" w:rsidRDefault="21EE64F1">
            <w:r>
              <w:t>Lead with security posture (identity, data protection, compliance attestations); time first outreach after the incident cycle settles</w:t>
            </w:r>
          </w:p>
        </w:tc>
      </w:tr>
      <w:tr w:rsidR="21EE64F1" w14:paraId="39306F58" w14:textId="77777777" w:rsidTr="21EE64F1">
        <w:tc>
          <w:tcPr>
            <w:tcW w:w="2340" w:type="dxa"/>
          </w:tcPr>
          <w:p w14:paraId="73A85DE8" w14:textId="450A52E9" w:rsidR="21EE64F1" w:rsidRDefault="21EE64F1">
            <w:r>
              <w:t>Third-party risk management tightening</w:t>
            </w:r>
          </w:p>
        </w:tc>
        <w:tc>
          <w:tcPr>
            <w:tcW w:w="2340" w:type="dxa"/>
          </w:tcPr>
          <w:p w14:paraId="7DAAA9E0" w14:textId="3DE839AD" w:rsidR="21EE64F1" w:rsidRDefault="21EE64F1">
            <w:r>
              <w:t>Vendor-related incident linked to Fidelity National Information Services led to customer notifications; earlier 2022 vendor exposure affected about 11,000 customers (Cybersecurity News, 21 Aug 2026)</w:t>
            </w:r>
          </w:p>
        </w:tc>
        <w:tc>
          <w:tcPr>
            <w:tcW w:w="2340" w:type="dxa"/>
          </w:tcPr>
          <w:p w14:paraId="6DDB348C" w14:textId="36C62071" w:rsidR="21EE64F1" w:rsidRDefault="21EE64F1">
            <w:r>
              <w:t>Longer onboarding and due-diligence cycles for a new consultancy</w:t>
            </w:r>
          </w:p>
        </w:tc>
        <w:tc>
          <w:tcPr>
            <w:tcW w:w="2340" w:type="dxa"/>
          </w:tcPr>
          <w:p w14:paraId="5C8137C3" w14:textId="2FA40735" w:rsidR="21EE64F1" w:rsidRDefault="21EE64F1">
            <w:r>
              <w:t>Prepare vendor due-diligence pack (SOC reports, data handling, subcontractor disclosure) before first meeting</w:t>
            </w:r>
          </w:p>
        </w:tc>
      </w:tr>
      <w:tr w:rsidR="21EE64F1" w14:paraId="602B40BF" w14:textId="77777777" w:rsidTr="21EE64F1">
        <w:tc>
          <w:tcPr>
            <w:tcW w:w="2340" w:type="dxa"/>
          </w:tcPr>
          <w:p w14:paraId="24271DD9" w14:textId="46B967AA" w:rsidR="21EE64F1" w:rsidRDefault="21EE64F1">
            <w:r>
              <w:t>Expense discipline limits discretionary spend</w:t>
            </w:r>
          </w:p>
        </w:tc>
        <w:tc>
          <w:tcPr>
            <w:tcW w:w="2340" w:type="dxa"/>
          </w:tcPr>
          <w:p w14:paraId="31ACB129" w14:textId="3F974E6E" w:rsidR="21EE64F1" w:rsidRDefault="21EE64F1">
            <w:r>
              <w:t>Expense management is one of three strategic priorities; efficiency ratio target in the mid-to-high 50s; 400 bps positive operating leverage in Q2 2026</w:t>
            </w:r>
          </w:p>
        </w:tc>
        <w:tc>
          <w:tcPr>
            <w:tcW w:w="2340" w:type="dxa"/>
          </w:tcPr>
          <w:p w14:paraId="77C67509" w14:textId="38753532" w:rsidR="21EE64F1" w:rsidRDefault="21EE64F1">
            <w:r>
              <w:t>Proposals must show measurable cost take-out or revenue lift, not exploratory spend</w:t>
            </w:r>
          </w:p>
        </w:tc>
        <w:tc>
          <w:tcPr>
            <w:tcW w:w="2340" w:type="dxa"/>
          </w:tcPr>
          <w:p w14:paraId="7EE41864" w14:textId="31531BF6" w:rsidR="21EE64F1" w:rsidRDefault="21EE64F1">
            <w:r>
              <w:t>Frame every offer around a quantified efficiency or growth outcome tied to published targets</w:t>
            </w:r>
          </w:p>
        </w:tc>
      </w:tr>
      <w:tr w:rsidR="21EE64F1" w14:paraId="22174C09" w14:textId="77777777" w:rsidTr="21EE64F1">
        <w:tc>
          <w:tcPr>
            <w:tcW w:w="2340" w:type="dxa"/>
          </w:tcPr>
          <w:p w14:paraId="4A31B92C" w14:textId="48687C6B" w:rsidR="21EE64F1" w:rsidRDefault="21EE64F1">
            <w:r>
              <w:t>Incumbent and hyperscaler relationships</w:t>
            </w:r>
          </w:p>
        </w:tc>
        <w:tc>
          <w:tcPr>
            <w:tcW w:w="2340" w:type="dxa"/>
          </w:tcPr>
          <w:p w14:paraId="39AFCCE0" w14:textId="4146632F" w:rsidR="21EE64F1" w:rsidRDefault="21EE64F1">
            <w:r>
              <w:t xml:space="preserve">Microsoft has been primary cloud since </w:t>
            </w:r>
            <w:proofErr w:type="gramStart"/>
            <w:r>
              <w:t>2022</w:t>
            </w:r>
            <w:proofErr w:type="gramEnd"/>
            <w:r>
              <w:t xml:space="preserve"> and the bank uses multiple public cloud providers for redundancy (U.S. Bank, 23 Feb 2022)</w:t>
            </w:r>
          </w:p>
        </w:tc>
        <w:tc>
          <w:tcPr>
            <w:tcW w:w="2340" w:type="dxa"/>
          </w:tcPr>
          <w:p w14:paraId="4B050D87" w14:textId="3A2449F3" w:rsidR="21EE64F1" w:rsidRDefault="21EE64F1">
            <w:r>
              <w:t>Established partners and internal teams may already cover the scenarios How2Demos would propose</w:t>
            </w:r>
          </w:p>
        </w:tc>
        <w:tc>
          <w:tcPr>
            <w:tcW w:w="2340" w:type="dxa"/>
          </w:tcPr>
          <w:p w14:paraId="77980B30" w14:textId="330230B7" w:rsidR="21EE64F1" w:rsidRDefault="21EE64F1">
            <w:r>
              <w:t>Position as a specialist enablement partner within the Microsoft ecosystem rather than a platform alternative</w:t>
            </w:r>
          </w:p>
        </w:tc>
      </w:tr>
      <w:tr w:rsidR="21EE64F1" w14:paraId="77F634A3" w14:textId="77777777" w:rsidTr="21EE64F1">
        <w:tc>
          <w:tcPr>
            <w:tcW w:w="2340" w:type="dxa"/>
          </w:tcPr>
          <w:p w14:paraId="4FF168AC" w14:textId="4A17912C" w:rsidR="21EE64F1" w:rsidRDefault="21EE64F1">
            <w:proofErr w:type="gramStart"/>
            <w:r>
              <w:t>Integration</w:t>
            </w:r>
            <w:proofErr w:type="gramEnd"/>
            <w:r>
              <w:t xml:space="preserve"> bandwidth after BTIG and the Amazon portfolio</w:t>
            </w:r>
          </w:p>
        </w:tc>
        <w:tc>
          <w:tcPr>
            <w:tcW w:w="2340" w:type="dxa"/>
          </w:tcPr>
          <w:p w14:paraId="78B4914F" w14:textId="42F577F0" w:rsidR="21EE64F1" w:rsidRDefault="21EE64F1">
            <w:r>
              <w:t xml:space="preserve">BTIG </w:t>
            </w:r>
            <w:proofErr w:type="gramStart"/>
            <w:r>
              <w:t>closed</w:t>
            </w:r>
            <w:proofErr w:type="gramEnd"/>
            <w:r>
              <w:t xml:space="preserve"> 1 June 2026; Amazon small-business card portfolio ($1.6 billion) expected to close mid-August 2026 (Q2 2026 call)</w:t>
            </w:r>
          </w:p>
        </w:tc>
        <w:tc>
          <w:tcPr>
            <w:tcW w:w="2340" w:type="dxa"/>
          </w:tcPr>
          <w:p w14:paraId="4D2F761F" w14:textId="3BD35EB4" w:rsidR="21EE64F1" w:rsidRDefault="21EE64F1">
            <w:r>
              <w:t xml:space="preserve">Technology and </w:t>
            </w:r>
            <w:proofErr w:type="gramStart"/>
            <w:r>
              <w:t>change</w:t>
            </w:r>
            <w:proofErr w:type="gramEnd"/>
            <w:r>
              <w:t xml:space="preserve"> teams may be saturated through year-end</w:t>
            </w:r>
          </w:p>
        </w:tc>
        <w:tc>
          <w:tcPr>
            <w:tcW w:w="2340" w:type="dxa"/>
          </w:tcPr>
          <w:p w14:paraId="23DDE35F" w14:textId="34B14578" w:rsidR="21EE64F1" w:rsidRDefault="21EE64F1">
            <w:r>
              <w:t>Offer capacity-relief scenarios (integration collaboration, reporting) rather than net-new programmes</w:t>
            </w:r>
          </w:p>
        </w:tc>
      </w:tr>
    </w:tbl>
    <w:p w14:paraId="5C76129D" w14:textId="2DFAC200" w:rsidR="21EE64F1" w:rsidRDefault="21EE64F1">
      <w:r>
        <w:t xml:space="preserve"> </w:t>
      </w:r>
    </w:p>
    <w:p w14:paraId="16A7C08A" w14:textId="553A6090" w:rsidR="21EE64F1" w:rsidRDefault="21EE64F1" w:rsidP="21EE64F1">
      <w:pPr>
        <w:pStyle w:val="Heading1"/>
      </w:pPr>
      <w:r w:rsidRPr="21EE64F1">
        <w:rPr>
          <w:color w:val="40230C"/>
        </w:rPr>
        <w:lastRenderedPageBreak/>
        <w:t>4. Competitive landscape</w:t>
      </w:r>
    </w:p>
    <w:p w14:paraId="4D4B121C" w14:textId="3F1BC6DF" w:rsidR="21EE64F1" w:rsidRDefault="21EE64F1">
      <w:r>
        <w:t>Two lenses matter. The first is U.S. Bank's own competitive position against the large regional banks it is benchmarked with, which shapes what the bank will pay for: it is already at the strong end of the peer group on efficiency, so proposals must protect that lead rather than promise a turnaround. The second is the competition for U.S. Bank's technology and advisory wallet, where incumbent platforms and in-house teams are the real alternatives to a How2Demos engagement.</w:t>
      </w:r>
    </w:p>
    <w:p w14:paraId="1DC48091" w14:textId="59B6D152" w:rsidR="21EE64F1" w:rsidRDefault="21EE64F1" w:rsidP="21EE64F1">
      <w:pPr>
        <w:pStyle w:val="Heading2"/>
      </w:pPr>
      <w:r w:rsidRPr="21EE64F1">
        <w:rPr>
          <w:color w:val="40230C"/>
        </w:rPr>
        <w:t>Peer benchmark, second quarter 2026</w:t>
      </w:r>
    </w:p>
    <w:tbl>
      <w:tblPr>
        <w:tblStyle w:val="TableGrid"/>
        <w:tblW w:w="0" w:type="auto"/>
        <w:tblLook w:val="0000" w:firstRow="0" w:lastRow="0" w:firstColumn="0" w:lastColumn="0" w:noHBand="0" w:noVBand="0"/>
      </w:tblPr>
      <w:tblGrid>
        <w:gridCol w:w="1560"/>
        <w:gridCol w:w="1560"/>
        <w:gridCol w:w="1560"/>
        <w:gridCol w:w="1560"/>
        <w:gridCol w:w="1560"/>
        <w:gridCol w:w="1559"/>
      </w:tblGrid>
      <w:tr w:rsidR="21EE64F1" w14:paraId="1A3F6221" w14:textId="77777777" w:rsidTr="21EE64F1">
        <w:tc>
          <w:tcPr>
            <w:tcW w:w="1560" w:type="dxa"/>
          </w:tcPr>
          <w:p w14:paraId="7E955F95" w14:textId="6BAD345F" w:rsidR="21EE64F1" w:rsidRDefault="21EE64F1">
            <w:r>
              <w:t>Bank</w:t>
            </w:r>
          </w:p>
        </w:tc>
        <w:tc>
          <w:tcPr>
            <w:tcW w:w="1560" w:type="dxa"/>
          </w:tcPr>
          <w:p w14:paraId="207780D7" w14:textId="648B1B23" w:rsidR="21EE64F1" w:rsidRDefault="21EE64F1">
            <w:r w:rsidRPr="21EE64F1">
              <w:rPr>
                <w:b/>
                <w:bCs/>
              </w:rPr>
              <w:t>Q2 2026 revenue</w:t>
            </w:r>
          </w:p>
        </w:tc>
        <w:tc>
          <w:tcPr>
            <w:tcW w:w="1560" w:type="dxa"/>
          </w:tcPr>
          <w:p w14:paraId="2761C33E" w14:textId="5D6901E7" w:rsidR="21EE64F1" w:rsidRDefault="21EE64F1">
            <w:r w:rsidRPr="21EE64F1">
              <w:rPr>
                <w:b/>
                <w:bCs/>
              </w:rPr>
              <w:t>Q2 2026 diluted EPS</w:t>
            </w:r>
          </w:p>
        </w:tc>
        <w:tc>
          <w:tcPr>
            <w:tcW w:w="1560" w:type="dxa"/>
          </w:tcPr>
          <w:p w14:paraId="1FF51454" w14:textId="5646E8AB" w:rsidR="21EE64F1" w:rsidRDefault="21EE64F1">
            <w:r>
              <w:t>Efficiency ratio</w:t>
            </w:r>
          </w:p>
        </w:tc>
        <w:tc>
          <w:tcPr>
            <w:tcW w:w="1560" w:type="dxa"/>
          </w:tcPr>
          <w:p w14:paraId="7F8D537B" w14:textId="4F24CF6F" w:rsidR="21EE64F1" w:rsidRDefault="21EE64F1">
            <w:r w:rsidRPr="21EE64F1">
              <w:rPr>
                <w:b/>
                <w:bCs/>
              </w:rPr>
              <w:t>Notable 2026 moves</w:t>
            </w:r>
          </w:p>
        </w:tc>
        <w:tc>
          <w:tcPr>
            <w:tcW w:w="1559" w:type="dxa"/>
          </w:tcPr>
          <w:p w14:paraId="167E0921" w14:textId="4802B633" w:rsidR="21EE64F1" w:rsidRDefault="21EE64F1">
            <w:r w:rsidRPr="21EE64F1">
              <w:rPr>
                <w:b/>
                <w:bCs/>
              </w:rPr>
              <w:t>Benchmark source</w:t>
            </w:r>
          </w:p>
        </w:tc>
      </w:tr>
      <w:tr w:rsidR="21EE64F1" w14:paraId="623C9B1B" w14:textId="77777777" w:rsidTr="21EE64F1">
        <w:tc>
          <w:tcPr>
            <w:tcW w:w="1560" w:type="dxa"/>
          </w:tcPr>
          <w:p w14:paraId="2F9A3426" w14:textId="5F1816A8" w:rsidR="21EE64F1" w:rsidRDefault="21EE64F1">
            <w:r>
              <w:t>U.S. Bancorp</w:t>
            </w:r>
          </w:p>
        </w:tc>
        <w:tc>
          <w:tcPr>
            <w:tcW w:w="1560" w:type="dxa"/>
          </w:tcPr>
          <w:p w14:paraId="72C89CDC" w14:textId="57F5FD6C" w:rsidR="21EE64F1" w:rsidRDefault="21EE64F1">
            <w:r>
              <w:t>$7,712 million (record)</w:t>
            </w:r>
          </w:p>
        </w:tc>
        <w:tc>
          <w:tcPr>
            <w:tcW w:w="1560" w:type="dxa"/>
          </w:tcPr>
          <w:p w14:paraId="38C1CB07" w14:textId="50D3E430" w:rsidR="21EE64F1" w:rsidRDefault="21EE64F1">
            <w:r>
              <w:t>$1.35 (+22% YoY)</w:t>
            </w:r>
          </w:p>
        </w:tc>
        <w:tc>
          <w:tcPr>
            <w:tcW w:w="1560" w:type="dxa"/>
          </w:tcPr>
          <w:p w14:paraId="4C578BFC" w14:textId="49B1CAF4" w:rsidR="21EE64F1" w:rsidRDefault="21EE64F1">
            <w:r>
              <w:t>57.1%</w:t>
            </w:r>
          </w:p>
        </w:tc>
        <w:tc>
          <w:tcPr>
            <w:tcW w:w="1560" w:type="dxa"/>
          </w:tcPr>
          <w:p w14:paraId="2F661064" w14:textId="428FB1B8" w:rsidR="21EE64F1" w:rsidRDefault="21EE64F1">
            <w:r>
              <w:t>BTIG acquisition closed 1 June; Elavon All-In-One expansion; Amazon card portfolio purchase; business banking expansion in FL, GA, TX, AZ</w:t>
            </w:r>
          </w:p>
        </w:tc>
        <w:tc>
          <w:tcPr>
            <w:tcW w:w="1559" w:type="dxa"/>
          </w:tcPr>
          <w:p w14:paraId="64F207FF" w14:textId="3B6D987C" w:rsidR="21EE64F1" w:rsidRDefault="21EE64F1">
            <w:r>
              <w:t>U.S. Bancorp Q2 2026 results, 16 Jul 2026</w:t>
            </w:r>
          </w:p>
        </w:tc>
      </w:tr>
      <w:tr w:rsidR="21EE64F1" w14:paraId="3E927A01" w14:textId="77777777" w:rsidTr="21EE64F1">
        <w:tc>
          <w:tcPr>
            <w:tcW w:w="1560" w:type="dxa"/>
          </w:tcPr>
          <w:p w14:paraId="56D7E7A9" w14:textId="5282F8F1" w:rsidR="21EE64F1" w:rsidRDefault="21EE64F1">
            <w:r>
              <w:t>PNC Financial Services</w:t>
            </w:r>
          </w:p>
        </w:tc>
        <w:tc>
          <w:tcPr>
            <w:tcW w:w="1560" w:type="dxa"/>
          </w:tcPr>
          <w:p w14:paraId="5B6ED2F9" w14:textId="4B60DFB5" w:rsidR="21EE64F1" w:rsidRDefault="21EE64F1">
            <w:r>
              <w:t>$6.9 billion (record; +21% YoY)</w:t>
            </w:r>
          </w:p>
        </w:tc>
        <w:tc>
          <w:tcPr>
            <w:tcW w:w="1560" w:type="dxa"/>
          </w:tcPr>
          <w:p w14:paraId="2F11DDFB" w14:textId="443EC679" w:rsidR="21EE64F1" w:rsidRDefault="21EE64F1">
            <w:r>
              <w:t>$4.81 ($4.85 adjusted)</w:t>
            </w:r>
          </w:p>
        </w:tc>
        <w:tc>
          <w:tcPr>
            <w:tcW w:w="1560" w:type="dxa"/>
          </w:tcPr>
          <w:p w14:paraId="6454419C" w14:textId="3D1CAD3D" w:rsidR="21EE64F1" w:rsidRDefault="21EE64F1">
            <w:r>
              <w:t>60%</w:t>
            </w:r>
          </w:p>
        </w:tc>
        <w:tc>
          <w:tcPr>
            <w:tcW w:w="1560" w:type="dxa"/>
          </w:tcPr>
          <w:p w14:paraId="1EDACAFB" w14:textId="35FA9401" w:rsidR="21EE64F1" w:rsidRDefault="21EE64F1">
            <w:r>
              <w:t>FirstBank integration; quarterly dividend raised 18% to $2.00; full-</w:t>
            </w:r>
            <w:proofErr w:type="gramStart"/>
            <w:r>
              <w:t>year 2026</w:t>
            </w:r>
            <w:proofErr w:type="gramEnd"/>
            <w:r>
              <w:t xml:space="preserve"> revenue guidance up 13% to 14%</w:t>
            </w:r>
          </w:p>
        </w:tc>
        <w:tc>
          <w:tcPr>
            <w:tcW w:w="1559" w:type="dxa"/>
          </w:tcPr>
          <w:p w14:paraId="427D64A7" w14:textId="2ED87AC5" w:rsidR="21EE64F1" w:rsidRDefault="21EE64F1">
            <w:r>
              <w:t>Quartr PNC Q2 2026 summary, 5 Aug 2026</w:t>
            </w:r>
          </w:p>
        </w:tc>
      </w:tr>
      <w:tr w:rsidR="21EE64F1" w14:paraId="3CCC8F42" w14:textId="77777777" w:rsidTr="21EE64F1">
        <w:tc>
          <w:tcPr>
            <w:tcW w:w="1560" w:type="dxa"/>
          </w:tcPr>
          <w:p w14:paraId="4F13840D" w14:textId="45EDDB3A" w:rsidR="21EE64F1" w:rsidRDefault="21EE64F1">
            <w:r>
              <w:t>Truist Financial</w:t>
            </w:r>
          </w:p>
        </w:tc>
        <w:tc>
          <w:tcPr>
            <w:tcW w:w="1560" w:type="dxa"/>
          </w:tcPr>
          <w:p w14:paraId="4C1431A8" w14:textId="3ECBC1FE" w:rsidR="21EE64F1" w:rsidRDefault="21EE64F1">
            <w:r>
              <w:t>Not extracted</w:t>
            </w:r>
          </w:p>
        </w:tc>
        <w:tc>
          <w:tcPr>
            <w:tcW w:w="1560" w:type="dxa"/>
          </w:tcPr>
          <w:p w14:paraId="7E5336EC" w14:textId="37A9A8C2" w:rsidR="21EE64F1" w:rsidRDefault="21EE64F1">
            <w:r>
              <w:t>Not extracted</w:t>
            </w:r>
          </w:p>
        </w:tc>
        <w:tc>
          <w:tcPr>
            <w:tcW w:w="1560" w:type="dxa"/>
          </w:tcPr>
          <w:p w14:paraId="5F290D3D" w14:textId="30878F86" w:rsidR="21EE64F1" w:rsidRDefault="21EE64F1">
            <w:r>
              <w:t>58.0% (57.9% prior quarter; 59.9% in Q2 2025)</w:t>
            </w:r>
          </w:p>
        </w:tc>
        <w:tc>
          <w:tcPr>
            <w:tcW w:w="1560" w:type="dxa"/>
          </w:tcPr>
          <w:p w14:paraId="6B05FBF6" w14:textId="2965764A" w:rsidR="21EE64F1" w:rsidRDefault="21EE64F1">
            <w:r>
              <w:t>Average loans and leases held for investment $329.2 billion</w:t>
            </w:r>
          </w:p>
        </w:tc>
        <w:tc>
          <w:tcPr>
            <w:tcW w:w="1559" w:type="dxa"/>
          </w:tcPr>
          <w:p w14:paraId="65EDFFBE" w14:textId="22435D0E" w:rsidR="21EE64F1" w:rsidRDefault="21EE64F1">
            <w:r>
              <w:t>Market Inference analysis of Truist Q2 2026, 17 Jul 2026</w:t>
            </w:r>
          </w:p>
        </w:tc>
      </w:tr>
    </w:tbl>
    <w:p w14:paraId="4AE48E31" w14:textId="5036BBFB" w:rsidR="21EE64F1" w:rsidRDefault="21EE64F1">
      <w:r w:rsidRPr="21EE64F1">
        <w:rPr>
          <w:i/>
          <w:iCs/>
          <w:color w:val="595959" w:themeColor="text1" w:themeTint="A6"/>
        </w:rPr>
        <w:t>Wells Fargo published its second quarter 2026 results on 14 July 2026; its headline figures were not extracted for this version of the plan and should be added before the benchmark is shared externally. Truist's revenue and EPS were likewise not captured in the sources reviewed. Where a cell reads "Not extracted", the figure exists publicly but was not verified here.</w:t>
      </w:r>
    </w:p>
    <w:p w14:paraId="2D823941" w14:textId="168319F1" w:rsidR="21EE64F1" w:rsidRDefault="21EE64F1" w:rsidP="21EE64F1">
      <w:pPr>
        <w:pStyle w:val="Heading2"/>
      </w:pPr>
      <w:r w:rsidRPr="21EE64F1">
        <w:rPr>
          <w:color w:val="40230C"/>
        </w:rPr>
        <w:t>Competition for U.S. Bank's technology and advisory spend</w:t>
      </w:r>
    </w:p>
    <w:p w14:paraId="57AF593A" w14:textId="473CE859" w:rsidR="21EE64F1" w:rsidRDefault="21EE64F1">
      <w:r>
        <w:t xml:space="preserve">Microsoft is the incumbent platform: U.S. Bank selected Azure as its primary cloud provider in February 2022, adopted Microsoft 365 and Teams for hybrid collaboration, and integrated Elavon </w:t>
      </w:r>
      <w:r>
        <w:lastRenderedPageBreak/>
        <w:t xml:space="preserve">merchant processing with Dynamics 365. That is an advantage for a Microsoft-aligned consultancy, but the same release states the bank "will continue to use multiple public cloud providers for redundancy", so other hyperscalers and their partner ecosystems are active in the account. The bank's own technology organisation under Dilip Venkatachari has moved AI from pilot to full-scale deployment, which means in-house delivery capacity is the most likely alternative to any external engagement. Finally, the bank's stated partnership orientation (the Amazon small-business card portfolio, the NFL partnership and BTIG) shows it prefers partners who bring distribution or capability it lacks, not general-purpose services. How2Demos should therefore compete </w:t>
      </w:r>
      <w:proofErr w:type="gramStart"/>
      <w:r>
        <w:t>on</w:t>
      </w:r>
      <w:proofErr w:type="gramEnd"/>
      <w:r>
        <w:t xml:space="preserve"> specialist Microsoft AI enablement depth and speed to </w:t>
      </w:r>
      <w:proofErr w:type="gramStart"/>
      <w:r>
        <w:t>value, and</w:t>
      </w:r>
      <w:proofErr w:type="gramEnd"/>
      <w:r>
        <w:t xml:space="preserve"> avoid positioning that overlaps with Microsoft's own account team or the bank's internal engineering.</w:t>
      </w:r>
    </w:p>
    <w:p w14:paraId="4BDEC868" w14:textId="7FE35FDF" w:rsidR="21EE64F1" w:rsidRDefault="21EE64F1">
      <w:r>
        <w:t xml:space="preserve"> </w:t>
      </w:r>
    </w:p>
    <w:p w14:paraId="2D634A3F" w14:textId="13D51F8E" w:rsidR="21EE64F1" w:rsidRDefault="21EE64F1" w:rsidP="21EE64F1">
      <w:pPr>
        <w:pStyle w:val="Heading1"/>
      </w:pPr>
      <w:r w:rsidRPr="21EE64F1">
        <w:rPr>
          <w:color w:val="40230C"/>
        </w:rPr>
        <w:t>5. 90-day action plan (3 September to 2 December 2026)</w:t>
      </w:r>
    </w:p>
    <w:p w14:paraId="6649CFF2" w14:textId="1113C748" w:rsidR="21EE64F1" w:rsidRDefault="21EE64F1">
      <w:r>
        <w:t>The plan is sequenced to fix the evidence gap first, then earn a qualified conversation, then convert it into a scoped engagement. Owners default to Bojan Buhac until the account team is confirmed; dates are calendar dates so progress can be tracked in the next quarterly review.</w:t>
      </w:r>
    </w:p>
    <w:tbl>
      <w:tblPr>
        <w:tblStyle w:val="TableGrid"/>
        <w:tblW w:w="0" w:type="auto"/>
        <w:tblLook w:val="0000" w:firstRow="0" w:lastRow="0" w:firstColumn="0" w:lastColumn="0" w:noHBand="0" w:noVBand="0"/>
      </w:tblPr>
      <w:tblGrid>
        <w:gridCol w:w="1872"/>
        <w:gridCol w:w="1872"/>
        <w:gridCol w:w="1872"/>
        <w:gridCol w:w="1872"/>
        <w:gridCol w:w="1872"/>
      </w:tblGrid>
      <w:tr w:rsidR="21EE64F1" w14:paraId="5CC5ECDC" w14:textId="77777777" w:rsidTr="21EE64F1">
        <w:tc>
          <w:tcPr>
            <w:tcW w:w="1872" w:type="dxa"/>
          </w:tcPr>
          <w:p w14:paraId="7B60D730" w14:textId="6932932E" w:rsidR="21EE64F1" w:rsidRDefault="21EE64F1">
            <w:r w:rsidRPr="21EE64F1">
              <w:rPr>
                <w:b/>
                <w:bCs/>
              </w:rPr>
              <w:t>Window</w:t>
            </w:r>
          </w:p>
        </w:tc>
        <w:tc>
          <w:tcPr>
            <w:tcW w:w="1872" w:type="dxa"/>
          </w:tcPr>
          <w:p w14:paraId="4E1A2FF6" w14:textId="621079F2" w:rsidR="21EE64F1" w:rsidRDefault="21EE64F1">
            <w:r>
              <w:t>Action</w:t>
            </w:r>
          </w:p>
        </w:tc>
        <w:tc>
          <w:tcPr>
            <w:tcW w:w="1872" w:type="dxa"/>
          </w:tcPr>
          <w:p w14:paraId="486C9449" w14:textId="5AEE60B6" w:rsidR="21EE64F1" w:rsidRDefault="21EE64F1">
            <w:r>
              <w:t>Owner</w:t>
            </w:r>
          </w:p>
        </w:tc>
        <w:tc>
          <w:tcPr>
            <w:tcW w:w="1872" w:type="dxa"/>
          </w:tcPr>
          <w:p w14:paraId="5F445061" w14:textId="53CC477A" w:rsidR="21EE64F1" w:rsidRDefault="21EE64F1">
            <w:r w:rsidRPr="21EE64F1">
              <w:rPr>
                <w:b/>
                <w:bCs/>
              </w:rPr>
              <w:t>Target date</w:t>
            </w:r>
          </w:p>
        </w:tc>
        <w:tc>
          <w:tcPr>
            <w:tcW w:w="1872" w:type="dxa"/>
          </w:tcPr>
          <w:p w14:paraId="414C7F1A" w14:textId="4CAA2E3E" w:rsidR="21EE64F1" w:rsidRDefault="21EE64F1">
            <w:r w:rsidRPr="21EE64F1">
              <w:rPr>
                <w:b/>
                <w:bCs/>
              </w:rPr>
              <w:t>Success measure</w:t>
            </w:r>
          </w:p>
        </w:tc>
      </w:tr>
      <w:tr w:rsidR="21EE64F1" w14:paraId="6AB34E16" w14:textId="77777777" w:rsidTr="21EE64F1">
        <w:tc>
          <w:tcPr>
            <w:tcW w:w="1872" w:type="dxa"/>
          </w:tcPr>
          <w:p w14:paraId="273E3049" w14:textId="63BF8EB3" w:rsidR="21EE64F1" w:rsidRDefault="21EE64F1">
            <w:r>
              <w:t>Days 1 to 30</w:t>
            </w:r>
          </w:p>
        </w:tc>
        <w:tc>
          <w:tcPr>
            <w:tcW w:w="1872" w:type="dxa"/>
          </w:tcPr>
          <w:p w14:paraId="74D42686" w14:textId="5C9D7577" w:rsidR="21EE64F1" w:rsidRDefault="21EE64F1">
            <w:r>
              <w:t>Debrief Valene Samuels on the 2 June demo: requester, U.S. Bank attendees, content shown, commitments made</w:t>
            </w:r>
          </w:p>
        </w:tc>
        <w:tc>
          <w:tcPr>
            <w:tcW w:w="1872" w:type="dxa"/>
          </w:tcPr>
          <w:p w14:paraId="461F795F" w14:textId="557B5C3B" w:rsidR="21EE64F1" w:rsidRDefault="21EE64F1">
            <w:r>
              <w:t>Bojan Buhac</w:t>
            </w:r>
          </w:p>
        </w:tc>
        <w:tc>
          <w:tcPr>
            <w:tcW w:w="1872" w:type="dxa"/>
          </w:tcPr>
          <w:p w14:paraId="6CEB22E8" w14:textId="4E5942FF" w:rsidR="21EE64F1" w:rsidRDefault="21EE64F1">
            <w:r>
              <w:t>10 Sep 2026</w:t>
            </w:r>
          </w:p>
        </w:tc>
        <w:tc>
          <w:tcPr>
            <w:tcW w:w="1872" w:type="dxa"/>
          </w:tcPr>
          <w:p w14:paraId="5BA4E78A" w14:textId="473729C3" w:rsidR="21EE64F1" w:rsidRDefault="21EE64F1">
            <w:r>
              <w:t>Named U.S. Bank contacts and demo follow-ups recorded</w:t>
            </w:r>
          </w:p>
        </w:tc>
      </w:tr>
      <w:tr w:rsidR="21EE64F1" w14:paraId="14151F15" w14:textId="77777777" w:rsidTr="21EE64F1">
        <w:tc>
          <w:tcPr>
            <w:tcW w:w="1872" w:type="dxa"/>
          </w:tcPr>
          <w:p w14:paraId="6FE1F601" w14:textId="5E4C8A38" w:rsidR="21EE64F1" w:rsidRDefault="21EE64F1">
            <w:r>
              <w:t>Days 1 to 30</w:t>
            </w:r>
          </w:p>
        </w:tc>
        <w:tc>
          <w:tcPr>
            <w:tcW w:w="1872" w:type="dxa"/>
          </w:tcPr>
          <w:p w14:paraId="3ECB99C7" w14:textId="572A70FC" w:rsidR="21EE64F1" w:rsidRDefault="21EE64F1">
            <w:r>
              <w:t>Confirm account ownership and nominate a How2Demos executive sponsor with Lisa Taylor</w:t>
            </w:r>
          </w:p>
        </w:tc>
        <w:tc>
          <w:tcPr>
            <w:tcW w:w="1872" w:type="dxa"/>
          </w:tcPr>
          <w:p w14:paraId="605E91AB" w14:textId="500857C0" w:rsidR="21EE64F1" w:rsidRDefault="21EE64F1">
            <w:r>
              <w:t>Bojan Buhac</w:t>
            </w:r>
          </w:p>
        </w:tc>
        <w:tc>
          <w:tcPr>
            <w:tcW w:w="1872" w:type="dxa"/>
          </w:tcPr>
          <w:p w14:paraId="1C27CA68" w14:textId="48E63E84" w:rsidR="21EE64F1" w:rsidRDefault="21EE64F1">
            <w:r>
              <w:t>12 Sep 2026</w:t>
            </w:r>
          </w:p>
        </w:tc>
        <w:tc>
          <w:tcPr>
            <w:tcW w:w="1872" w:type="dxa"/>
          </w:tcPr>
          <w:p w14:paraId="4169B80B" w14:textId="41C42548" w:rsidR="21EE64F1" w:rsidRDefault="21EE64F1">
            <w:r>
              <w:t>Sponsor named; account owner confirmed</w:t>
            </w:r>
          </w:p>
        </w:tc>
      </w:tr>
      <w:tr w:rsidR="21EE64F1" w14:paraId="75D6ED78" w14:textId="77777777" w:rsidTr="21EE64F1">
        <w:tc>
          <w:tcPr>
            <w:tcW w:w="1872" w:type="dxa"/>
          </w:tcPr>
          <w:p w14:paraId="4531C58E" w14:textId="58D985BD" w:rsidR="21EE64F1" w:rsidRDefault="21EE64F1">
            <w:r>
              <w:t>Days 1 to 30</w:t>
            </w:r>
          </w:p>
        </w:tc>
        <w:tc>
          <w:tcPr>
            <w:tcW w:w="1872" w:type="dxa"/>
          </w:tcPr>
          <w:p w14:paraId="5F324097" w14:textId="51B76C81" w:rsidR="21EE64F1" w:rsidRDefault="21EE64F1">
            <w:r>
              <w:t>Create the U.S. Bank account workspace in SharePoint (contact log, meeting notes, this plan) so future Work IQ searches return first-party data</w:t>
            </w:r>
          </w:p>
        </w:tc>
        <w:tc>
          <w:tcPr>
            <w:tcW w:w="1872" w:type="dxa"/>
          </w:tcPr>
          <w:p w14:paraId="2BA3B1EF" w14:textId="4A955345" w:rsidR="21EE64F1" w:rsidRDefault="21EE64F1">
            <w:r>
              <w:t>Bojan Buhac</w:t>
            </w:r>
          </w:p>
        </w:tc>
        <w:tc>
          <w:tcPr>
            <w:tcW w:w="1872" w:type="dxa"/>
          </w:tcPr>
          <w:p w14:paraId="2A6B00B1" w14:textId="43733A09" w:rsidR="21EE64F1" w:rsidRDefault="21EE64F1">
            <w:r>
              <w:t>17 Sep 2026</w:t>
            </w:r>
          </w:p>
        </w:tc>
        <w:tc>
          <w:tcPr>
            <w:tcW w:w="1872" w:type="dxa"/>
          </w:tcPr>
          <w:p w14:paraId="406330DE" w14:textId="3C5120CD" w:rsidR="21EE64F1" w:rsidRDefault="21EE64F1">
            <w:r>
              <w:t>Workspace live; all contacts and touchpoints logged</w:t>
            </w:r>
          </w:p>
        </w:tc>
      </w:tr>
      <w:tr w:rsidR="21EE64F1" w14:paraId="74487A86" w14:textId="77777777" w:rsidTr="21EE64F1">
        <w:tc>
          <w:tcPr>
            <w:tcW w:w="1872" w:type="dxa"/>
          </w:tcPr>
          <w:p w14:paraId="25CEFC34" w14:textId="53668142" w:rsidR="21EE64F1" w:rsidRDefault="21EE64F1">
            <w:r>
              <w:t>Days 1 to 30</w:t>
            </w:r>
          </w:p>
        </w:tc>
        <w:tc>
          <w:tcPr>
            <w:tcW w:w="1872" w:type="dxa"/>
          </w:tcPr>
          <w:p w14:paraId="75284AE8" w14:textId="4C446806" w:rsidR="21EE64F1" w:rsidRDefault="21EE64F1">
            <w:r>
              <w:t xml:space="preserve">Assemble a </w:t>
            </w:r>
            <w:r>
              <w:lastRenderedPageBreak/>
              <w:t>vendor due-diligence pack: security posture, data handling, compliance attestations, subcontractor disclosure</w:t>
            </w:r>
          </w:p>
        </w:tc>
        <w:tc>
          <w:tcPr>
            <w:tcW w:w="1872" w:type="dxa"/>
          </w:tcPr>
          <w:p w14:paraId="3328AFEB" w14:textId="45224ECA" w:rsidR="21EE64F1" w:rsidRDefault="21EE64F1">
            <w:r>
              <w:lastRenderedPageBreak/>
              <w:t xml:space="preserve">Executive </w:t>
            </w:r>
            <w:r>
              <w:lastRenderedPageBreak/>
              <w:t>sponsor</w:t>
            </w:r>
          </w:p>
        </w:tc>
        <w:tc>
          <w:tcPr>
            <w:tcW w:w="1872" w:type="dxa"/>
          </w:tcPr>
          <w:p w14:paraId="79803FF4" w14:textId="3E00358E" w:rsidR="21EE64F1" w:rsidRDefault="21EE64F1">
            <w:r>
              <w:lastRenderedPageBreak/>
              <w:t>30 Sep 2026</w:t>
            </w:r>
          </w:p>
        </w:tc>
        <w:tc>
          <w:tcPr>
            <w:tcW w:w="1872" w:type="dxa"/>
          </w:tcPr>
          <w:p w14:paraId="28D53DFA" w14:textId="36DE1C52" w:rsidR="21EE64F1" w:rsidRDefault="21EE64F1">
            <w:r>
              <w:t xml:space="preserve">Pack reviewed </w:t>
            </w:r>
            <w:r>
              <w:lastRenderedPageBreak/>
              <w:t>and approved internally</w:t>
            </w:r>
          </w:p>
        </w:tc>
      </w:tr>
      <w:tr w:rsidR="21EE64F1" w14:paraId="4194417C" w14:textId="77777777" w:rsidTr="21EE64F1">
        <w:tc>
          <w:tcPr>
            <w:tcW w:w="1872" w:type="dxa"/>
          </w:tcPr>
          <w:p w14:paraId="76AEC83F" w14:textId="4DF37CC7" w:rsidR="21EE64F1" w:rsidRDefault="21EE64F1">
            <w:r>
              <w:lastRenderedPageBreak/>
              <w:t>Days 31 to 60</w:t>
            </w:r>
          </w:p>
        </w:tc>
        <w:tc>
          <w:tcPr>
            <w:tcW w:w="1872" w:type="dxa"/>
          </w:tcPr>
          <w:p w14:paraId="183F3EBD" w14:textId="46D1638B" w:rsidR="21EE64F1" w:rsidRDefault="21EE64F1">
            <w:r>
              <w:t>Re-engage the June demo audience with a tailored follow-up: agentic AI for commercial banking and Copilot enablement for the expanding business banking force</w:t>
            </w:r>
          </w:p>
        </w:tc>
        <w:tc>
          <w:tcPr>
            <w:tcW w:w="1872" w:type="dxa"/>
          </w:tcPr>
          <w:p w14:paraId="5EDB5B6C" w14:textId="3FAF4A4F" w:rsidR="21EE64F1" w:rsidRDefault="21EE64F1">
            <w:r>
              <w:t>Bojan Buhac</w:t>
            </w:r>
          </w:p>
        </w:tc>
        <w:tc>
          <w:tcPr>
            <w:tcW w:w="1872" w:type="dxa"/>
          </w:tcPr>
          <w:p w14:paraId="7832C9AD" w14:textId="388D3113" w:rsidR="21EE64F1" w:rsidRDefault="21EE64F1">
            <w:r>
              <w:t>10 Oct 2026</w:t>
            </w:r>
          </w:p>
        </w:tc>
        <w:tc>
          <w:tcPr>
            <w:tcW w:w="1872" w:type="dxa"/>
          </w:tcPr>
          <w:p w14:paraId="2A50F7B0" w14:textId="316B17D7" w:rsidR="21EE64F1" w:rsidRDefault="21EE64F1">
            <w:r>
              <w:t>Meeting accepted by at least one U.S. Bank technology or business banking leader</w:t>
            </w:r>
          </w:p>
        </w:tc>
      </w:tr>
      <w:tr w:rsidR="21EE64F1" w14:paraId="3C9E4678" w14:textId="77777777" w:rsidTr="21EE64F1">
        <w:tc>
          <w:tcPr>
            <w:tcW w:w="1872" w:type="dxa"/>
          </w:tcPr>
          <w:p w14:paraId="53602F15" w14:textId="4880784C" w:rsidR="21EE64F1" w:rsidRDefault="21EE64F1">
            <w:r>
              <w:t>Days 31 to 60</w:t>
            </w:r>
          </w:p>
        </w:tc>
        <w:tc>
          <w:tcPr>
            <w:tcW w:w="1872" w:type="dxa"/>
          </w:tcPr>
          <w:p w14:paraId="4CA8FFB3" w14:textId="415E5F10" w:rsidR="21EE64F1" w:rsidRDefault="21EE64F1">
            <w:r>
              <w:t xml:space="preserve">Request a Microsoft account-team alignment call to confirm co-sell fit and avoid </w:t>
            </w:r>
            <w:proofErr w:type="gramStart"/>
            <w:r>
              <w:t>overlap</w:t>
            </w:r>
            <w:proofErr w:type="gramEnd"/>
            <w:r>
              <w:t xml:space="preserve"> with the Azure programme</w:t>
            </w:r>
          </w:p>
        </w:tc>
        <w:tc>
          <w:tcPr>
            <w:tcW w:w="1872" w:type="dxa"/>
          </w:tcPr>
          <w:p w14:paraId="758746CD" w14:textId="3A3C45D4" w:rsidR="21EE64F1" w:rsidRDefault="21EE64F1">
            <w:r>
              <w:t>Executive sponsor</w:t>
            </w:r>
          </w:p>
        </w:tc>
        <w:tc>
          <w:tcPr>
            <w:tcW w:w="1872" w:type="dxa"/>
          </w:tcPr>
          <w:p w14:paraId="1DE56A59" w14:textId="331A2C98" w:rsidR="21EE64F1" w:rsidRDefault="21EE64F1">
            <w:r>
              <w:t>17 Oct 2026</w:t>
            </w:r>
          </w:p>
        </w:tc>
        <w:tc>
          <w:tcPr>
            <w:tcW w:w="1872" w:type="dxa"/>
          </w:tcPr>
          <w:p w14:paraId="3D490055" w14:textId="2BF8135C" w:rsidR="21EE64F1" w:rsidRDefault="21EE64F1">
            <w:r>
              <w:t>Joint positioning agreed</w:t>
            </w:r>
          </w:p>
        </w:tc>
      </w:tr>
      <w:tr w:rsidR="21EE64F1" w14:paraId="24F0B392" w14:textId="77777777" w:rsidTr="21EE64F1">
        <w:tc>
          <w:tcPr>
            <w:tcW w:w="1872" w:type="dxa"/>
          </w:tcPr>
          <w:p w14:paraId="234CF753" w14:textId="430D73D1" w:rsidR="21EE64F1" w:rsidRDefault="21EE64F1">
            <w:r>
              <w:t>Days 31 to 60</w:t>
            </w:r>
          </w:p>
        </w:tc>
        <w:tc>
          <w:tcPr>
            <w:tcW w:w="1872" w:type="dxa"/>
          </w:tcPr>
          <w:p w14:paraId="3C34B4B5" w14:textId="3BEB5A95" w:rsidR="21EE64F1" w:rsidRDefault="21EE64F1">
            <w:r>
              <w:t>Review U.S. Bancorp Q3 2026 results (expected mid-October) and refresh the snapshot, benchmark and guidance sections of this plan</w:t>
            </w:r>
          </w:p>
        </w:tc>
        <w:tc>
          <w:tcPr>
            <w:tcW w:w="1872" w:type="dxa"/>
          </w:tcPr>
          <w:p w14:paraId="3A7D467F" w14:textId="34C94159" w:rsidR="21EE64F1" w:rsidRDefault="21EE64F1">
            <w:r>
              <w:t>Bojan Buhac</w:t>
            </w:r>
          </w:p>
        </w:tc>
        <w:tc>
          <w:tcPr>
            <w:tcW w:w="1872" w:type="dxa"/>
          </w:tcPr>
          <w:p w14:paraId="2FBEA856" w14:textId="2DA7281D" w:rsidR="21EE64F1" w:rsidRDefault="21EE64F1">
            <w:r>
              <w:t>24 Oct 2026</w:t>
            </w:r>
          </w:p>
        </w:tc>
        <w:tc>
          <w:tcPr>
            <w:tcW w:w="1872" w:type="dxa"/>
          </w:tcPr>
          <w:p w14:paraId="60013128" w14:textId="26850EE1" w:rsidR="21EE64F1" w:rsidRDefault="21EE64F1">
            <w:r>
              <w:t>Plan updated with Q3 figures and any new priorities</w:t>
            </w:r>
          </w:p>
        </w:tc>
      </w:tr>
      <w:tr w:rsidR="21EE64F1" w14:paraId="5879AB4A" w14:textId="77777777" w:rsidTr="21EE64F1">
        <w:tc>
          <w:tcPr>
            <w:tcW w:w="1872" w:type="dxa"/>
          </w:tcPr>
          <w:p w14:paraId="5B4F8398" w14:textId="3D9A6F56" w:rsidR="21EE64F1" w:rsidRDefault="21EE64F1">
            <w:r>
              <w:t>Days 31 to 60</w:t>
            </w:r>
          </w:p>
        </w:tc>
        <w:tc>
          <w:tcPr>
            <w:tcW w:w="1872" w:type="dxa"/>
          </w:tcPr>
          <w:p w14:paraId="62FA02A1" w14:textId="3678561A" w:rsidR="21EE64F1" w:rsidRDefault="21EE64F1">
            <w:r>
              <w:t xml:space="preserve">Run a discovery workshop mapping one or two of the register opportunities to </w:t>
            </w:r>
            <w:proofErr w:type="gramStart"/>
            <w:r>
              <w:t>quantified</w:t>
            </w:r>
            <w:proofErr w:type="gramEnd"/>
            <w:r>
              <w:t xml:space="preserve"> efficiency or growth outcomes</w:t>
            </w:r>
          </w:p>
        </w:tc>
        <w:tc>
          <w:tcPr>
            <w:tcW w:w="1872" w:type="dxa"/>
          </w:tcPr>
          <w:p w14:paraId="297A8050" w14:textId="2F563CDE" w:rsidR="21EE64F1" w:rsidRDefault="21EE64F1">
            <w:r>
              <w:t>Bojan Buhac</w:t>
            </w:r>
          </w:p>
        </w:tc>
        <w:tc>
          <w:tcPr>
            <w:tcW w:w="1872" w:type="dxa"/>
          </w:tcPr>
          <w:p w14:paraId="265C670E" w14:textId="283423A2" w:rsidR="21EE64F1" w:rsidRDefault="21EE64F1">
            <w:r>
              <w:t>31 Oct 2026</w:t>
            </w:r>
          </w:p>
        </w:tc>
        <w:tc>
          <w:tcPr>
            <w:tcW w:w="1872" w:type="dxa"/>
          </w:tcPr>
          <w:p w14:paraId="31998C5A" w14:textId="21120A66" w:rsidR="21EE64F1" w:rsidRDefault="21EE64F1">
            <w:r>
              <w:t>Workshop held; one opportunity moved from Unqualified to Qualified</w:t>
            </w:r>
          </w:p>
        </w:tc>
      </w:tr>
      <w:tr w:rsidR="21EE64F1" w14:paraId="5BBF8207" w14:textId="77777777" w:rsidTr="21EE64F1">
        <w:tc>
          <w:tcPr>
            <w:tcW w:w="1872" w:type="dxa"/>
          </w:tcPr>
          <w:p w14:paraId="2B17F88E" w14:textId="38276ADB" w:rsidR="21EE64F1" w:rsidRDefault="21EE64F1">
            <w:r>
              <w:t>Days 61 to 90</w:t>
            </w:r>
          </w:p>
        </w:tc>
        <w:tc>
          <w:tcPr>
            <w:tcW w:w="1872" w:type="dxa"/>
          </w:tcPr>
          <w:p w14:paraId="291266CE" w14:textId="3105519F" w:rsidR="21EE64F1" w:rsidRDefault="21EE64F1">
            <w:r>
              <w:t xml:space="preserve">Submit a scoped </w:t>
            </w:r>
            <w:r>
              <w:lastRenderedPageBreak/>
              <w:t>proposal or paid pilot for the qualified opportunity, with success metrics tied to the bank's published targets</w:t>
            </w:r>
          </w:p>
        </w:tc>
        <w:tc>
          <w:tcPr>
            <w:tcW w:w="1872" w:type="dxa"/>
          </w:tcPr>
          <w:p w14:paraId="292937C5" w14:textId="29E33863" w:rsidR="21EE64F1" w:rsidRDefault="21EE64F1">
            <w:r>
              <w:lastRenderedPageBreak/>
              <w:t xml:space="preserve">Bojan Buhac and </w:t>
            </w:r>
            <w:r>
              <w:lastRenderedPageBreak/>
              <w:t>sponsor</w:t>
            </w:r>
          </w:p>
        </w:tc>
        <w:tc>
          <w:tcPr>
            <w:tcW w:w="1872" w:type="dxa"/>
          </w:tcPr>
          <w:p w14:paraId="6A56C2C3" w14:textId="22C11F27" w:rsidR="21EE64F1" w:rsidRDefault="21EE64F1">
            <w:r>
              <w:lastRenderedPageBreak/>
              <w:t>14 Nov 2026</w:t>
            </w:r>
          </w:p>
        </w:tc>
        <w:tc>
          <w:tcPr>
            <w:tcW w:w="1872" w:type="dxa"/>
          </w:tcPr>
          <w:p w14:paraId="269E133E" w14:textId="1B9F05EB" w:rsidR="21EE64F1" w:rsidRDefault="21EE64F1">
            <w:r>
              <w:t xml:space="preserve">Proposal </w:t>
            </w:r>
            <w:r>
              <w:lastRenderedPageBreak/>
              <w:t>delivered; decision date agreed</w:t>
            </w:r>
          </w:p>
        </w:tc>
      </w:tr>
      <w:tr w:rsidR="21EE64F1" w14:paraId="238E5570" w14:textId="77777777" w:rsidTr="21EE64F1">
        <w:tc>
          <w:tcPr>
            <w:tcW w:w="1872" w:type="dxa"/>
          </w:tcPr>
          <w:p w14:paraId="18382660" w14:textId="32B46660" w:rsidR="21EE64F1" w:rsidRDefault="21EE64F1">
            <w:r>
              <w:lastRenderedPageBreak/>
              <w:t>Days 61 to 90</w:t>
            </w:r>
          </w:p>
        </w:tc>
        <w:tc>
          <w:tcPr>
            <w:tcW w:w="1872" w:type="dxa"/>
          </w:tcPr>
          <w:p w14:paraId="327002BC" w14:textId="2B924D24" w:rsidR="21EE64F1" w:rsidRDefault="21EE64F1">
            <w:r>
              <w:t>Complete vendor onboarding and third-party risk review if the pilot is accepted</w:t>
            </w:r>
          </w:p>
        </w:tc>
        <w:tc>
          <w:tcPr>
            <w:tcW w:w="1872" w:type="dxa"/>
          </w:tcPr>
          <w:p w14:paraId="6F1260F5" w14:textId="247033E8" w:rsidR="21EE64F1" w:rsidRDefault="21EE64F1">
            <w:r>
              <w:t>Executive sponsor</w:t>
            </w:r>
          </w:p>
        </w:tc>
        <w:tc>
          <w:tcPr>
            <w:tcW w:w="1872" w:type="dxa"/>
          </w:tcPr>
          <w:p w14:paraId="5E8ED3F4" w14:textId="1D4E1AAC" w:rsidR="21EE64F1" w:rsidRDefault="21EE64F1">
            <w:r>
              <w:t>28 Nov 2026</w:t>
            </w:r>
          </w:p>
        </w:tc>
        <w:tc>
          <w:tcPr>
            <w:tcW w:w="1872" w:type="dxa"/>
          </w:tcPr>
          <w:p w14:paraId="668CBB77" w14:textId="162C0170" w:rsidR="21EE64F1" w:rsidRDefault="21EE64F1">
            <w:r>
              <w:t>Onboarding steps complete or blockers documented</w:t>
            </w:r>
          </w:p>
        </w:tc>
      </w:tr>
      <w:tr w:rsidR="21EE64F1" w14:paraId="489AD356" w14:textId="77777777" w:rsidTr="21EE64F1">
        <w:tc>
          <w:tcPr>
            <w:tcW w:w="1872" w:type="dxa"/>
          </w:tcPr>
          <w:p w14:paraId="2DCEC91A" w14:textId="2D4161E5" w:rsidR="21EE64F1" w:rsidRDefault="21EE64F1">
            <w:r>
              <w:t>Days 61 to 90</w:t>
            </w:r>
          </w:p>
        </w:tc>
        <w:tc>
          <w:tcPr>
            <w:tcW w:w="1872" w:type="dxa"/>
          </w:tcPr>
          <w:p w14:paraId="6897FB87" w14:textId="261F48A9" w:rsidR="21EE64F1" w:rsidRDefault="21EE64F1">
            <w:r>
              <w:t>Complete the peer benchmark (Wells Fargo, Truist headline figures) and add Q3 data for all peers</w:t>
            </w:r>
          </w:p>
        </w:tc>
        <w:tc>
          <w:tcPr>
            <w:tcW w:w="1872" w:type="dxa"/>
          </w:tcPr>
          <w:p w14:paraId="5CB2334F" w14:textId="1EFD2F6D" w:rsidR="21EE64F1" w:rsidRDefault="21EE64F1">
            <w:r>
              <w:t>Bojan Buhac</w:t>
            </w:r>
          </w:p>
        </w:tc>
        <w:tc>
          <w:tcPr>
            <w:tcW w:w="1872" w:type="dxa"/>
          </w:tcPr>
          <w:p w14:paraId="5548A882" w14:textId="17DB1631" w:rsidR="21EE64F1" w:rsidRDefault="21EE64F1">
            <w:r>
              <w:t>28 Nov 2026</w:t>
            </w:r>
          </w:p>
        </w:tc>
        <w:tc>
          <w:tcPr>
            <w:tcW w:w="1872" w:type="dxa"/>
          </w:tcPr>
          <w:p w14:paraId="4CD6DD7E" w14:textId="10B8FCF5" w:rsidR="21EE64F1" w:rsidRDefault="21EE64F1">
            <w:r>
              <w:t>No "Not extracted" cells remain in the benchmark table</w:t>
            </w:r>
          </w:p>
        </w:tc>
      </w:tr>
      <w:tr w:rsidR="21EE64F1" w14:paraId="63326AD4" w14:textId="77777777" w:rsidTr="21EE64F1">
        <w:tc>
          <w:tcPr>
            <w:tcW w:w="1872" w:type="dxa"/>
          </w:tcPr>
          <w:p w14:paraId="2735751F" w14:textId="27CE5D6A" w:rsidR="21EE64F1" w:rsidRDefault="21EE64F1">
            <w:r>
              <w:t>Days 61 to 90</w:t>
            </w:r>
          </w:p>
        </w:tc>
        <w:tc>
          <w:tcPr>
            <w:tcW w:w="1872" w:type="dxa"/>
          </w:tcPr>
          <w:p w14:paraId="7AF4960A" w14:textId="20AC442E" w:rsidR="21EE64F1" w:rsidRDefault="21EE64F1">
            <w:r>
              <w:t>Hold the Q4 account review: relationship map with verified strengths, pipeline, risks and the next 90-day plan</w:t>
            </w:r>
          </w:p>
        </w:tc>
        <w:tc>
          <w:tcPr>
            <w:tcW w:w="1872" w:type="dxa"/>
          </w:tcPr>
          <w:p w14:paraId="470F4EDB" w14:textId="198A2AF2" w:rsidR="21EE64F1" w:rsidRDefault="21EE64F1">
            <w:r>
              <w:t>Bojan Buhac and sponsor</w:t>
            </w:r>
          </w:p>
        </w:tc>
        <w:tc>
          <w:tcPr>
            <w:tcW w:w="1872" w:type="dxa"/>
          </w:tcPr>
          <w:p w14:paraId="432FC0F9" w14:textId="126811B6" w:rsidR="21EE64F1" w:rsidRDefault="21EE64F1">
            <w:r>
              <w:t>2 Dec 2026</w:t>
            </w:r>
          </w:p>
        </w:tc>
        <w:tc>
          <w:tcPr>
            <w:tcW w:w="1872" w:type="dxa"/>
          </w:tcPr>
          <w:p w14:paraId="1C878E4F" w14:textId="0B45F87A" w:rsidR="21EE64F1" w:rsidRDefault="21EE64F1">
            <w:r>
              <w:t>Review held; next-quarter plan approved</w:t>
            </w:r>
          </w:p>
        </w:tc>
      </w:tr>
    </w:tbl>
    <w:p w14:paraId="6637CB54" w14:textId="556DBEEC" w:rsidR="21EE64F1" w:rsidRDefault="21EE64F1">
      <w:r>
        <w:t xml:space="preserve"> </w:t>
      </w:r>
    </w:p>
    <w:p w14:paraId="6D48BAB2" w14:textId="2AF1CBA9" w:rsidR="21EE64F1" w:rsidRDefault="21EE64F1" w:rsidP="21EE64F1">
      <w:pPr>
        <w:pStyle w:val="Heading1"/>
      </w:pPr>
      <w:r w:rsidRPr="21EE64F1">
        <w:rPr>
          <w:color w:val="40230C"/>
        </w:rPr>
        <w:t>6. Sources</w:t>
      </w:r>
    </w:p>
    <w:p w14:paraId="58FBA1C9" w14:textId="70EBF92A" w:rsidR="21EE64F1" w:rsidRDefault="21EE64F1" w:rsidP="21EE64F1">
      <w:pPr>
        <w:pStyle w:val="Heading2"/>
      </w:pPr>
      <w:r w:rsidRPr="21EE64F1">
        <w:rPr>
          <w:color w:val="40230C"/>
        </w:rPr>
        <w:t>Internal (How2Demos Microsoft 365)</w:t>
      </w:r>
    </w:p>
    <w:p w14:paraId="5EA08B8D" w14:textId="158C5162" w:rsidR="21EE64F1" w:rsidRDefault="21EE64F1" w:rsidP="21EE64F1">
      <w:pPr>
        <w:pStyle w:val="ListBullet"/>
      </w:pPr>
      <w:r>
        <w:t>Microsoft Security notification, "PIM: Valene Samuels activated the AI Administrator role assignment", received 2 June 2026, justification "Customer demo prep - US Bank". Searches of email, Teams chats, calendar (1 July to 3 September 2026, then all of 2026) and SharePoint/OneDrive files for "bank", "US Bank", "U.S. Bancorp" and peer bank names returned no other account-related items.</w:t>
      </w:r>
    </w:p>
    <w:p w14:paraId="2A569134" w14:textId="469899C3" w:rsidR="21EE64F1" w:rsidRDefault="21EE64F1" w:rsidP="21EE64F1">
      <w:pPr>
        <w:pStyle w:val="Heading2"/>
      </w:pPr>
      <w:r w:rsidRPr="21EE64F1">
        <w:rPr>
          <w:color w:val="40230C"/>
        </w:rPr>
        <w:t>Public (web)</w:t>
      </w:r>
    </w:p>
    <w:p w14:paraId="2B5C868A" w14:textId="72CAD6B7" w:rsidR="21EE64F1" w:rsidRDefault="21EE64F1" w:rsidP="21EE64F1">
      <w:pPr>
        <w:pStyle w:val="ListBullet"/>
      </w:pPr>
      <w:r>
        <w:t>U.S. Bancorp, "U.S. Bancorp reports second quarter 2026 results", 16 July 2026. https://www.usbank.com/about-us-bank/news-and-stories/article-library/us-bancorp-reports-second-quarter-2026-results.html</w:t>
      </w:r>
    </w:p>
    <w:p w14:paraId="30A15228" w14:textId="691FEA3B" w:rsidR="21EE64F1" w:rsidRDefault="21EE64F1" w:rsidP="21EE64F1">
      <w:pPr>
        <w:pStyle w:val="ListBullet"/>
      </w:pPr>
      <w:r>
        <w:t>The Motley Fool, "U.S. Bancorp (USB) Q2 2026 Earnings Call Transcript", call held 16 July 2026, published 23 July 2026. https://www.fool.com/earnings/call-transcripts/2026/07/23/us-bancorp-usb-q2-2026-earnings-call-transcript/</w:t>
      </w:r>
    </w:p>
    <w:p w14:paraId="43DC6D8B" w14:textId="3819170C" w:rsidR="21EE64F1" w:rsidRDefault="21EE64F1" w:rsidP="21EE64F1">
      <w:pPr>
        <w:pStyle w:val="ListBullet"/>
      </w:pPr>
      <w:r>
        <w:lastRenderedPageBreak/>
        <w:t xml:space="preserve">U.S. Bancorp, "U.S. Bank Expands Business Banking Team </w:t>
      </w:r>
      <w:proofErr w:type="gramStart"/>
      <w:r>
        <w:t>Into</w:t>
      </w:r>
      <w:proofErr w:type="gramEnd"/>
      <w:r>
        <w:t xml:space="preserve"> Florida and Georgia, Accelerates Growth in Texas and Arizona", 31 August 2026. https://ir.usbank.com/news-events/news/news-details/2026/U-S--Bank-Expands-Business-Banking-Team-Into-Florida-and-Georgia-Accelerates-Growth-in-Texas-and-Arizona/default.aspx</w:t>
      </w:r>
    </w:p>
    <w:p w14:paraId="6046E88F" w14:textId="4AB52A9E" w:rsidR="21EE64F1" w:rsidRDefault="21EE64F1" w:rsidP="21EE64F1">
      <w:pPr>
        <w:pStyle w:val="ListBullet"/>
      </w:pPr>
      <w:r>
        <w:t>StockTitan summary of U.S. Bancorp DEF 14A proxy statement, filed 10 March 2026 (leadership transition, Technology Committee). https://www.stocktitan.net/sec-filings/USB/def-14a-us-bancorp-de-definitive-proxy-statement-7dd9748aba69.html</w:t>
      </w:r>
    </w:p>
    <w:p w14:paraId="59852476" w14:textId="13B2C310" w:rsidR="21EE64F1" w:rsidRDefault="21EE64F1" w:rsidP="21EE64F1">
      <w:pPr>
        <w:pStyle w:val="ListBullet"/>
      </w:pPr>
      <w:r>
        <w:t>MarketScreener, "US Bancorp: 2026 Annual Report 2026 Proxy Statement" (three strategic priorities: organic growth, payments transformation, expense management). https://www.marketscreener.com/news/us-bancorp-2026-annual-report-2026-proxy-statement-ce7e5fdfdc80f32d</w:t>
      </w:r>
    </w:p>
    <w:p w14:paraId="40EA4730" w14:textId="2A21CD7B" w:rsidR="21EE64F1" w:rsidRDefault="21EE64F1" w:rsidP="21EE64F1">
      <w:pPr>
        <w:pStyle w:val="ListBullet"/>
      </w:pPr>
      <w:r>
        <w:t>InfotechLead, "U.S. Bancorp accelerates AI-driven digital transformation with 83% digital users and $2.6 bn tech investment", 21 April 2026. https://infotechlead.com/cio/u-s-bancorp-q1-2026-ai-driven-digital-platform-amazon-partnership-and-tech-reinvestment-fuel-growth-95211</w:t>
      </w:r>
    </w:p>
    <w:p w14:paraId="172FD89C" w14:textId="7B6866DE" w:rsidR="21EE64F1" w:rsidRDefault="21EE64F1" w:rsidP="21EE64F1">
      <w:pPr>
        <w:pStyle w:val="ListBullet"/>
      </w:pPr>
      <w:r>
        <w:t>U.S. Bank company blog, "U.S. Bank, Microsoft accelerate the future of banking with cloud computing", 23 February 2022. https://www.usbank.com/about-us-bank/company-blog/article-library/us-bank-microsoft-accelerate-the-future-of-banking-with-cloud-computing.html</w:t>
      </w:r>
    </w:p>
    <w:p w14:paraId="7B317888" w14:textId="302CEBDE" w:rsidR="21EE64F1" w:rsidRDefault="21EE64F1" w:rsidP="21EE64F1">
      <w:pPr>
        <w:pStyle w:val="ListBullet"/>
      </w:pPr>
      <w:r>
        <w:t>Microsoft Cloud blog, "How AI is reshaping corporate and commercial banking", 22 June 2026. https://www.microsoft.com/en-us/microsoft-cloud/blog/banking/2026/06/22/how-ai-is-reshaping-corporate-and-commercial-banking/</w:t>
      </w:r>
    </w:p>
    <w:p w14:paraId="21EA0253" w14:textId="4C3C2F90" w:rsidR="21EE64F1" w:rsidRDefault="21EE64F1" w:rsidP="21EE64F1">
      <w:pPr>
        <w:pStyle w:val="ListBullet"/>
      </w:pPr>
      <w:r>
        <w:t>Cybersecurity News, "US Bank Investigating Data Breach Following LockBit Ransomware Claim", 21 August 2026. https://cybersecuritynews.com/us-bank-investigating-data-breach-lockbit-claim/</w:t>
      </w:r>
    </w:p>
    <w:p w14:paraId="514A4034" w14:textId="72F135ED" w:rsidR="21EE64F1" w:rsidRDefault="21EE64F1" w:rsidP="21EE64F1">
      <w:pPr>
        <w:pStyle w:val="ListBullet"/>
      </w:pPr>
      <w:r>
        <w:t>Quartr, "U.S. Bancorp (USB) Q1 2026 Summary" (medium-term targets). https://quartr.com/events/u-s-bancorp-usb-q1-2026_3sIRuLWw</w:t>
      </w:r>
    </w:p>
    <w:p w14:paraId="6087B333" w14:textId="3C21862A" w:rsidR="21EE64F1" w:rsidRDefault="21EE64F1" w:rsidP="21EE64F1">
      <w:pPr>
        <w:pStyle w:val="ListBullet"/>
      </w:pPr>
      <w:r>
        <w:t>Quartr, "The PNC Financial Services Group (PNC) Q2 2026 Summary", 5 August 2026. https://quartr.com/events/the-pnc-financial-services-group-inc-pnc-q2-2026_337EQPiK</w:t>
      </w:r>
    </w:p>
    <w:p w14:paraId="5B781CAB" w14:textId="62C313D6" w:rsidR="21EE64F1" w:rsidRDefault="21EE64F1" w:rsidP="21EE64F1">
      <w:pPr>
        <w:pStyle w:val="ListBullet"/>
      </w:pPr>
      <w:r>
        <w:t>Market Inference, "Truist reports strong Q2 growth", 17 July 2026. https://marketinference.com/analysis/r/2026/07/17/TFC/ ; Wells Fargo, "2Q26 Financial Results", 14 July 2026. https://www.wellsfargo.com/assets/pdf/about/investor-relations/earnings/second-quarter-2026-financial-results.pdf</w:t>
      </w:r>
    </w:p>
    <w:sectPr w:rsidR="21EE64F1" w:rsidSect="00034616">
      <w:pgSz w:w="12240" w:h="15840"/>
      <w:pgMar w:top="1440" w:right="1296" w:bottom="1440"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00546271">
    <w:abstractNumId w:val="8"/>
  </w:num>
  <w:num w:numId="2" w16cid:durableId="1061829816">
    <w:abstractNumId w:val="6"/>
  </w:num>
  <w:num w:numId="3" w16cid:durableId="1896892653">
    <w:abstractNumId w:val="5"/>
  </w:num>
  <w:num w:numId="4" w16cid:durableId="1433672252">
    <w:abstractNumId w:val="4"/>
  </w:num>
  <w:num w:numId="5" w16cid:durableId="1218123508">
    <w:abstractNumId w:val="7"/>
  </w:num>
  <w:num w:numId="6" w16cid:durableId="1532453670">
    <w:abstractNumId w:val="3"/>
  </w:num>
  <w:num w:numId="7" w16cid:durableId="1183394137">
    <w:abstractNumId w:val="2"/>
  </w:num>
  <w:num w:numId="8" w16cid:durableId="1060791828">
    <w:abstractNumId w:val="1"/>
  </w:num>
  <w:num w:numId="9" w16cid:durableId="2129665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84544"/>
    <w:rsid w:val="00AA1D8D"/>
    <w:rsid w:val="00AA7E84"/>
    <w:rsid w:val="00B47730"/>
    <w:rsid w:val="00CB0664"/>
    <w:rsid w:val="00FC693F"/>
    <w:rsid w:val="042A5BE8"/>
    <w:rsid w:val="07172254"/>
    <w:rsid w:val="08115729"/>
    <w:rsid w:val="0D3953A2"/>
    <w:rsid w:val="0F399DF0"/>
    <w:rsid w:val="0F6F15C3"/>
    <w:rsid w:val="106F6B5C"/>
    <w:rsid w:val="1344953B"/>
    <w:rsid w:val="179538AA"/>
    <w:rsid w:val="184A899D"/>
    <w:rsid w:val="1BBAD77A"/>
    <w:rsid w:val="1D6E94D1"/>
    <w:rsid w:val="21A8F7B4"/>
    <w:rsid w:val="21EE64F1"/>
    <w:rsid w:val="24B40C44"/>
    <w:rsid w:val="26295BE4"/>
    <w:rsid w:val="26BDAA9B"/>
    <w:rsid w:val="276C6626"/>
    <w:rsid w:val="27E4E205"/>
    <w:rsid w:val="2B7448DD"/>
    <w:rsid w:val="2BAC76D1"/>
    <w:rsid w:val="2D6537D3"/>
    <w:rsid w:val="2DF5EE8C"/>
    <w:rsid w:val="2EA1FE50"/>
    <w:rsid w:val="2F662CEB"/>
    <w:rsid w:val="2F84ED85"/>
    <w:rsid w:val="30F2BF09"/>
    <w:rsid w:val="31955625"/>
    <w:rsid w:val="33117C97"/>
    <w:rsid w:val="363EDC15"/>
    <w:rsid w:val="37385251"/>
    <w:rsid w:val="37AA9AE1"/>
    <w:rsid w:val="3FF534E2"/>
    <w:rsid w:val="4025584E"/>
    <w:rsid w:val="4671CDF2"/>
    <w:rsid w:val="4E9AD96D"/>
    <w:rsid w:val="4F986F84"/>
    <w:rsid w:val="50B56323"/>
    <w:rsid w:val="5561FD83"/>
    <w:rsid w:val="5622834E"/>
    <w:rsid w:val="57B2A974"/>
    <w:rsid w:val="57E66D1F"/>
    <w:rsid w:val="5BC76577"/>
    <w:rsid w:val="5CBF5E16"/>
    <w:rsid w:val="60B1BD20"/>
    <w:rsid w:val="62BDB201"/>
    <w:rsid w:val="630C3C4F"/>
    <w:rsid w:val="658C53EB"/>
    <w:rsid w:val="6827A7AD"/>
    <w:rsid w:val="6DE96B5E"/>
    <w:rsid w:val="7441BCB9"/>
    <w:rsid w:val="7687DDEE"/>
    <w:rsid w:val="7EA6C5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EB31B476-C83D-4AAE-A53D-1B4E772D0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2410C10365B41458A488A2E06A7CDDA" ma:contentTypeVersion="16" ma:contentTypeDescription="Create a new document." ma:contentTypeScope="" ma:versionID="8fc8c9c986ff763fb0d30ebcc45645fb">
  <xsd:schema xmlns:xsd="http://www.w3.org/2001/XMLSchema" xmlns:xs="http://www.w3.org/2001/XMLSchema" xmlns:p="http://schemas.microsoft.com/office/2006/metadata/properties" xmlns:ns1="http://schemas.microsoft.com/sharepoint/v3" xmlns:ns2="debf2d1a-3119-443f-9311-2f3fb0fd7de8" xmlns:ns3="9ece1660-89e4-4efe-8613-f619625afc8d" targetNamespace="http://schemas.microsoft.com/office/2006/metadata/properties" ma:root="true" ma:fieldsID="8a6a739d9051ad82eb6b3b4cb1429ef8" ns1:_="" ns2:_="" ns3:_="">
    <xsd:import namespace="http://schemas.microsoft.com/sharepoint/v3"/>
    <xsd:import namespace="debf2d1a-3119-443f-9311-2f3fb0fd7de8"/>
    <xsd:import namespace="9ece1660-89e4-4efe-8613-f619625afc8d"/>
    <xsd:element name="properties">
      <xsd:complexType>
        <xsd:sequence>
          <xsd:element name="documentManagement">
            <xsd:complexType>
              <xsd:all>
                <xsd:element ref="ns2:MediaServiceBillingMetadata" minOccurs="0"/>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element ref="ns2:HasDigitalSignature" minOccurs="0"/>
                <xsd:element ref="ns2:DigitalSignatureProvider"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ebf2d1a-3119-443f-9311-2f3fb0fd7de8" elementFormDefault="qualified">
    <xsd:import namespace="http://schemas.microsoft.com/office/2006/documentManagement/types"/>
    <xsd:import namespace="http://schemas.microsoft.com/office/infopath/2007/PartnerControls"/>
    <xsd:element name="MediaServiceBillingMetadata" ma:index="8" nillable="true" ma:displayName="MediaServiceBillingMetadata" ma:hidden="true" ma:internalName="MediaServiceBillingMetadata" ma:readOnly="true">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HasDigitalSignature" ma:index="14" nillable="true" ma:displayName="Signed electronically" ma:internalName="HasDigitalSignature" ma:readOnly="true">
      <xsd:simpleType>
        <xsd:restriction base="dms:Boolean"/>
      </xsd:simpleType>
    </xsd:element>
    <xsd:element name="DigitalSignatureProvider" ma:index="15" nillable="true" ma:displayName="Signature provider" ma:internalName="DigitalSignatureProvider"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ece1660-89e4-4efe-8613-f619625afc8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ff42c6ae-3fbc-4b15-b29b-26f803fb8319}" ma:internalName="TaxCatchAll" ma:showField="CatchAllData" ma:web="9ece1660-89e4-4efe-8613-f619625afc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debf2d1a-3119-443f-9311-2f3fb0fd7de8">
      <Terms xmlns="http://schemas.microsoft.com/office/infopath/2007/PartnerControls"/>
    </lcf76f155ced4ddcb4097134ff3c332f>
    <TaxCatchAll xmlns="9ece1660-89e4-4efe-8613-f619625afc8d" xsi:nil="true"/>
  </documentManagement>
</p:properties>
</file>

<file path=customXml/itemProps1.xml><?xml version="1.0" encoding="utf-8"?>
<ds:datastoreItem xmlns:ds="http://schemas.openxmlformats.org/officeDocument/2006/customXml" ds:itemID="{CA5E4BC3-5285-43A7-8881-334EDA0645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ebf2d1a-3119-443f-9311-2f3fb0fd7de8"/>
    <ds:schemaRef ds:uri="9ece1660-89e4-4efe-8613-f619625afc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54DB4D6C-C0E0-48C5-A842-9EE2ABB04934}">
  <ds:schemaRefs>
    <ds:schemaRef ds:uri="http://schemas.microsoft.com/sharepoint/v3/contenttype/forms"/>
  </ds:schemaRefs>
</ds:datastoreItem>
</file>

<file path=customXml/itemProps4.xml><?xml version="1.0" encoding="utf-8"?>
<ds:datastoreItem xmlns:ds="http://schemas.openxmlformats.org/officeDocument/2006/customXml" ds:itemID="{A9226AAC-48A9-4674-A9E2-CC84D2AC9BE1}">
  <ds:schemaRefs>
    <ds:schemaRef ds:uri="http://schemas.microsoft.com/office/2006/metadata/properties"/>
    <ds:schemaRef ds:uri="http://schemas.microsoft.com/office/infopath/2007/PartnerControls"/>
    <ds:schemaRef ds:uri="http://schemas.microsoft.com/sharepoint/v3"/>
    <ds:schemaRef ds:uri="debf2d1a-3119-443f-9311-2f3fb0fd7de8"/>
    <ds:schemaRef ds:uri="9ece1660-89e4-4efe-8613-f619625afc8d"/>
  </ds:schemaRefs>
</ds:datastoreItem>
</file>

<file path=docMetadata/LabelInfo.xml><?xml version="1.0" encoding="utf-8"?>
<clbl:labelList xmlns:clbl="http://schemas.microsoft.com/office/2020/mipLabelMetadata">
  <clbl:label id="{87867195-f2b8-4ac2-b0b6-6bb73cb33afc}" enabled="1" method="Privileged" siteId="{72f988bf-86f1-41af-91ab-2d7cd011db47}"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12</Pages>
  <Words>3361</Words>
  <Characters>19162</Characters>
  <Application>Microsoft Office Word</Application>
  <DocSecurity>0</DocSecurity>
  <Lines>159</Lines>
  <Paragraphs>44</Paragraphs>
  <ScaleCrop>false</ScaleCrop>
  <Manager/>
  <Company/>
  <LinksUpToDate>false</LinksUpToDate>
  <CharactersWithSpaces>22479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Bojan Buhac</cp:lastModifiedBy>
  <cp:revision>3</cp:revision>
  <dcterms:created xsi:type="dcterms:W3CDTF">2026-09-03T14:31:00Z</dcterms:created>
  <dcterms:modified xsi:type="dcterms:W3CDTF">2026-09-03T19:59:00Z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0x01010042410C10365B41458A488A2E06A7CDDA</vt:lpwstr>
  </property>
  <property fmtid="{D5CDD505-2E9C-101B-9397-08002B2CF9AE}" pid="4" name="docLang">
    <vt:lpwstr>en</vt:lpwstr>
  </property>
</Properties>
</file>