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F1A53" w14:textId="67A2FBC8" w:rsidR="29890492" w:rsidRDefault="29890492" w:rsidP="29890492">
      <w:pPr>
        <w:pStyle w:val="Title"/>
      </w:pPr>
      <w:r w:rsidRPr="29890492">
        <w:rPr>
          <w:b/>
          <w:bCs/>
          <w:color w:val="6B3A1B"/>
        </w:rPr>
        <w:t>U.S. Bank Account Plan</w:t>
      </w:r>
    </w:p>
    <w:p w14:paraId="26D10167" w14:textId="1BAE5FF0" w:rsidR="29890492" w:rsidRDefault="29890492">
      <w:r w:rsidRPr="29890492">
        <w:rPr>
          <w:i/>
          <w:iCs/>
          <w:color w:val="5A5A5A"/>
        </w:rPr>
        <w:t>Prepared for Bojan Buhac, How2Demos — Q3 2026 (3 September 2026)</w:t>
      </w:r>
    </w:p>
    <w:p w14:paraId="793CCABC" w14:textId="63483C68" w:rsidR="29890492" w:rsidRDefault="29890492" w:rsidP="29890492">
      <w:pPr>
        <w:pStyle w:val="Heading2"/>
      </w:pPr>
      <w:r w:rsidRPr="29890492">
        <w:rPr>
          <w:color w:val="6B3A1B"/>
        </w:rPr>
        <w:t>Evidence base and its limits</w:t>
      </w:r>
    </w:p>
    <w:p w14:paraId="4F76A58E" w14:textId="251C9FCC" w:rsidR="29890492" w:rsidRDefault="29890492">
      <w:r>
        <w:t>This plan is built almost entirely on public sources. A search across email, Teams chats, calendar, meeting transcripts and SharePoint/OneDrive returned exactly one internal reference to this account: a privileged-access notification dated 2 June 2026 in which the stated justification was "Customer demo prep - US Bank". There are no email threads, no Teams conversations, no calendar entries and no documents relating to the account. Every internal section below is therefore framed as a set of questions to close rather than a record of what is known, and each is marked accordingly.</w:t>
      </w:r>
    </w:p>
    <w:p w14:paraId="60305A83" w14:textId="4A361696" w:rsidR="29890492" w:rsidRDefault="29890492" w:rsidP="29890492">
      <w:pPr>
        <w:pStyle w:val="Heading1"/>
      </w:pPr>
      <w:r w:rsidRPr="29890492">
        <w:rPr>
          <w:color w:val="6B3A1B"/>
        </w:rPr>
        <w:t>Executive summary</w:t>
      </w:r>
    </w:p>
    <w:p w14:paraId="470D5ED6" w14:textId="1150B3F0" w:rsidR="29890492" w:rsidRDefault="29890492">
      <w:r>
        <w:t xml:space="preserve">U.S. Bancorp enters the second half of 2026 from a position of strength. In the second quarter reported on 16 July 2026 it posted record net revenue of $7,712 million, net income of $2,177 million (up 20% year over year) and diluted earnings per share of $1.35, up 22%. Net interest income rose 7.5% on a taxable-equivalent basis and fee revenue rose 13.2%, producing 400 basis points of positive operating leverage. Return on average assets was 1.26%, the efficiency ratio 57.1%, net interest margin 2.79% and the CET1 capital ratio 10.8% </w:t>
      </w:r>
      <w:proofErr w:type="gramStart"/>
      <w:r>
        <w:t>at</w:t>
      </w:r>
      <w:proofErr w:type="gramEnd"/>
      <w:r>
        <w:t xml:space="preserve"> 30 June.</w:t>
      </w:r>
    </w:p>
    <w:p w14:paraId="66964BFE" w14:textId="110900A7" w:rsidR="29890492" w:rsidRDefault="29890492">
      <w:r>
        <w:t xml:space="preserve">Two moves define the current agenda. The BTIG acquisition </w:t>
      </w:r>
      <w:proofErr w:type="gramStart"/>
      <w:r>
        <w:t>closed effective</w:t>
      </w:r>
      <w:proofErr w:type="gramEnd"/>
      <w:r>
        <w:t xml:space="preserve"> 1 June 2026, bringing institutional equity sales and trading, equity capital markets, electronic trading and M&amp;A advisory into the group and contributing roughly $98 million of fee revenue and $84 million of noninterest expense in the quarter. Separately, Elavon expanded its All-In-One payments platform across North America, unifying payment acceptance, point-of-sale software and business operations on Android-based devices for hospitality, healthcare and retail merchants.</w:t>
      </w:r>
    </w:p>
    <w:p w14:paraId="3581376A" w14:textId="3E5338C3" w:rsidR="29890492" w:rsidRDefault="29890492">
      <w:r>
        <w:t>Both create integration work of exactly the kind an advisory or technology partner is engaged for: merging a broker-dealer's data, controls and client onboarding into a diversified bank, and scaling a merchant platform across a continent through a partner ecosystem. Chief executive Gunjan Kedia, who also assumed the chairmanship in 2026, has framed the strategy around customer focus, digitisation, partnerships and artificial intelligence, and the board added a dedicated Technology Committee in the 2026 proxy. The opening for How2Demos is real, but it cannot be sized until the internal gap described above is closed.</w:t>
      </w:r>
    </w:p>
    <w:p w14:paraId="220CE122" w14:textId="3839B563" w:rsidR="29890492" w:rsidRDefault="29890492" w:rsidP="29890492">
      <w:pPr>
        <w:pStyle w:val="Heading2"/>
      </w:pPr>
      <w:r w:rsidRPr="29890492">
        <w:rPr>
          <w:color w:val="6B3A1B"/>
        </w:rPr>
        <w:t xml:space="preserve">Q2 2026 performance </w:t>
      </w:r>
      <w:proofErr w:type="gramStart"/>
      <w:r w:rsidRPr="29890492">
        <w:rPr>
          <w:color w:val="6B3A1B"/>
        </w:rPr>
        <w:t>at a glance</w:t>
      </w:r>
      <w:proofErr w:type="gramEnd"/>
    </w:p>
    <w:tbl>
      <w:tblPr>
        <w:tblStyle w:val="TableGrid"/>
        <w:tblW w:w="0" w:type="auto"/>
        <w:tblLook w:val="0000" w:firstRow="0" w:lastRow="0" w:firstColumn="0" w:lastColumn="0" w:noHBand="0" w:noVBand="0"/>
      </w:tblPr>
      <w:tblGrid>
        <w:gridCol w:w="2955"/>
        <w:gridCol w:w="2947"/>
        <w:gridCol w:w="2954"/>
      </w:tblGrid>
      <w:tr w:rsidR="29890492" w14:paraId="539434BA" w14:textId="77777777" w:rsidTr="29890492">
        <w:tc>
          <w:tcPr>
            <w:tcW w:w="3120" w:type="dxa"/>
          </w:tcPr>
          <w:p w14:paraId="2B56C432" w14:textId="0C2F577F" w:rsidR="29890492" w:rsidRDefault="29890492">
            <w:r w:rsidRPr="29890492">
              <w:rPr>
                <w:b/>
                <w:bCs/>
                <w:color w:val="6B3A1B"/>
              </w:rPr>
              <w:t>Metric</w:t>
            </w:r>
          </w:p>
        </w:tc>
        <w:tc>
          <w:tcPr>
            <w:tcW w:w="3120" w:type="dxa"/>
          </w:tcPr>
          <w:p w14:paraId="390D4451" w14:textId="050D3E43" w:rsidR="29890492" w:rsidRDefault="29890492">
            <w:r w:rsidRPr="29890492">
              <w:rPr>
                <w:b/>
                <w:bCs/>
                <w:color w:val="6B3A1B"/>
              </w:rPr>
              <w:t>Q2 2026</w:t>
            </w:r>
          </w:p>
        </w:tc>
        <w:tc>
          <w:tcPr>
            <w:tcW w:w="3120" w:type="dxa"/>
          </w:tcPr>
          <w:p w14:paraId="6813B86B" w14:textId="7DEB2507" w:rsidR="29890492" w:rsidRDefault="29890492">
            <w:r w:rsidRPr="29890492">
              <w:rPr>
                <w:b/>
                <w:bCs/>
                <w:color w:val="6B3A1B"/>
              </w:rPr>
              <w:t>Year-over-year</w:t>
            </w:r>
          </w:p>
        </w:tc>
      </w:tr>
      <w:tr w:rsidR="29890492" w14:paraId="4251ABD3" w14:textId="77777777" w:rsidTr="29890492">
        <w:tc>
          <w:tcPr>
            <w:tcW w:w="3120" w:type="dxa"/>
          </w:tcPr>
          <w:p w14:paraId="3A52681E" w14:textId="1500857C" w:rsidR="29890492" w:rsidRDefault="29890492">
            <w:r>
              <w:t>Net revenue</w:t>
            </w:r>
          </w:p>
        </w:tc>
        <w:tc>
          <w:tcPr>
            <w:tcW w:w="3120" w:type="dxa"/>
          </w:tcPr>
          <w:p w14:paraId="61F26DA3" w14:textId="0DDE6C40" w:rsidR="29890492" w:rsidRDefault="29890492">
            <w:r>
              <w:t>$7,712m (record)</w:t>
            </w:r>
          </w:p>
        </w:tc>
        <w:tc>
          <w:tcPr>
            <w:tcW w:w="3120" w:type="dxa"/>
          </w:tcPr>
          <w:p w14:paraId="6C4AC8F8" w14:textId="06BC5304" w:rsidR="29890492" w:rsidRDefault="29890492">
            <w:r>
              <w:t>n/a</w:t>
            </w:r>
          </w:p>
        </w:tc>
      </w:tr>
      <w:tr w:rsidR="29890492" w14:paraId="7917C499" w14:textId="77777777" w:rsidTr="29890492">
        <w:tc>
          <w:tcPr>
            <w:tcW w:w="3120" w:type="dxa"/>
          </w:tcPr>
          <w:p w14:paraId="1EC1779F" w14:textId="1DD1B379" w:rsidR="29890492" w:rsidRDefault="29890492">
            <w:r>
              <w:lastRenderedPageBreak/>
              <w:t>Net income</w:t>
            </w:r>
          </w:p>
        </w:tc>
        <w:tc>
          <w:tcPr>
            <w:tcW w:w="3120" w:type="dxa"/>
          </w:tcPr>
          <w:p w14:paraId="59C081E6" w14:textId="16AF9A3D" w:rsidR="29890492" w:rsidRDefault="29890492">
            <w:r>
              <w:t>$2,177m</w:t>
            </w:r>
          </w:p>
        </w:tc>
        <w:tc>
          <w:tcPr>
            <w:tcW w:w="3120" w:type="dxa"/>
          </w:tcPr>
          <w:p w14:paraId="1352C5FE" w14:textId="0F8D8101" w:rsidR="29890492" w:rsidRDefault="29890492">
            <w:r>
              <w:t>+20%</w:t>
            </w:r>
          </w:p>
        </w:tc>
      </w:tr>
      <w:tr w:rsidR="29890492" w14:paraId="5C8206D7" w14:textId="77777777" w:rsidTr="29890492">
        <w:tc>
          <w:tcPr>
            <w:tcW w:w="3120" w:type="dxa"/>
          </w:tcPr>
          <w:p w14:paraId="5818CBC9" w14:textId="26A2E176" w:rsidR="29890492" w:rsidRDefault="29890492">
            <w:r>
              <w:t>Diluted EPS</w:t>
            </w:r>
          </w:p>
        </w:tc>
        <w:tc>
          <w:tcPr>
            <w:tcW w:w="3120" w:type="dxa"/>
          </w:tcPr>
          <w:p w14:paraId="4AFD0E20" w14:textId="1F80C83A" w:rsidR="29890492" w:rsidRDefault="29890492">
            <w:r>
              <w:t>$1.35</w:t>
            </w:r>
          </w:p>
        </w:tc>
        <w:tc>
          <w:tcPr>
            <w:tcW w:w="3120" w:type="dxa"/>
          </w:tcPr>
          <w:p w14:paraId="5F5CAD25" w14:textId="185EAEFE" w:rsidR="29890492" w:rsidRDefault="29890492">
            <w:r>
              <w:t>+22%</w:t>
            </w:r>
          </w:p>
        </w:tc>
      </w:tr>
      <w:tr w:rsidR="29890492" w14:paraId="3FA166D3" w14:textId="77777777" w:rsidTr="29890492">
        <w:tc>
          <w:tcPr>
            <w:tcW w:w="3120" w:type="dxa"/>
          </w:tcPr>
          <w:p w14:paraId="6B464187" w14:textId="2F740F73" w:rsidR="29890492" w:rsidRDefault="29890492">
            <w:r>
              <w:t>Net interest income (TE)</w:t>
            </w:r>
          </w:p>
        </w:tc>
        <w:tc>
          <w:tcPr>
            <w:tcW w:w="3120" w:type="dxa"/>
          </w:tcPr>
          <w:p w14:paraId="2D7163CB" w14:textId="2851F637" w:rsidR="29890492" w:rsidRDefault="29890492">
            <w:r>
              <w:t>—</w:t>
            </w:r>
          </w:p>
        </w:tc>
        <w:tc>
          <w:tcPr>
            <w:tcW w:w="3120" w:type="dxa"/>
          </w:tcPr>
          <w:p w14:paraId="4EC5A9DB" w14:textId="212FDCFB" w:rsidR="29890492" w:rsidRDefault="29890492">
            <w:r>
              <w:t>+7.5%</w:t>
            </w:r>
          </w:p>
        </w:tc>
      </w:tr>
      <w:tr w:rsidR="29890492" w14:paraId="28D21F46" w14:textId="77777777" w:rsidTr="29890492">
        <w:tc>
          <w:tcPr>
            <w:tcW w:w="3120" w:type="dxa"/>
          </w:tcPr>
          <w:p w14:paraId="5AC77F23" w14:textId="38453D70" w:rsidR="29890492" w:rsidRDefault="29890492">
            <w:r>
              <w:t>Fee revenue</w:t>
            </w:r>
          </w:p>
        </w:tc>
        <w:tc>
          <w:tcPr>
            <w:tcW w:w="3120" w:type="dxa"/>
          </w:tcPr>
          <w:p w14:paraId="3F473F14" w14:textId="31232434" w:rsidR="29890492" w:rsidRDefault="29890492">
            <w:r>
              <w:t>—</w:t>
            </w:r>
          </w:p>
        </w:tc>
        <w:tc>
          <w:tcPr>
            <w:tcW w:w="3120" w:type="dxa"/>
          </w:tcPr>
          <w:p w14:paraId="49B56611" w14:textId="2A010AF8" w:rsidR="29890492" w:rsidRDefault="29890492">
            <w:r>
              <w:t>+13.2%</w:t>
            </w:r>
          </w:p>
        </w:tc>
      </w:tr>
      <w:tr w:rsidR="29890492" w14:paraId="3162E8B1" w14:textId="77777777" w:rsidTr="29890492">
        <w:tc>
          <w:tcPr>
            <w:tcW w:w="3120" w:type="dxa"/>
          </w:tcPr>
          <w:p w14:paraId="564E8856" w14:textId="41166B6D" w:rsidR="29890492" w:rsidRDefault="29890492">
            <w:r>
              <w:t>Net interest margin</w:t>
            </w:r>
          </w:p>
        </w:tc>
        <w:tc>
          <w:tcPr>
            <w:tcW w:w="3120" w:type="dxa"/>
          </w:tcPr>
          <w:p w14:paraId="22F26C5A" w14:textId="39F45231" w:rsidR="29890492" w:rsidRDefault="29890492">
            <w:r>
              <w:t>2.79%</w:t>
            </w:r>
          </w:p>
        </w:tc>
        <w:tc>
          <w:tcPr>
            <w:tcW w:w="3120" w:type="dxa"/>
          </w:tcPr>
          <w:p w14:paraId="66834CAF" w14:textId="32D238F5" w:rsidR="29890492" w:rsidRDefault="29890492">
            <w:r>
              <w:t>+13 bps</w:t>
            </w:r>
          </w:p>
        </w:tc>
      </w:tr>
      <w:tr w:rsidR="29890492" w14:paraId="7ED95548" w14:textId="77777777" w:rsidTr="29890492">
        <w:tc>
          <w:tcPr>
            <w:tcW w:w="3120" w:type="dxa"/>
          </w:tcPr>
          <w:p w14:paraId="24693666" w14:textId="49E7996A" w:rsidR="29890492" w:rsidRDefault="29890492">
            <w:r>
              <w:t>Efficiency ratio</w:t>
            </w:r>
          </w:p>
        </w:tc>
        <w:tc>
          <w:tcPr>
            <w:tcW w:w="3120" w:type="dxa"/>
          </w:tcPr>
          <w:p w14:paraId="7A7FE02A" w14:textId="42C5802E" w:rsidR="29890492" w:rsidRDefault="29890492">
            <w:r>
              <w:t>57.1%</w:t>
            </w:r>
          </w:p>
        </w:tc>
        <w:tc>
          <w:tcPr>
            <w:tcW w:w="3120" w:type="dxa"/>
          </w:tcPr>
          <w:p w14:paraId="6682E9F4" w14:textId="3BA366F2" w:rsidR="29890492" w:rsidRDefault="29890492">
            <w:r>
              <w:t>improved</w:t>
            </w:r>
          </w:p>
        </w:tc>
      </w:tr>
      <w:tr w:rsidR="29890492" w14:paraId="5B96E363" w14:textId="77777777" w:rsidTr="29890492">
        <w:tc>
          <w:tcPr>
            <w:tcW w:w="3120" w:type="dxa"/>
          </w:tcPr>
          <w:p w14:paraId="54BD6636" w14:textId="52B8C767" w:rsidR="29890492" w:rsidRDefault="29890492">
            <w:r>
              <w:t>CET1 ratio (30 Jun 2026)</w:t>
            </w:r>
          </w:p>
        </w:tc>
        <w:tc>
          <w:tcPr>
            <w:tcW w:w="3120" w:type="dxa"/>
          </w:tcPr>
          <w:p w14:paraId="3F84C7D6" w14:textId="4B96AE2B" w:rsidR="29890492" w:rsidRDefault="29890492">
            <w:r>
              <w:t>10.8%</w:t>
            </w:r>
          </w:p>
        </w:tc>
        <w:tc>
          <w:tcPr>
            <w:tcW w:w="3120" w:type="dxa"/>
          </w:tcPr>
          <w:p w14:paraId="16D63BB4" w14:textId="447494EF" w:rsidR="29890492" w:rsidRDefault="29890492">
            <w:r>
              <w:t>—</w:t>
            </w:r>
          </w:p>
        </w:tc>
      </w:tr>
    </w:tbl>
    <w:p w14:paraId="50D8AC09" w14:textId="6878D12A" w:rsidR="29890492" w:rsidRDefault="29890492" w:rsidP="29890492">
      <w:pPr>
        <w:pStyle w:val="Heading1"/>
      </w:pPr>
      <w:r w:rsidRPr="29890492">
        <w:rPr>
          <w:color w:val="6B3A1B"/>
        </w:rPr>
        <w:t>Relationship map</w:t>
      </w:r>
    </w:p>
    <w:p w14:paraId="257B2FEB" w14:textId="39621BF7" w:rsidR="29890492" w:rsidRDefault="29890492">
      <w:r>
        <w:t>No U.S. Bank contacts appear anywhere in your mailbox, chats or calendar, so there is no relationship history to map. What follows is the public-facing structure the account will be worked through, together with the roles that still need a named person against them. Treat the right-hand column as the first thing to fill in.</w:t>
      </w:r>
    </w:p>
    <w:tbl>
      <w:tblPr>
        <w:tblStyle w:val="TableGrid"/>
        <w:tblW w:w="0" w:type="auto"/>
        <w:tblLook w:val="0000" w:firstRow="0" w:lastRow="0" w:firstColumn="0" w:lastColumn="0" w:noHBand="0" w:noVBand="0"/>
      </w:tblPr>
      <w:tblGrid>
        <w:gridCol w:w="2937"/>
        <w:gridCol w:w="2962"/>
        <w:gridCol w:w="2957"/>
      </w:tblGrid>
      <w:tr w:rsidR="29890492" w14:paraId="1AF69B12" w14:textId="77777777" w:rsidTr="29890492">
        <w:tc>
          <w:tcPr>
            <w:tcW w:w="3120" w:type="dxa"/>
          </w:tcPr>
          <w:p w14:paraId="6AE14B64" w14:textId="4623A9B0" w:rsidR="29890492" w:rsidRDefault="29890492">
            <w:r w:rsidRPr="29890492">
              <w:rPr>
                <w:b/>
                <w:bCs/>
                <w:color w:val="6B3A1B"/>
              </w:rPr>
              <w:t>Role in the account</w:t>
            </w:r>
          </w:p>
        </w:tc>
        <w:tc>
          <w:tcPr>
            <w:tcW w:w="3120" w:type="dxa"/>
          </w:tcPr>
          <w:p w14:paraId="2E0B9CD7" w14:textId="3F019074" w:rsidR="29890492" w:rsidRDefault="29890492">
            <w:r w:rsidRPr="29890492">
              <w:rPr>
                <w:b/>
                <w:bCs/>
                <w:color w:val="6B3A1B"/>
              </w:rPr>
              <w:t>Known from public sources</w:t>
            </w:r>
          </w:p>
        </w:tc>
        <w:tc>
          <w:tcPr>
            <w:tcW w:w="3120" w:type="dxa"/>
          </w:tcPr>
          <w:p w14:paraId="78DEAA9C" w14:textId="37DF7738" w:rsidR="29890492" w:rsidRDefault="29890492">
            <w:r w:rsidRPr="29890492">
              <w:rPr>
                <w:b/>
                <w:bCs/>
                <w:color w:val="6B3A1B"/>
              </w:rPr>
              <w:t>Status of our relationship</w:t>
            </w:r>
          </w:p>
        </w:tc>
      </w:tr>
      <w:tr w:rsidR="29890492" w14:paraId="48B63E94" w14:textId="77777777" w:rsidTr="29890492">
        <w:tc>
          <w:tcPr>
            <w:tcW w:w="3120" w:type="dxa"/>
          </w:tcPr>
          <w:p w14:paraId="10A33898" w14:textId="4EF4D7AD" w:rsidR="29890492" w:rsidRDefault="29890492">
            <w:r>
              <w:t>Chair, President &amp; CEO</w:t>
            </w:r>
          </w:p>
        </w:tc>
        <w:tc>
          <w:tcPr>
            <w:tcW w:w="3120" w:type="dxa"/>
          </w:tcPr>
          <w:p w14:paraId="1AD82CF0" w14:textId="47D2BE71" w:rsidR="29890492" w:rsidRDefault="29890492">
            <w:r>
              <w:t>Gunjan Kedia (assumed chairmanship 2026, succeeding Andy Cecere)</w:t>
            </w:r>
          </w:p>
        </w:tc>
        <w:tc>
          <w:tcPr>
            <w:tcW w:w="3120" w:type="dxa"/>
          </w:tcPr>
          <w:p w14:paraId="5A3E7A2A" w14:textId="40B0A535" w:rsidR="29890492" w:rsidRDefault="29890492">
            <w:r>
              <w:t>No contact on record</w:t>
            </w:r>
          </w:p>
        </w:tc>
      </w:tr>
      <w:tr w:rsidR="29890492" w14:paraId="572E1551" w14:textId="77777777" w:rsidTr="29890492">
        <w:tc>
          <w:tcPr>
            <w:tcW w:w="3120" w:type="dxa"/>
          </w:tcPr>
          <w:p w14:paraId="7E488A94" w14:textId="57C605AA" w:rsidR="29890492" w:rsidRDefault="29890492">
            <w:r>
              <w:t>Board technology oversight</w:t>
            </w:r>
          </w:p>
        </w:tc>
        <w:tc>
          <w:tcPr>
            <w:tcW w:w="3120" w:type="dxa"/>
          </w:tcPr>
          <w:p w14:paraId="382DAD4E" w14:textId="50A3EC6E" w:rsidR="29890492" w:rsidRDefault="29890492">
            <w:r>
              <w:t>New Technology Committee established in the 2026 proxy</w:t>
            </w:r>
          </w:p>
        </w:tc>
        <w:tc>
          <w:tcPr>
            <w:tcW w:w="3120" w:type="dxa"/>
          </w:tcPr>
          <w:p w14:paraId="23BB3C5F" w14:textId="4981D332" w:rsidR="29890492" w:rsidRDefault="29890492">
            <w:r>
              <w:t>No contact on record</w:t>
            </w:r>
          </w:p>
        </w:tc>
      </w:tr>
      <w:tr w:rsidR="29890492" w14:paraId="508D3980" w14:textId="77777777" w:rsidTr="29890492">
        <w:tc>
          <w:tcPr>
            <w:tcW w:w="3120" w:type="dxa"/>
          </w:tcPr>
          <w:p w14:paraId="44170DF5" w14:textId="609733A7" w:rsidR="29890492" w:rsidRDefault="29890492">
            <w:r>
              <w:t>Capital markets (BTIG)</w:t>
            </w:r>
          </w:p>
        </w:tc>
        <w:tc>
          <w:tcPr>
            <w:tcW w:w="3120" w:type="dxa"/>
          </w:tcPr>
          <w:p w14:paraId="2D055E82" w14:textId="59751A6B" w:rsidR="29890492" w:rsidRDefault="29890492">
            <w:r>
              <w:t>Integrated into U.S. Bancorp effective 1 June 2026</w:t>
            </w:r>
          </w:p>
        </w:tc>
        <w:tc>
          <w:tcPr>
            <w:tcW w:w="3120" w:type="dxa"/>
          </w:tcPr>
          <w:p w14:paraId="2B42AA04" w14:textId="5253012F" w:rsidR="29890492" w:rsidRDefault="29890492">
            <w:r>
              <w:t>No contact on record</w:t>
            </w:r>
          </w:p>
        </w:tc>
      </w:tr>
      <w:tr w:rsidR="29890492" w14:paraId="1F7B4E5D" w14:textId="77777777" w:rsidTr="29890492">
        <w:tc>
          <w:tcPr>
            <w:tcW w:w="3120" w:type="dxa"/>
          </w:tcPr>
          <w:p w14:paraId="39818143" w14:textId="696861A4" w:rsidR="29890492" w:rsidRDefault="29890492">
            <w:r>
              <w:t>Merchant acquiring</w:t>
            </w:r>
          </w:p>
        </w:tc>
        <w:tc>
          <w:tcPr>
            <w:tcW w:w="3120" w:type="dxa"/>
          </w:tcPr>
          <w:p w14:paraId="3646BE9D" w14:textId="62464868" w:rsidR="29890492" w:rsidRDefault="29890492">
            <w:r>
              <w:t>Elavon, wholly owned subsidiary</w:t>
            </w:r>
          </w:p>
        </w:tc>
        <w:tc>
          <w:tcPr>
            <w:tcW w:w="3120" w:type="dxa"/>
          </w:tcPr>
          <w:p w14:paraId="13E108C6" w14:textId="5B242F2C" w:rsidR="29890492" w:rsidRDefault="29890492">
            <w:r>
              <w:t>No contact on record</w:t>
            </w:r>
          </w:p>
        </w:tc>
      </w:tr>
      <w:tr w:rsidR="29890492" w14:paraId="43C252A2" w14:textId="77777777" w:rsidTr="29890492">
        <w:tc>
          <w:tcPr>
            <w:tcW w:w="3120" w:type="dxa"/>
          </w:tcPr>
          <w:p w14:paraId="62E24863" w14:textId="72398FA1" w:rsidR="29890492" w:rsidRDefault="29890492">
            <w:r>
              <w:t>Investor relations</w:t>
            </w:r>
          </w:p>
        </w:tc>
        <w:tc>
          <w:tcPr>
            <w:tcW w:w="3120" w:type="dxa"/>
          </w:tcPr>
          <w:p w14:paraId="43254BE1" w14:textId="6B177665" w:rsidR="29890492" w:rsidRDefault="29890492">
            <w:r>
              <w:t>Brian Mauney</w:t>
            </w:r>
          </w:p>
        </w:tc>
        <w:tc>
          <w:tcPr>
            <w:tcW w:w="3120" w:type="dxa"/>
          </w:tcPr>
          <w:p w14:paraId="11D871EC" w14:textId="63F55D29" w:rsidR="29890492" w:rsidRDefault="29890492">
            <w:r>
              <w:t>Public contact only</w:t>
            </w:r>
          </w:p>
        </w:tc>
      </w:tr>
      <w:tr w:rsidR="29890492" w14:paraId="61BC7EE7" w14:textId="77777777" w:rsidTr="29890492">
        <w:tc>
          <w:tcPr>
            <w:tcW w:w="3120" w:type="dxa"/>
          </w:tcPr>
          <w:p w14:paraId="5F20B685" w14:textId="7B0ABD9E" w:rsidR="29890492" w:rsidRDefault="29890492">
            <w:r>
              <w:t>Media relations</w:t>
            </w:r>
          </w:p>
        </w:tc>
        <w:tc>
          <w:tcPr>
            <w:tcW w:w="3120" w:type="dxa"/>
          </w:tcPr>
          <w:p w14:paraId="128F7C40" w14:textId="73E8A462" w:rsidR="29890492" w:rsidRDefault="29890492">
            <w:r>
              <w:t>Jeff Shelman</w:t>
            </w:r>
          </w:p>
        </w:tc>
        <w:tc>
          <w:tcPr>
            <w:tcW w:w="3120" w:type="dxa"/>
          </w:tcPr>
          <w:p w14:paraId="65522995" w14:textId="6CC68B26" w:rsidR="29890492" w:rsidRDefault="29890492">
            <w:r>
              <w:t>Public contact only</w:t>
            </w:r>
          </w:p>
        </w:tc>
      </w:tr>
    </w:tbl>
    <w:p w14:paraId="3BD23509" w14:textId="5B6F341A" w:rsidR="29890492" w:rsidRDefault="29890492">
      <w:r>
        <w:t>Internally, the one trace of the account is a demo preparation carried out on 2 June 2026 under an elevated administrator role. Whoever ran that session is the natural starting point: they know who asked for the demo, what was shown and how it landed. Identifying that person is the single highest-value action in this plan, because it converts a blank relationship map into a real one.</w:t>
      </w:r>
    </w:p>
    <w:p w14:paraId="6F873FD2" w14:textId="1DAFE94D" w:rsidR="29890492" w:rsidRDefault="29890492" w:rsidP="29890492">
      <w:pPr>
        <w:pStyle w:val="Heading1"/>
      </w:pPr>
      <w:r w:rsidRPr="29890492">
        <w:rPr>
          <w:color w:val="6B3A1B"/>
        </w:rPr>
        <w:t>Open opportunities and risks</w:t>
      </w:r>
    </w:p>
    <w:p w14:paraId="6B90294A" w14:textId="45041043" w:rsidR="29890492" w:rsidRDefault="29890492" w:rsidP="29890492">
      <w:pPr>
        <w:pStyle w:val="Heading2"/>
      </w:pPr>
      <w:r w:rsidRPr="29890492">
        <w:rPr>
          <w:color w:val="6B3A1B"/>
        </w:rPr>
        <w:t>Opportunities</w:t>
      </w:r>
    </w:p>
    <w:p w14:paraId="6A3314D7" w14:textId="38F1E49E" w:rsidR="29890492" w:rsidRDefault="29890492">
      <w:proofErr w:type="gramStart"/>
      <w:r>
        <w:t>The BTIG</w:t>
      </w:r>
      <w:proofErr w:type="gramEnd"/>
      <w:r>
        <w:t xml:space="preserve"> integration is the largest and most time-bound opportunity. A firm founded in 2005 that ranks among the top ten U.S. brokers for high-touch equity trading volume and has taken part in more than 1,350 investment banking transactions since 2015 does not fold into a diversified bank without substantial work on data, surveillance, client onboarding and reporting. The first year after </w:t>
      </w:r>
      <w:proofErr w:type="gramStart"/>
      <w:r>
        <w:t>close</w:t>
      </w:r>
      <w:proofErr w:type="gramEnd"/>
      <w:r>
        <w:t xml:space="preserve"> is when that work is scoped and funded.</w:t>
      </w:r>
    </w:p>
    <w:p w14:paraId="1C9350D4" w14:textId="18A97BAC" w:rsidR="29890492" w:rsidRDefault="29890492">
      <w:r>
        <w:lastRenderedPageBreak/>
        <w:t>Elavon's All-In-One expansion is the second. The platform is explicitly built around a growing ecosystem of technology partners and integrations, which is a stated invitation to build alongside it rather than merely sell into it. Its named target industries are hospitality, healthcare and retail.</w:t>
      </w:r>
    </w:p>
    <w:p w14:paraId="2AB44B82" w14:textId="3A29153D" w:rsidR="29890492" w:rsidRDefault="29890492">
      <w:r>
        <w:t>The third is the artificial intelligence and digitisation agenda Kedia has set out publicly, now with board-level oversight through the new Technology Committee. Fee revenue growing at 13.2% against 7.5% for net interest income shows where the institution is leaning, and fee businesses are the ones most exposed to automation and client-experience investment.</w:t>
      </w:r>
    </w:p>
    <w:p w14:paraId="1D94C63A" w14:textId="27AB5142" w:rsidR="29890492" w:rsidRDefault="29890492" w:rsidP="29890492">
      <w:pPr>
        <w:pStyle w:val="Heading2"/>
      </w:pPr>
      <w:r w:rsidRPr="29890492">
        <w:rPr>
          <w:color w:val="6B3A1B"/>
        </w:rPr>
        <w:t>Risks</w:t>
      </w:r>
    </w:p>
    <w:tbl>
      <w:tblPr>
        <w:tblStyle w:val="TableGrid"/>
        <w:tblW w:w="0" w:type="auto"/>
        <w:tblLook w:val="0000" w:firstRow="0" w:lastRow="0" w:firstColumn="0" w:lastColumn="0" w:noHBand="0" w:noVBand="0"/>
      </w:tblPr>
      <w:tblGrid>
        <w:gridCol w:w="2950"/>
        <w:gridCol w:w="2960"/>
        <w:gridCol w:w="2946"/>
      </w:tblGrid>
      <w:tr w:rsidR="29890492" w14:paraId="42AC251A" w14:textId="77777777" w:rsidTr="29890492">
        <w:tc>
          <w:tcPr>
            <w:tcW w:w="3120" w:type="dxa"/>
          </w:tcPr>
          <w:p w14:paraId="3325D900" w14:textId="7024B4A8" w:rsidR="29890492" w:rsidRDefault="29890492">
            <w:r w:rsidRPr="29890492">
              <w:rPr>
                <w:b/>
                <w:bCs/>
                <w:color w:val="6B3A1B"/>
              </w:rPr>
              <w:t>Risk</w:t>
            </w:r>
          </w:p>
        </w:tc>
        <w:tc>
          <w:tcPr>
            <w:tcW w:w="3120" w:type="dxa"/>
          </w:tcPr>
          <w:p w14:paraId="36C67401" w14:textId="69029B6C" w:rsidR="29890492" w:rsidRDefault="29890492">
            <w:r w:rsidRPr="29890492">
              <w:rPr>
                <w:b/>
                <w:bCs/>
                <w:color w:val="6B3A1B"/>
              </w:rPr>
              <w:t>Why it matters</w:t>
            </w:r>
          </w:p>
        </w:tc>
        <w:tc>
          <w:tcPr>
            <w:tcW w:w="3120" w:type="dxa"/>
          </w:tcPr>
          <w:p w14:paraId="2E867DC0" w14:textId="61E08230" w:rsidR="29890492" w:rsidRDefault="29890492">
            <w:r w:rsidRPr="29890492">
              <w:rPr>
                <w:b/>
                <w:bCs/>
                <w:color w:val="6B3A1B"/>
              </w:rPr>
              <w:t>Mitigation</w:t>
            </w:r>
          </w:p>
        </w:tc>
      </w:tr>
      <w:tr w:rsidR="29890492" w14:paraId="2EC3D57A" w14:textId="77777777" w:rsidTr="29890492">
        <w:tc>
          <w:tcPr>
            <w:tcW w:w="3120" w:type="dxa"/>
          </w:tcPr>
          <w:p w14:paraId="1CB98C8A" w14:textId="78F5E2A5" w:rsidR="29890492" w:rsidRDefault="29890492">
            <w:r>
              <w:t>No relationship of record</w:t>
            </w:r>
          </w:p>
        </w:tc>
        <w:tc>
          <w:tcPr>
            <w:tcW w:w="3120" w:type="dxa"/>
          </w:tcPr>
          <w:p w14:paraId="69536A32" w14:textId="71D3C969" w:rsidR="29890492" w:rsidRDefault="29890492">
            <w:r>
              <w:t xml:space="preserve">A demo was prepared in June </w:t>
            </w:r>
            <w:proofErr w:type="gramStart"/>
            <w:r>
              <w:t>2026</w:t>
            </w:r>
            <w:proofErr w:type="gramEnd"/>
            <w:r>
              <w:t xml:space="preserve"> but nothing followed it in email, chat or calendar. The account may be </w:t>
            </w:r>
            <w:proofErr w:type="gramStart"/>
            <w:r>
              <w:t>dormant, or</w:t>
            </w:r>
            <w:proofErr w:type="gramEnd"/>
            <w:r>
              <w:t xml:space="preserve"> owned by someone else entirely.</w:t>
            </w:r>
          </w:p>
        </w:tc>
        <w:tc>
          <w:tcPr>
            <w:tcW w:w="3120" w:type="dxa"/>
          </w:tcPr>
          <w:p w14:paraId="1ED9C3DD" w14:textId="6AB1B02D" w:rsidR="29890492" w:rsidRDefault="29890492">
            <w:r>
              <w:t>Trace the 2 June demo to its owner and confirm who holds the account before any outreach.</w:t>
            </w:r>
          </w:p>
        </w:tc>
      </w:tr>
      <w:tr w:rsidR="29890492" w14:paraId="40B5BB14" w14:textId="77777777" w:rsidTr="29890492">
        <w:tc>
          <w:tcPr>
            <w:tcW w:w="3120" w:type="dxa"/>
          </w:tcPr>
          <w:p w14:paraId="3CE7E91D" w14:textId="01C710A2" w:rsidR="29890492" w:rsidRDefault="29890492">
            <w:r>
              <w:t>Single-touch account</w:t>
            </w:r>
          </w:p>
        </w:tc>
        <w:tc>
          <w:tcPr>
            <w:tcW w:w="3120" w:type="dxa"/>
          </w:tcPr>
          <w:p w14:paraId="43944605" w14:textId="7AA4F766" w:rsidR="29890492" w:rsidRDefault="29890492">
            <w:r>
              <w:t>One demo is not a pipeline. Without a named sponsor there is no path to a decision.</w:t>
            </w:r>
          </w:p>
        </w:tc>
        <w:tc>
          <w:tcPr>
            <w:tcW w:w="3120" w:type="dxa"/>
          </w:tcPr>
          <w:p w14:paraId="4354E8B2" w14:textId="7382DE2A" w:rsidR="29890492" w:rsidRDefault="29890492">
            <w:r>
              <w:t>Secure one named business sponsor before committing delivery capacity.</w:t>
            </w:r>
          </w:p>
        </w:tc>
      </w:tr>
      <w:tr w:rsidR="29890492" w14:paraId="79627541" w14:textId="77777777" w:rsidTr="29890492">
        <w:tc>
          <w:tcPr>
            <w:tcW w:w="3120" w:type="dxa"/>
          </w:tcPr>
          <w:p w14:paraId="6962CFEE" w14:textId="0A983E9F" w:rsidR="29890492" w:rsidRDefault="29890492">
            <w:r>
              <w:t>Crowded incumbent field</w:t>
            </w:r>
          </w:p>
        </w:tc>
        <w:tc>
          <w:tcPr>
            <w:tcW w:w="3120" w:type="dxa"/>
          </w:tcPr>
          <w:p w14:paraId="12D6A637" w14:textId="03762563" w:rsidR="29890492" w:rsidRDefault="29890492">
            <w:r>
              <w:t>A bank of this size runs established relationships with large integrators and platform vendors.</w:t>
            </w:r>
          </w:p>
        </w:tc>
        <w:tc>
          <w:tcPr>
            <w:tcW w:w="3120" w:type="dxa"/>
          </w:tcPr>
          <w:p w14:paraId="583D2EC6" w14:textId="7C540C27" w:rsidR="29890492" w:rsidRDefault="29890492">
            <w:r>
              <w:t>Lead with a narrow, defensible capability rather than a broad services pitch.</w:t>
            </w:r>
          </w:p>
        </w:tc>
      </w:tr>
      <w:tr w:rsidR="29890492" w14:paraId="616360B7" w14:textId="77777777" w:rsidTr="29890492">
        <w:tc>
          <w:tcPr>
            <w:tcW w:w="3120" w:type="dxa"/>
          </w:tcPr>
          <w:p w14:paraId="407FB785" w14:textId="13696C9C" w:rsidR="29890492" w:rsidRDefault="29890492">
            <w:r>
              <w:t>Integration timing</w:t>
            </w:r>
          </w:p>
        </w:tc>
        <w:tc>
          <w:tcPr>
            <w:tcW w:w="3120" w:type="dxa"/>
          </w:tcPr>
          <w:p w14:paraId="471ED0F5" w14:textId="0C475360" w:rsidR="29890492" w:rsidRDefault="29890492">
            <w:r>
              <w:t>BTIG closed 1 June 2026; scoping decisions may already be made.</w:t>
            </w:r>
          </w:p>
        </w:tc>
        <w:tc>
          <w:tcPr>
            <w:tcW w:w="3120" w:type="dxa"/>
          </w:tcPr>
          <w:p w14:paraId="22DD5964" w14:textId="05253A24" w:rsidR="29890492" w:rsidRDefault="29890492">
            <w:r>
              <w:t>Move within the quarter or reposition toward the phase that follows.</w:t>
            </w:r>
          </w:p>
        </w:tc>
      </w:tr>
      <w:tr w:rsidR="29890492" w14:paraId="1DE4B7FB" w14:textId="77777777" w:rsidTr="29890492">
        <w:tc>
          <w:tcPr>
            <w:tcW w:w="3120" w:type="dxa"/>
          </w:tcPr>
          <w:p w14:paraId="7B8F3A55" w14:textId="1C3A9A99" w:rsidR="29890492" w:rsidRDefault="29890492">
            <w:r>
              <w:t>Regulated-industry barriers</w:t>
            </w:r>
          </w:p>
        </w:tc>
        <w:tc>
          <w:tcPr>
            <w:tcW w:w="3120" w:type="dxa"/>
          </w:tcPr>
          <w:p w14:paraId="41837BEA" w14:textId="1518815D" w:rsidR="29890492" w:rsidRDefault="29890492">
            <w:r>
              <w:t xml:space="preserve">Security </w:t>
            </w:r>
            <w:proofErr w:type="gramStart"/>
            <w:r>
              <w:t>review</w:t>
            </w:r>
            <w:proofErr w:type="gramEnd"/>
            <w:r>
              <w:t xml:space="preserve">, vendor onboarding and procurement in a bank are long and </w:t>
            </w:r>
            <w:proofErr w:type="gramStart"/>
            <w:r>
              <w:t>evidence-heavy</w:t>
            </w:r>
            <w:proofErr w:type="gramEnd"/>
            <w:r>
              <w:t>.</w:t>
            </w:r>
          </w:p>
        </w:tc>
        <w:tc>
          <w:tcPr>
            <w:tcW w:w="3120" w:type="dxa"/>
          </w:tcPr>
          <w:p w14:paraId="159E18EA" w14:textId="0DF66821" w:rsidR="29890492" w:rsidRDefault="29890492">
            <w:r>
              <w:t>Prepare security and governance evidence in advance of first substantive meeting.</w:t>
            </w:r>
          </w:p>
        </w:tc>
      </w:tr>
    </w:tbl>
    <w:p w14:paraId="50A82364" w14:textId="62A679F3" w:rsidR="29890492" w:rsidRDefault="29890492" w:rsidP="29890492">
      <w:pPr>
        <w:pStyle w:val="Heading1"/>
      </w:pPr>
      <w:r w:rsidRPr="29890492">
        <w:rPr>
          <w:color w:val="6B3A1B"/>
        </w:rPr>
        <w:t>Competitive landscape</w:t>
      </w:r>
    </w:p>
    <w:p w14:paraId="1F7B9EF4" w14:textId="577683F6" w:rsidR="29890492" w:rsidRDefault="29890492">
      <w:r>
        <w:t>U.S. Bancorp competes in the large-regional tier alongside PNC, Truist, Fifth Third, KeyCorp and Regions, against the money-centre banks above it and against payments specialists in the merchant business through Elavon. Reporting on first-quarter 2026 results across that peer group described a common pattern: commercial lending gaining momentum, fee-based businesses carrying more weight, and technology spending rising as consumer activity softened. U.S. Bancorp's own second quarter fits that pattern and outpaces it, with fee revenue up 13.2% against net interest income up 7.5%.</w:t>
      </w:r>
    </w:p>
    <w:p w14:paraId="31A125DE" w14:textId="2F239B88" w:rsidR="29890492" w:rsidRDefault="29890492">
      <w:r>
        <w:t xml:space="preserve">Two competitive angles matter for positioning. First, the BTIG acquisition is a deliberate move up-market in capital markets, into territory the money-centre banks already occupy; the institution has bought capability and now </w:t>
      </w:r>
      <w:proofErr w:type="gramStart"/>
      <w:r>
        <w:t>has to</w:t>
      </w:r>
      <w:proofErr w:type="gramEnd"/>
      <w:r>
        <w:t xml:space="preserve"> make it work, which is a delivery problem more than a strategy problem. Second, Elavon competes with dedicated </w:t>
      </w:r>
      <w:proofErr w:type="gramStart"/>
      <w:r>
        <w:t>payments</w:t>
      </w:r>
      <w:proofErr w:type="gramEnd"/>
      <w:r>
        <w:t xml:space="preserve"> </w:t>
      </w:r>
      <w:r>
        <w:lastRenderedPageBreak/>
        <w:t>platforms whose whole business is integration breadth, and its All-In-One expansion is an explicit answer to that. Positioning How2Demos against either theme means arguing execution and time-to-value, not scale.</w:t>
      </w:r>
    </w:p>
    <w:p w14:paraId="783601B4" w14:textId="7FB592A5" w:rsidR="29890492" w:rsidRDefault="29890492">
      <w:r>
        <w:t>Peer benchmarking beyond these public data points has not been carried out for this plan. Independent comparison sets exist and are worth commissioning before any pricing conversation, but they should be read as third-party analysis rather than as the bank's own disclosure.</w:t>
      </w:r>
    </w:p>
    <w:p w14:paraId="4C496120" w14:textId="7577D8B6" w:rsidR="29890492" w:rsidRDefault="29890492" w:rsidP="29890492">
      <w:pPr>
        <w:pStyle w:val="Heading1"/>
      </w:pPr>
      <w:r w:rsidRPr="29890492">
        <w:rPr>
          <w:color w:val="6B3A1B"/>
        </w:rPr>
        <w:t>90-day action plan</w:t>
      </w:r>
    </w:p>
    <w:p w14:paraId="52A9B9F5" w14:textId="5E8FC261" w:rsidR="29890492" w:rsidRDefault="29890492">
      <w:r>
        <w:t xml:space="preserve">The first month is about establishing whether an account exists at all. Nothing further should be committed until that question is answered, because a plan built on a single </w:t>
      </w:r>
      <w:proofErr w:type="gramStart"/>
      <w:r>
        <w:t>administrator</w:t>
      </w:r>
      <w:proofErr w:type="gramEnd"/>
      <w:r>
        <w:t xml:space="preserve"> log entry cannot support a delivery commitment. Dates below run from 3 September 2026.</w:t>
      </w:r>
    </w:p>
    <w:tbl>
      <w:tblPr>
        <w:tblStyle w:val="TableGrid"/>
        <w:tblW w:w="0" w:type="auto"/>
        <w:tblLook w:val="0000" w:firstRow="0" w:lastRow="0" w:firstColumn="0" w:lastColumn="0" w:noHBand="0" w:noVBand="0"/>
      </w:tblPr>
      <w:tblGrid>
        <w:gridCol w:w="2182"/>
        <w:gridCol w:w="2245"/>
        <w:gridCol w:w="2175"/>
        <w:gridCol w:w="2254"/>
      </w:tblGrid>
      <w:tr w:rsidR="29890492" w14:paraId="1293758A" w14:textId="77777777" w:rsidTr="29890492">
        <w:tc>
          <w:tcPr>
            <w:tcW w:w="2340" w:type="dxa"/>
          </w:tcPr>
          <w:p w14:paraId="71086167" w14:textId="1876AADF" w:rsidR="29890492" w:rsidRDefault="29890492">
            <w:r w:rsidRPr="29890492">
              <w:rPr>
                <w:b/>
                <w:bCs/>
                <w:color w:val="6B3A1B"/>
              </w:rPr>
              <w:t>Window</w:t>
            </w:r>
          </w:p>
        </w:tc>
        <w:tc>
          <w:tcPr>
            <w:tcW w:w="2340" w:type="dxa"/>
          </w:tcPr>
          <w:p w14:paraId="4E142904" w14:textId="115491A3" w:rsidR="29890492" w:rsidRDefault="29890492">
            <w:r w:rsidRPr="29890492">
              <w:rPr>
                <w:b/>
                <w:bCs/>
                <w:color w:val="6B3A1B"/>
              </w:rPr>
              <w:t>Action</w:t>
            </w:r>
          </w:p>
        </w:tc>
        <w:tc>
          <w:tcPr>
            <w:tcW w:w="2340" w:type="dxa"/>
          </w:tcPr>
          <w:p w14:paraId="3666DDF9" w14:textId="0A327867" w:rsidR="29890492" w:rsidRDefault="29890492">
            <w:r w:rsidRPr="29890492">
              <w:rPr>
                <w:b/>
                <w:bCs/>
                <w:color w:val="6B3A1B"/>
              </w:rPr>
              <w:t>Owner</w:t>
            </w:r>
          </w:p>
        </w:tc>
        <w:tc>
          <w:tcPr>
            <w:tcW w:w="2340" w:type="dxa"/>
          </w:tcPr>
          <w:p w14:paraId="781749D0" w14:textId="03105F2B" w:rsidR="29890492" w:rsidRDefault="29890492">
            <w:r w:rsidRPr="29890492">
              <w:rPr>
                <w:b/>
                <w:bCs/>
                <w:color w:val="6B3A1B"/>
              </w:rPr>
              <w:t>Success measure</w:t>
            </w:r>
          </w:p>
        </w:tc>
      </w:tr>
      <w:tr w:rsidR="29890492" w14:paraId="6F2CFBA0" w14:textId="77777777" w:rsidTr="29890492">
        <w:tc>
          <w:tcPr>
            <w:tcW w:w="2340" w:type="dxa"/>
          </w:tcPr>
          <w:p w14:paraId="18713FFF" w14:textId="1A25BFA0" w:rsidR="29890492" w:rsidRDefault="29890492">
            <w:r>
              <w:t>Days 1–14</w:t>
            </w:r>
          </w:p>
        </w:tc>
        <w:tc>
          <w:tcPr>
            <w:tcW w:w="2340" w:type="dxa"/>
          </w:tcPr>
          <w:p w14:paraId="107A002D" w14:textId="1303A664" w:rsidR="29890492" w:rsidRDefault="29890492">
            <w:r>
              <w:t>Identify who prepared the 2 June 2026 U.S. Bank demo and debrief them</w:t>
            </w:r>
          </w:p>
        </w:tc>
        <w:tc>
          <w:tcPr>
            <w:tcW w:w="2340" w:type="dxa"/>
          </w:tcPr>
          <w:p w14:paraId="209D879B" w14:textId="0BE18D28" w:rsidR="29890492" w:rsidRDefault="29890492">
            <w:r>
              <w:t>Bojan Buhac</w:t>
            </w:r>
          </w:p>
        </w:tc>
        <w:tc>
          <w:tcPr>
            <w:tcW w:w="2340" w:type="dxa"/>
          </w:tcPr>
          <w:p w14:paraId="6DE16CD1" w14:textId="04BF73EC" w:rsidR="29890492" w:rsidRDefault="29890492">
            <w:r>
              <w:t>Named internal owner and a written account of what was shown</w:t>
            </w:r>
          </w:p>
        </w:tc>
      </w:tr>
      <w:tr w:rsidR="29890492" w14:paraId="78BCC16E" w14:textId="77777777" w:rsidTr="29890492">
        <w:tc>
          <w:tcPr>
            <w:tcW w:w="2340" w:type="dxa"/>
          </w:tcPr>
          <w:p w14:paraId="19C409E9" w14:textId="1BD4D461" w:rsidR="29890492" w:rsidRDefault="29890492">
            <w:r>
              <w:t>Days 1–14</w:t>
            </w:r>
          </w:p>
        </w:tc>
        <w:tc>
          <w:tcPr>
            <w:tcW w:w="2340" w:type="dxa"/>
          </w:tcPr>
          <w:p w14:paraId="50DBB02E" w14:textId="14B2BB25" w:rsidR="29890492" w:rsidRDefault="29890492">
            <w:r>
              <w:t>Confirm whether How2Demos holds any contract, NDA or procurement record with the bank</w:t>
            </w:r>
          </w:p>
        </w:tc>
        <w:tc>
          <w:tcPr>
            <w:tcW w:w="2340" w:type="dxa"/>
          </w:tcPr>
          <w:p w14:paraId="77E40BD7" w14:textId="0D90A1E9" w:rsidR="29890492" w:rsidRDefault="29890492">
            <w:r>
              <w:t>Bojan Buhac</w:t>
            </w:r>
          </w:p>
        </w:tc>
        <w:tc>
          <w:tcPr>
            <w:tcW w:w="2340" w:type="dxa"/>
          </w:tcPr>
          <w:p w14:paraId="59EA7D45" w14:textId="066E88AD" w:rsidR="29890492" w:rsidRDefault="29890492">
            <w:r>
              <w:t>Yes/no answer with documentation</w:t>
            </w:r>
          </w:p>
        </w:tc>
      </w:tr>
      <w:tr w:rsidR="29890492" w14:paraId="523B3B4D" w14:textId="77777777" w:rsidTr="29890492">
        <w:tc>
          <w:tcPr>
            <w:tcW w:w="2340" w:type="dxa"/>
          </w:tcPr>
          <w:p w14:paraId="15A88725" w14:textId="1D83E922" w:rsidR="29890492" w:rsidRDefault="29890492">
            <w:r>
              <w:t>Days 15–30</w:t>
            </w:r>
          </w:p>
        </w:tc>
        <w:tc>
          <w:tcPr>
            <w:tcW w:w="2340" w:type="dxa"/>
          </w:tcPr>
          <w:p w14:paraId="4FCE84EE" w14:textId="1661CFE6" w:rsidR="29890492" w:rsidRDefault="29890492">
            <w:r>
              <w:t>Map named contacts against the four public entry points: capital markets, Elavon, technology governance, core digitisation</w:t>
            </w:r>
          </w:p>
        </w:tc>
        <w:tc>
          <w:tcPr>
            <w:tcW w:w="2340" w:type="dxa"/>
          </w:tcPr>
          <w:p w14:paraId="5164F37D" w14:textId="0F3FB6AA" w:rsidR="29890492" w:rsidRDefault="29890492">
            <w:r>
              <w:t>Bojan Buhac</w:t>
            </w:r>
          </w:p>
        </w:tc>
        <w:tc>
          <w:tcPr>
            <w:tcW w:w="2340" w:type="dxa"/>
          </w:tcPr>
          <w:p w14:paraId="1C2D8760" w14:textId="081D9D6E" w:rsidR="29890492" w:rsidRDefault="29890492">
            <w:r>
              <w:t>At least three named individuals with titles</w:t>
            </w:r>
          </w:p>
        </w:tc>
      </w:tr>
      <w:tr w:rsidR="29890492" w14:paraId="3E2938C8" w14:textId="77777777" w:rsidTr="29890492">
        <w:tc>
          <w:tcPr>
            <w:tcW w:w="2340" w:type="dxa"/>
          </w:tcPr>
          <w:p w14:paraId="5EDB1E87" w14:textId="1F32FDE3" w:rsidR="29890492" w:rsidRDefault="29890492">
            <w:r>
              <w:t>Days 15–30</w:t>
            </w:r>
          </w:p>
        </w:tc>
        <w:tc>
          <w:tcPr>
            <w:tcW w:w="2340" w:type="dxa"/>
          </w:tcPr>
          <w:p w14:paraId="3BB21F04" w14:textId="1810E4A7" w:rsidR="29890492" w:rsidRDefault="29890492">
            <w:r>
              <w:t>Choose one entry theme — BTIG integration or Elavon partner ecosystem — and drop the other for now</w:t>
            </w:r>
          </w:p>
        </w:tc>
        <w:tc>
          <w:tcPr>
            <w:tcW w:w="2340" w:type="dxa"/>
          </w:tcPr>
          <w:p w14:paraId="53929175" w14:textId="10EECB6B" w:rsidR="29890492" w:rsidRDefault="29890492">
            <w:r>
              <w:t>Bojan Buhac</w:t>
            </w:r>
          </w:p>
        </w:tc>
        <w:tc>
          <w:tcPr>
            <w:tcW w:w="2340" w:type="dxa"/>
          </w:tcPr>
          <w:p w14:paraId="7E02D3A6" w14:textId="09CCB22F" w:rsidR="29890492" w:rsidRDefault="29890492">
            <w:r>
              <w:t>Written positioning decision</w:t>
            </w:r>
          </w:p>
        </w:tc>
      </w:tr>
      <w:tr w:rsidR="29890492" w14:paraId="35654AD6" w14:textId="77777777" w:rsidTr="29890492">
        <w:tc>
          <w:tcPr>
            <w:tcW w:w="2340" w:type="dxa"/>
          </w:tcPr>
          <w:p w14:paraId="75E6EFBE" w14:textId="20E212A4" w:rsidR="29890492" w:rsidRDefault="29890492">
            <w:r>
              <w:t>Days 31–45</w:t>
            </w:r>
          </w:p>
        </w:tc>
        <w:tc>
          <w:tcPr>
            <w:tcW w:w="2340" w:type="dxa"/>
          </w:tcPr>
          <w:p w14:paraId="588635FE" w14:textId="19BFF968" w:rsidR="29890492" w:rsidRDefault="29890492">
            <w:r>
              <w:t>Assemble security, governance and reference evidence for banking procurement</w:t>
            </w:r>
          </w:p>
        </w:tc>
        <w:tc>
          <w:tcPr>
            <w:tcW w:w="2340" w:type="dxa"/>
          </w:tcPr>
          <w:p w14:paraId="630635D2" w14:textId="129DE02C" w:rsidR="29890492" w:rsidRDefault="29890492">
            <w:r>
              <w:t>Delivery lead</w:t>
            </w:r>
          </w:p>
        </w:tc>
        <w:tc>
          <w:tcPr>
            <w:tcW w:w="2340" w:type="dxa"/>
          </w:tcPr>
          <w:p w14:paraId="119E92D5" w14:textId="0B7BC6F0" w:rsidR="29890492" w:rsidRDefault="29890492">
            <w:r>
              <w:t>Evidence pack ready before first substantive meeting</w:t>
            </w:r>
          </w:p>
        </w:tc>
      </w:tr>
      <w:tr w:rsidR="29890492" w14:paraId="429F8D03" w14:textId="77777777" w:rsidTr="29890492">
        <w:tc>
          <w:tcPr>
            <w:tcW w:w="2340" w:type="dxa"/>
          </w:tcPr>
          <w:p w14:paraId="2B5666E3" w14:textId="22912765" w:rsidR="29890492" w:rsidRDefault="29890492">
            <w:r>
              <w:t>Days 31–60</w:t>
            </w:r>
          </w:p>
        </w:tc>
        <w:tc>
          <w:tcPr>
            <w:tcW w:w="2340" w:type="dxa"/>
          </w:tcPr>
          <w:p w14:paraId="735CE576" w14:textId="1B6F0E29" w:rsidR="29890492" w:rsidRDefault="29890492">
            <w:r>
              <w:t>Secure one exploratory meeting with a named business sponsor</w:t>
            </w:r>
          </w:p>
        </w:tc>
        <w:tc>
          <w:tcPr>
            <w:tcW w:w="2340" w:type="dxa"/>
          </w:tcPr>
          <w:p w14:paraId="1520D59C" w14:textId="144CF4ED" w:rsidR="29890492" w:rsidRDefault="29890492">
            <w:r>
              <w:t>Bojan Buhac</w:t>
            </w:r>
          </w:p>
        </w:tc>
        <w:tc>
          <w:tcPr>
            <w:tcW w:w="2340" w:type="dxa"/>
          </w:tcPr>
          <w:p w14:paraId="4D9411F2" w14:textId="0D2ADBB1" w:rsidR="29890492" w:rsidRDefault="29890492">
            <w:r>
              <w:t>Meeting held and minuted</w:t>
            </w:r>
          </w:p>
        </w:tc>
      </w:tr>
      <w:tr w:rsidR="29890492" w14:paraId="2478348C" w14:textId="77777777" w:rsidTr="29890492">
        <w:tc>
          <w:tcPr>
            <w:tcW w:w="2340" w:type="dxa"/>
          </w:tcPr>
          <w:p w14:paraId="65BAFC73" w14:textId="24403C26" w:rsidR="29890492" w:rsidRDefault="29890492">
            <w:r>
              <w:lastRenderedPageBreak/>
              <w:t>Days 61–75</w:t>
            </w:r>
          </w:p>
        </w:tc>
        <w:tc>
          <w:tcPr>
            <w:tcW w:w="2340" w:type="dxa"/>
          </w:tcPr>
          <w:p w14:paraId="26768C57" w14:textId="1D1E22EA" w:rsidR="29890492" w:rsidRDefault="29890492">
            <w:r>
              <w:t>Convert the meeting into a scoped, costed proposal on the chosen theme</w:t>
            </w:r>
          </w:p>
        </w:tc>
        <w:tc>
          <w:tcPr>
            <w:tcW w:w="2340" w:type="dxa"/>
          </w:tcPr>
          <w:p w14:paraId="50EF1E99" w14:textId="15FC09AE" w:rsidR="29890492" w:rsidRDefault="29890492">
            <w:r>
              <w:t>Bojan Buhac</w:t>
            </w:r>
          </w:p>
        </w:tc>
        <w:tc>
          <w:tcPr>
            <w:tcW w:w="2340" w:type="dxa"/>
          </w:tcPr>
          <w:p w14:paraId="4333E24B" w14:textId="0ED9F072" w:rsidR="29890492" w:rsidRDefault="29890492">
            <w:r>
              <w:t>Proposal issued</w:t>
            </w:r>
          </w:p>
        </w:tc>
      </w:tr>
      <w:tr w:rsidR="29890492" w14:paraId="7A5BEE39" w14:textId="77777777" w:rsidTr="29890492">
        <w:tc>
          <w:tcPr>
            <w:tcW w:w="2340" w:type="dxa"/>
          </w:tcPr>
          <w:p w14:paraId="7CA08751" w14:textId="25EF50E7" w:rsidR="29890492" w:rsidRDefault="29890492">
            <w:r>
              <w:t>Days 61–75</w:t>
            </w:r>
          </w:p>
        </w:tc>
        <w:tc>
          <w:tcPr>
            <w:tcW w:w="2340" w:type="dxa"/>
          </w:tcPr>
          <w:p w14:paraId="5933F9D5" w14:textId="1ECD37AB" w:rsidR="29890492" w:rsidRDefault="29890492">
            <w:r>
              <w:t>Commission peer benchmarking to support pricing</w:t>
            </w:r>
          </w:p>
        </w:tc>
        <w:tc>
          <w:tcPr>
            <w:tcW w:w="2340" w:type="dxa"/>
          </w:tcPr>
          <w:p w14:paraId="25697273" w14:textId="17AB1E6F" w:rsidR="29890492" w:rsidRDefault="29890492">
            <w:r>
              <w:t>Delivery lead</w:t>
            </w:r>
          </w:p>
        </w:tc>
        <w:tc>
          <w:tcPr>
            <w:tcW w:w="2340" w:type="dxa"/>
          </w:tcPr>
          <w:p w14:paraId="469E3527" w14:textId="10890533" w:rsidR="29890492" w:rsidRDefault="29890492">
            <w:r>
              <w:t>Benchmark summary with cited sources</w:t>
            </w:r>
          </w:p>
        </w:tc>
      </w:tr>
      <w:tr w:rsidR="29890492" w14:paraId="1CAF7059" w14:textId="77777777" w:rsidTr="29890492">
        <w:tc>
          <w:tcPr>
            <w:tcW w:w="2340" w:type="dxa"/>
          </w:tcPr>
          <w:p w14:paraId="778C9EC8" w14:textId="279E65A8" w:rsidR="29890492" w:rsidRDefault="29890492">
            <w:r>
              <w:t>Days 76–90</w:t>
            </w:r>
          </w:p>
        </w:tc>
        <w:tc>
          <w:tcPr>
            <w:tcW w:w="2340" w:type="dxa"/>
          </w:tcPr>
          <w:p w14:paraId="460DE8B6" w14:textId="207C4C6C" w:rsidR="29890492" w:rsidRDefault="29890492">
            <w:r>
              <w:t xml:space="preserve">Review </w:t>
            </w:r>
            <w:proofErr w:type="gramStart"/>
            <w:r>
              <w:t>against</w:t>
            </w:r>
            <w:proofErr w:type="gramEnd"/>
            <w:r>
              <w:t xml:space="preserve"> Q3 2026 results (expected mid-October) and re-plan</w:t>
            </w:r>
          </w:p>
        </w:tc>
        <w:tc>
          <w:tcPr>
            <w:tcW w:w="2340" w:type="dxa"/>
          </w:tcPr>
          <w:p w14:paraId="59934506" w14:textId="195A3330" w:rsidR="29890492" w:rsidRDefault="29890492">
            <w:r>
              <w:t>Bojan Buhac</w:t>
            </w:r>
          </w:p>
        </w:tc>
        <w:tc>
          <w:tcPr>
            <w:tcW w:w="2340" w:type="dxa"/>
          </w:tcPr>
          <w:p w14:paraId="40952A9C" w14:textId="123819F4" w:rsidR="29890492" w:rsidRDefault="29890492">
            <w:r>
              <w:t>Plan refreshed or account formally deprioritised</w:t>
            </w:r>
          </w:p>
        </w:tc>
      </w:tr>
    </w:tbl>
    <w:p w14:paraId="53D26C27" w14:textId="39303246" w:rsidR="29890492" w:rsidRDefault="29890492">
      <w:r>
        <w:t>The day 76–90 review is a genuine decision point, not a formality. If no named sponsor has been secured by day 60, the honest conclusion is that U.S. Bank is a prospect rather than an account, and the effort belongs elsewhere.</w:t>
      </w:r>
    </w:p>
    <w:p w14:paraId="696F4B39" w14:textId="14B017A5" w:rsidR="29890492" w:rsidRDefault="29890492" w:rsidP="29890492">
      <w:pPr>
        <w:pStyle w:val="Heading1"/>
      </w:pPr>
      <w:r w:rsidRPr="29890492">
        <w:rPr>
          <w:color w:val="6B3A1B"/>
        </w:rPr>
        <w:t>Sources</w:t>
      </w:r>
    </w:p>
    <w:p w14:paraId="6186A610" w14:textId="6EEF784E" w:rsidR="29890492" w:rsidRDefault="29890492" w:rsidP="29890492">
      <w:pPr>
        <w:pStyle w:val="Heading2"/>
      </w:pPr>
      <w:r w:rsidRPr="29890492">
        <w:rPr>
          <w:color w:val="6B3A1B"/>
        </w:rPr>
        <w:t>Internal (Microsoft 365)</w:t>
      </w:r>
    </w:p>
    <w:p w14:paraId="6E7C33F4" w14:textId="57E2D96A" w:rsidR="29890492" w:rsidRDefault="29890492">
      <w:r>
        <w:t xml:space="preserve">Privileged Identity Management notification, Microsoft Security, 2 June 2026, subject "PIM: Valene Samuels activated the AI Administrator role </w:t>
      </w:r>
      <w:proofErr w:type="gramStart"/>
      <w:r>
        <w:t>assignment" —</w:t>
      </w:r>
      <w:proofErr w:type="gramEnd"/>
      <w:r>
        <w:t xml:space="preserve"> stated justification "Customer demo prep - US Bank". This is the only internal reference to the account. Searches of Outlook mail, Teams chats, calendar (April to December 2026), meeting transcripts (from June 2026) and SharePoint/OneDrive returned no other U.S. Bank material.</w:t>
      </w:r>
    </w:p>
    <w:p w14:paraId="5D43B1C9" w14:textId="7998733F" w:rsidR="29890492" w:rsidRDefault="29890492" w:rsidP="29890492">
      <w:pPr>
        <w:pStyle w:val="Heading2"/>
      </w:pPr>
      <w:r w:rsidRPr="29890492">
        <w:rPr>
          <w:color w:val="6B3A1B"/>
        </w:rPr>
        <w:t>External (public web)</w:t>
      </w:r>
    </w:p>
    <w:p w14:paraId="7267040D" w14:textId="3AFBF5FF" w:rsidR="29890492" w:rsidRDefault="29890492">
      <w:r>
        <w:t>"U.S. Bancorp reports second quarter 2026 results", U.S. Bank news release, 16 July 2026 — all Q2 2026 figures, CEO commentary, BTIG completion and Elavon All-In-One expansion. https://www.usbank.com/about-us-bank/news-and-stories/article-library/us-bancorp-reports-second-quarter-2026-results.html</w:t>
      </w:r>
    </w:p>
    <w:p w14:paraId="4CB2DBE9" w14:textId="37318D2F" w:rsidR="29890492" w:rsidRDefault="29890492">
      <w:r>
        <w:t>"U.S. Bancorp details 2026 board and proxy proposals", USB definitive proxy statement summary, StockTitan — Gunjan Kedia becoming Chair and the establishment of a new Technology Committee. https://www.stocktitan.net/sec-filings/USB/def-14a-us-bancorp-de-definitive-proxy-statement-7dd9748aba69.html</w:t>
      </w:r>
    </w:p>
    <w:p w14:paraId="38541135" w14:textId="49F307FE" w:rsidR="29890492" w:rsidRDefault="29890492">
      <w:r>
        <w:t xml:space="preserve">"Commercial Lending Rescues Regional Banks </w:t>
      </w:r>
      <w:proofErr w:type="gramStart"/>
      <w:r>
        <w:t>From</w:t>
      </w:r>
      <w:proofErr w:type="gramEnd"/>
      <w:r>
        <w:t xml:space="preserve"> Consumer Slowdown", PYMNTS, 2026 — first-quarter 2026 peer pattern across PNC, KeyCorp, U.S. Bancorp, Truist, Fifth Third and Regions. https://www.pymnts.com/earnings/2026/commercial-lending-rescues-regional-banks-from-consumer-slowdown/</w:t>
      </w:r>
    </w:p>
    <w:p w14:paraId="326290FB" w14:textId="797AE92D" w:rsidR="29890492" w:rsidRDefault="29890492">
      <w:r>
        <w:t>"US Bancorp CEO on reviving a banking icon", U.S. Bank via LinkedIn — Kedia on customer focus, digitisation, partnerships and AI as stated priorities. https://www.linkedin.com/posts/us-bank_us-bancorp-ceo-on-reviving-a-banking-icon-activity-7457504444755243008-Ei5n</w:t>
      </w:r>
    </w:p>
    <w:sectPr w:rsidR="29890492"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07491819">
    <w:abstractNumId w:val="8"/>
  </w:num>
  <w:num w:numId="2" w16cid:durableId="2108964654">
    <w:abstractNumId w:val="6"/>
  </w:num>
  <w:num w:numId="3" w16cid:durableId="1931618683">
    <w:abstractNumId w:val="5"/>
  </w:num>
  <w:num w:numId="4" w16cid:durableId="1127236248">
    <w:abstractNumId w:val="4"/>
  </w:num>
  <w:num w:numId="5" w16cid:durableId="1881934154">
    <w:abstractNumId w:val="7"/>
  </w:num>
  <w:num w:numId="6" w16cid:durableId="1001197974">
    <w:abstractNumId w:val="3"/>
  </w:num>
  <w:num w:numId="7" w16cid:durableId="875047489">
    <w:abstractNumId w:val="2"/>
  </w:num>
  <w:num w:numId="8" w16cid:durableId="503713112">
    <w:abstractNumId w:val="1"/>
  </w:num>
  <w:num w:numId="9" w16cid:durableId="15814100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7254E0"/>
    <w:rsid w:val="007A00E6"/>
    <w:rsid w:val="00AA1D8D"/>
    <w:rsid w:val="00B47730"/>
    <w:rsid w:val="00CB0664"/>
    <w:rsid w:val="00F3479C"/>
    <w:rsid w:val="00FC693F"/>
    <w:rsid w:val="106933D7"/>
    <w:rsid w:val="107A61B1"/>
    <w:rsid w:val="1154567B"/>
    <w:rsid w:val="1320373C"/>
    <w:rsid w:val="185DAC2A"/>
    <w:rsid w:val="1B8F5D56"/>
    <w:rsid w:val="1D6699E6"/>
    <w:rsid w:val="1FA7FC6E"/>
    <w:rsid w:val="24899907"/>
    <w:rsid w:val="29890492"/>
    <w:rsid w:val="2FB4838B"/>
    <w:rsid w:val="328900CA"/>
    <w:rsid w:val="342369CF"/>
    <w:rsid w:val="349E50FA"/>
    <w:rsid w:val="3763329B"/>
    <w:rsid w:val="37BF0C52"/>
    <w:rsid w:val="38110011"/>
    <w:rsid w:val="42737FAE"/>
    <w:rsid w:val="431F5060"/>
    <w:rsid w:val="43E0A39F"/>
    <w:rsid w:val="4AB89E99"/>
    <w:rsid w:val="4C1B31D3"/>
    <w:rsid w:val="4F84EE49"/>
    <w:rsid w:val="50DD5EEC"/>
    <w:rsid w:val="52DAFA09"/>
    <w:rsid w:val="5DABE1AD"/>
    <w:rsid w:val="62B888E7"/>
    <w:rsid w:val="63458F66"/>
    <w:rsid w:val="6366C567"/>
    <w:rsid w:val="6498E989"/>
    <w:rsid w:val="64E77BCC"/>
    <w:rsid w:val="65DE4598"/>
    <w:rsid w:val="66C6DC48"/>
    <w:rsid w:val="6904C9A3"/>
    <w:rsid w:val="69DDDAB1"/>
    <w:rsid w:val="6A8D103C"/>
    <w:rsid w:val="6CA081DC"/>
    <w:rsid w:val="6F70B365"/>
    <w:rsid w:val="7255F7F2"/>
    <w:rsid w:val="7919EB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73C389D9-BB78-49ED-882C-6E69BE7CE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410C10365B41458A488A2E06A7CDDA" ma:contentTypeVersion="16" ma:contentTypeDescription="Create a new document." ma:contentTypeScope="" ma:versionID="8fc8c9c986ff763fb0d30ebcc45645fb">
  <xsd:schema xmlns:xsd="http://www.w3.org/2001/XMLSchema" xmlns:xs="http://www.w3.org/2001/XMLSchema" xmlns:p="http://schemas.microsoft.com/office/2006/metadata/properties" xmlns:ns1="http://schemas.microsoft.com/sharepoint/v3" xmlns:ns2="debf2d1a-3119-443f-9311-2f3fb0fd7de8" xmlns:ns3="9ece1660-89e4-4efe-8613-f619625afc8d" targetNamespace="http://schemas.microsoft.com/office/2006/metadata/properties" ma:root="true" ma:fieldsID="8a6a739d9051ad82eb6b3b4cb1429ef8" ns1:_="" ns2:_="" ns3:_="">
    <xsd:import namespace="http://schemas.microsoft.com/sharepoint/v3"/>
    <xsd:import namespace="debf2d1a-3119-443f-9311-2f3fb0fd7de8"/>
    <xsd:import namespace="9ece1660-89e4-4efe-8613-f619625afc8d"/>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HasDigitalSignature" minOccurs="0"/>
                <xsd:element ref="ns2:DigitalSignatureProvider"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bf2d1a-3119-443f-9311-2f3fb0fd7de8"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HasDigitalSignature" ma:index="14" nillable="true" ma:displayName="Signed electronically" ma:internalName="HasDigitalSignature" ma:readOnly="true">
      <xsd:simpleType>
        <xsd:restriction base="dms:Boolean"/>
      </xsd:simpleType>
    </xsd:element>
    <xsd:element name="DigitalSignatureProvider" ma:index="15" nillable="true" ma:displayName="Signature provider" ma:internalName="DigitalSignatureProvider"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ece1660-89e4-4efe-8613-f619625afc8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f42c6ae-3fbc-4b15-b29b-26f803fb8319}" ma:internalName="TaxCatchAll" ma:showField="CatchAllData" ma:web="9ece1660-89e4-4efe-8613-f619625afc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9ece1660-89e4-4efe-8613-f619625afc8d" xsi:nil="true"/>
    <_ip_UnifiedCompliancePolicyProperties xmlns="http://schemas.microsoft.com/sharepoint/v3" xsi:nil="true"/>
    <lcf76f155ced4ddcb4097134ff3c332f xmlns="debf2d1a-3119-443f-9311-2f3fb0fd7de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814F9BD-1F41-4CA8-9F41-1238ACDC98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ebf2d1a-3119-443f-9311-2f3fb0fd7de8"/>
    <ds:schemaRef ds:uri="9ece1660-89e4-4efe-8613-f619625afc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F53AC80C-0513-4E75-A282-7DD92A45C6C6}">
  <ds:schemaRefs>
    <ds:schemaRef ds:uri="http://schemas.microsoft.com/sharepoint/v3/contenttype/forms"/>
  </ds:schemaRefs>
</ds:datastoreItem>
</file>

<file path=customXml/itemProps4.xml><?xml version="1.0" encoding="utf-8"?>
<ds:datastoreItem xmlns:ds="http://schemas.openxmlformats.org/officeDocument/2006/customXml" ds:itemID="{FE64F8DB-2422-4F1B-B2CA-7642355FBF7C}">
  <ds:schemaRefs>
    <ds:schemaRef ds:uri="http://schemas.microsoft.com/office/2006/metadata/properties"/>
    <ds:schemaRef ds:uri="http://schemas.microsoft.com/office/infopath/2007/PartnerControls"/>
    <ds:schemaRef ds:uri="http://schemas.microsoft.com/sharepoint/v3"/>
    <ds:schemaRef ds:uri="9ece1660-89e4-4efe-8613-f619625afc8d"/>
    <ds:schemaRef ds:uri="debf2d1a-3119-443f-9311-2f3fb0fd7de8"/>
  </ds:schemaRefs>
</ds:datastoreItem>
</file>

<file path=docMetadata/LabelInfo.xml><?xml version="1.0" encoding="utf-8"?>
<clbl:labelList xmlns:clbl="http://schemas.microsoft.com/office/2020/mipLabelMetadata">
  <clbl:label id="{87867195-f2b8-4ac2-b0b6-6bb73cb33afc}" enabled="1" method="Privilege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5</Pages>
  <Words>1661</Words>
  <Characters>9468</Characters>
  <Application>Microsoft Office Word</Application>
  <DocSecurity>0</DocSecurity>
  <Lines>78</Lines>
  <Paragraphs>22</Paragraphs>
  <ScaleCrop>false</ScaleCrop>
  <Manager/>
  <Company/>
  <LinksUpToDate>false</LinksUpToDate>
  <CharactersWithSpaces>11107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Bojan Buhac</cp:lastModifiedBy>
  <cp:revision>3</cp:revision>
  <dcterms:created xsi:type="dcterms:W3CDTF">2026-09-03T14:32:00Z</dcterms:created>
  <dcterms:modified xsi:type="dcterms:W3CDTF">2026-09-03T19:59:00Z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0x01010042410C10365B41458A488A2E06A7CDDA</vt:lpwstr>
  </property>
  <property fmtid="{D5CDD505-2E9C-101B-9397-08002B2CF9AE}" pid="3" name="MediaServiceImageTags">
    <vt:lpwstr/>
  </property>
  <property fmtid="{D5CDD505-2E9C-101B-9397-08002B2CF9AE}" pid="4" name="docLang">
    <vt:lpwstr>en</vt:lpwstr>
  </property>
</Properties>
</file>