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425008" w:rsidRDefault="00425008"/>
    <w:p w14:paraId="4D8A0F33" w14:textId="6F6956E0" w:rsidR="3B48F347" w:rsidRDefault="3B48F347" w:rsidP="3B48F347">
      <w:pPr>
        <w:pStyle w:val="Title"/>
      </w:pPr>
      <w:r w:rsidRPr="3B48F347">
        <w:rPr>
          <w:b/>
          <w:bCs/>
          <w:color w:val="5B3111"/>
          <w:sz w:val="60"/>
          <w:szCs w:val="60"/>
        </w:rPr>
        <w:t>U.S. Bank — Account Plan</w:t>
      </w:r>
    </w:p>
    <w:p w14:paraId="5781E590" w14:textId="3F557AAE" w:rsidR="3B48F347" w:rsidRDefault="3B48F347">
      <w:r w:rsidRPr="3B48F347">
        <w:rPr>
          <w:color w:val="4A4A4A"/>
          <w:sz w:val="26"/>
          <w:szCs w:val="26"/>
        </w:rPr>
        <w:t>Q3 2026 · U.S. Bancorp (NYSE: USB), Minneapolis, Minnesota</w:t>
      </w:r>
    </w:p>
    <w:p w14:paraId="3CB8F947" w14:textId="25AE8CA0" w:rsidR="3B48F347" w:rsidRDefault="3B48F347">
      <w:r w:rsidRPr="3B48F347">
        <w:rPr>
          <w:i/>
          <w:iCs/>
          <w:color w:val="6B6B6B"/>
          <w:sz w:val="20"/>
          <w:szCs w:val="20"/>
        </w:rPr>
        <w:t>Prepared for Bojan Buhac, How2Demos · 3 September 2026</w:t>
      </w:r>
    </w:p>
    <w:p w14:paraId="518B9BE7" w14:textId="65779448" w:rsidR="3B48F347" w:rsidRDefault="3B48F347" w:rsidP="3B48F347">
      <w:pPr>
        <w:pStyle w:val="Heading1"/>
      </w:pPr>
      <w:r w:rsidRPr="3B48F347">
        <w:rPr>
          <w:color w:val="5B3111"/>
          <w:sz w:val="36"/>
          <w:szCs w:val="36"/>
        </w:rPr>
        <w:t>Source coverage and how to read this plan</w:t>
      </w:r>
    </w:p>
    <w:p w14:paraId="7675A278" w14:textId="5905C4F1" w:rsidR="3B48F347" w:rsidRDefault="3B48F347">
      <w:r w:rsidRPr="3B48F347">
        <w:t>This plan rests on two very different evidence bases, and the difference changes how much weight each section will carry. The external picture — financial results, strategy, competitive position and sector benchmarks — is built from 35 public sources, every one of them cited in the Sources section with its publication date. The internal picture does not yet exist. A search of email, Teams chats, calendar, meeting transcripts and SharePoint and OneDrive files covering 1 July to 3 September 2026 returned no correspondence with this account, no meetings, no transcripts and no working files.</w:t>
      </w:r>
    </w:p>
    <w:p w14:paraId="468BCDD6" w14:textId="313A9490" w:rsidR="3B48F347" w:rsidRDefault="3B48F347">
      <w:r w:rsidRPr="3B48F347">
        <w:t xml:space="preserve">The single internal trace anywhere in the workspace is a privileged-access activation logged on 2 June 2026 carrying the justification “Customer demo prep - US Bank”, which falls in the previous quarter. Sections that would normally be built from relationship history — the relationship map and the open-opportunity pipeline — are therefore written as frames with their gaps named rather than filled. Nothing in this document invents </w:t>
      </w:r>
      <w:proofErr w:type="gramStart"/>
      <w:r w:rsidRPr="3B48F347">
        <w:t>a contact</w:t>
      </w:r>
      <w:proofErr w:type="gramEnd"/>
      <w:r w:rsidRPr="3B48F347">
        <w:t>, a deal, a stage or a number that internal records do not support.</w:t>
      </w:r>
    </w:p>
    <w:p w14:paraId="160EF5B3" w14:textId="51243624" w:rsidR="3B48F347" w:rsidRDefault="3B48F347" w:rsidP="3B48F347">
      <w:pPr>
        <w:pStyle w:val="Heading1"/>
      </w:pPr>
      <w:r w:rsidRPr="3B48F347">
        <w:rPr>
          <w:color w:val="5B3111"/>
          <w:sz w:val="36"/>
          <w:szCs w:val="36"/>
        </w:rPr>
        <w:t>Executive summary</w:t>
      </w:r>
    </w:p>
    <w:p w14:paraId="5F26DF63" w14:textId="4C19FD5A" w:rsidR="3B48F347" w:rsidRDefault="3B48F347">
      <w:r w:rsidRPr="3B48F347">
        <w:t>U.S. Bancorp enters the second half of 2026 in the strongest operating shape it has shown in years. The most recent reported quarter, Q2 2026 ended 30 June and reported on 16 July, set a revenue record and beat consensus: net revenue of $7,712 million, net income of $2,177 million, diluted EPS of $1.35 and return on tangible common equity of 18.7 per cent. Earnings topped the Zacks consensus by 5.5 per cent and revenue by 1.3 per cent. The efficiency ratio improved to 57.1 per cent from 59.2 per cent a year earlier, extending a run of positive operating leverage that reached 400 basis points in the quarter.</w:t>
      </w:r>
    </w:p>
    <w:p w14:paraId="34373AC3" w14:textId="772145CA" w:rsidR="3B48F347" w:rsidRDefault="3B48F347">
      <w:r w:rsidRPr="3B48F347">
        <w:t>What distinguishes this bank from its peer set is payments. Management told the BancAnalysts conference in November 2025 that payments account for 26 per cent of total revenue, that Elavon is the fifth-largest merchant acquirer in the United States, that U.S. Bank is the seventh-largest card issuer, and that the franchise processes close to $1 trillion in annual purchase volume. Fees run at roughly 42 per cent of revenue, well above most same-size competitors. That mix is a deliberate trade: it buys stability and fee growth at the cost of spread income.</w:t>
      </w:r>
    </w:p>
    <w:p w14:paraId="16D70EE5" w14:textId="363E19E5" w:rsidR="3B48F347" w:rsidRDefault="3B48F347">
      <w:r w:rsidRPr="3B48F347">
        <w:lastRenderedPageBreak/>
        <w:t xml:space="preserve">Strategic control has consolidated under Gunjan Kedia, who became chief executive in April 2025 and added the chairmanship in April 2026 when Andy Cecere retired from the board. Her stated priorities are revenue growth, a stronger consumer and small-business franchise, and becoming, in her words, AI-native. The spending follows the words: technology and communications </w:t>
      </w:r>
      <w:proofErr w:type="gramStart"/>
      <w:r w:rsidRPr="3B48F347">
        <w:t>expense</w:t>
      </w:r>
      <w:proofErr w:type="gramEnd"/>
      <w:r w:rsidRPr="3B48F347">
        <w:t xml:space="preserve"> rose 7.5 per cent year over year to $573 million in Q1 2026 while total noninterest expense grew just 0.8 per cent and compensation </w:t>
      </w:r>
      <w:proofErr w:type="gramStart"/>
      <w:r w:rsidRPr="3B48F347">
        <w:t>actually fell</w:t>
      </w:r>
      <w:proofErr w:type="gramEnd"/>
      <w:r w:rsidRPr="3B48F347">
        <w:t>. In May 2026 the bank committed to migrating hundreds of mission-critical applications to AWS and building generative-AI capability on Amazon Bedrock and Connect, on top of a Microsoft Azure primary-cloud relationship established in 2022. This is a genuinely multi-cloud estate in the middle of a funded modernisation cycle.</w:t>
      </w:r>
    </w:p>
    <w:p w14:paraId="251D6A55" w14:textId="26353304" w:rsidR="3B48F347" w:rsidRDefault="3B48F347">
      <w:r w:rsidRPr="3B48F347">
        <w:t xml:space="preserve">Two tensions sit underneath the good numbers. The bank's net interest margin of 2.79 per cent is 43 basis points below the industry average of 3.22 per cent, a structural consequence of the fee-heavy balance sheet rather than a one-quarter blip. And commercial </w:t>
      </w:r>
      <w:proofErr w:type="gramStart"/>
      <w:r w:rsidRPr="3B48F347">
        <w:t>real-estate</w:t>
      </w:r>
      <w:proofErr w:type="gramEnd"/>
      <w:r w:rsidRPr="3B48F347">
        <w:t xml:space="preserve"> nonperforming balances rose in Q2 2026 even as overall credit measures improved, a pattern Trepp identified at U.S. Bancorp, Truist and KeyCorp alike. Neither is acute. Both mean fee-income growth and efficiency execution are existential for this bank rather than merely desirable, which is exactly why a modernisation and payments agenda gets funded here when it might be deferred elsewhere.</w:t>
      </w:r>
    </w:p>
    <w:p w14:paraId="139264CE" w14:textId="7ABB368F" w:rsidR="3B48F347" w:rsidRDefault="3B48F347" w:rsidP="3B48F347">
      <w:pPr>
        <w:pStyle w:val="Heading2"/>
      </w:pPr>
      <w:r w:rsidRPr="3B48F347">
        <w:rPr>
          <w:color w:val="5B3111"/>
        </w:rPr>
        <w:t>Q2 2026 scorecard</w:t>
      </w:r>
    </w:p>
    <w:tbl>
      <w:tblPr>
        <w:tblStyle w:val="TableGrid"/>
        <w:tblW w:w="0" w:type="auto"/>
        <w:tblLook w:val="0000" w:firstRow="0" w:lastRow="0" w:firstColumn="0" w:lastColumn="0" w:noHBand="0" w:noVBand="0"/>
      </w:tblPr>
      <w:tblGrid>
        <w:gridCol w:w="3120"/>
        <w:gridCol w:w="3120"/>
        <w:gridCol w:w="3120"/>
      </w:tblGrid>
      <w:tr w:rsidR="3B48F347" w14:paraId="2D7FAC41" w14:textId="77777777" w:rsidTr="3B48F347">
        <w:tc>
          <w:tcPr>
            <w:tcW w:w="3120" w:type="dxa"/>
          </w:tcPr>
          <w:p w14:paraId="431302BE" w14:textId="6FA6F28F" w:rsidR="3B48F347" w:rsidRDefault="3B48F347">
            <w:r w:rsidRPr="3B48F347">
              <w:rPr>
                <w:b/>
                <w:bCs/>
                <w:color w:val="5B3111"/>
              </w:rPr>
              <w:t>Metric</w:t>
            </w:r>
          </w:p>
        </w:tc>
        <w:tc>
          <w:tcPr>
            <w:tcW w:w="3120" w:type="dxa"/>
          </w:tcPr>
          <w:p w14:paraId="6042F298" w14:textId="6884D953" w:rsidR="3B48F347" w:rsidRDefault="3B48F347">
            <w:r w:rsidRPr="3B48F347">
              <w:rPr>
                <w:b/>
                <w:bCs/>
                <w:color w:val="5B3111"/>
              </w:rPr>
              <w:t>Q2 2026 result</w:t>
            </w:r>
          </w:p>
        </w:tc>
        <w:tc>
          <w:tcPr>
            <w:tcW w:w="3120" w:type="dxa"/>
          </w:tcPr>
          <w:p w14:paraId="746A02EC" w14:textId="6162C017" w:rsidR="3B48F347" w:rsidRDefault="3B48F347">
            <w:r w:rsidRPr="3B48F347">
              <w:rPr>
                <w:b/>
                <w:bCs/>
                <w:color w:val="5B3111"/>
              </w:rPr>
              <w:t>Year over year</w:t>
            </w:r>
          </w:p>
        </w:tc>
      </w:tr>
      <w:tr w:rsidR="3B48F347" w14:paraId="42612232" w14:textId="77777777" w:rsidTr="3B48F347">
        <w:tc>
          <w:tcPr>
            <w:tcW w:w="3120" w:type="dxa"/>
          </w:tcPr>
          <w:p w14:paraId="54D6ED00" w14:textId="7878208C" w:rsidR="3B48F347" w:rsidRDefault="3B48F347">
            <w:r>
              <w:t>Net revenue</w:t>
            </w:r>
          </w:p>
        </w:tc>
        <w:tc>
          <w:tcPr>
            <w:tcW w:w="3120" w:type="dxa"/>
          </w:tcPr>
          <w:p w14:paraId="1826C3DF" w14:textId="71560750" w:rsidR="3B48F347" w:rsidRDefault="3B48F347">
            <w:r>
              <w:t>$7,712M (record)</w:t>
            </w:r>
          </w:p>
        </w:tc>
        <w:tc>
          <w:tcPr>
            <w:tcW w:w="3120" w:type="dxa"/>
          </w:tcPr>
          <w:p w14:paraId="66E9E9EB" w14:textId="6A33EE14" w:rsidR="3B48F347" w:rsidRDefault="3B48F347">
            <w:r>
              <w:t>+10.1%</w:t>
            </w:r>
          </w:p>
        </w:tc>
      </w:tr>
      <w:tr w:rsidR="3B48F347" w14:paraId="15717F9B" w14:textId="77777777" w:rsidTr="3B48F347">
        <w:tc>
          <w:tcPr>
            <w:tcW w:w="3120" w:type="dxa"/>
          </w:tcPr>
          <w:p w14:paraId="4A6747A1" w14:textId="01494E89" w:rsidR="3B48F347" w:rsidRDefault="3B48F347">
            <w:r>
              <w:t>Net income</w:t>
            </w:r>
          </w:p>
        </w:tc>
        <w:tc>
          <w:tcPr>
            <w:tcW w:w="3120" w:type="dxa"/>
          </w:tcPr>
          <w:p w14:paraId="2B244A4D" w14:textId="7A27354D" w:rsidR="3B48F347" w:rsidRDefault="3B48F347">
            <w:r>
              <w:t>$2,177M</w:t>
            </w:r>
          </w:p>
        </w:tc>
        <w:tc>
          <w:tcPr>
            <w:tcW w:w="3120" w:type="dxa"/>
          </w:tcPr>
          <w:p w14:paraId="19418564" w14:textId="73051C11" w:rsidR="3B48F347" w:rsidRDefault="3B48F347">
            <w:r>
              <w:t>+20%</w:t>
            </w:r>
          </w:p>
        </w:tc>
      </w:tr>
      <w:tr w:rsidR="3B48F347" w14:paraId="131F44BE" w14:textId="77777777" w:rsidTr="3B48F347">
        <w:tc>
          <w:tcPr>
            <w:tcW w:w="3120" w:type="dxa"/>
          </w:tcPr>
          <w:p w14:paraId="68012EC9" w14:textId="0A1A7C86" w:rsidR="3B48F347" w:rsidRDefault="3B48F347">
            <w:r>
              <w:t>Diluted EPS</w:t>
            </w:r>
          </w:p>
        </w:tc>
        <w:tc>
          <w:tcPr>
            <w:tcW w:w="3120" w:type="dxa"/>
          </w:tcPr>
          <w:p w14:paraId="4B44B646" w14:textId="02F8634A" w:rsidR="3B48F347" w:rsidRDefault="3B48F347">
            <w:r>
              <w:t>$1.35</w:t>
            </w:r>
          </w:p>
        </w:tc>
        <w:tc>
          <w:tcPr>
            <w:tcW w:w="3120" w:type="dxa"/>
          </w:tcPr>
          <w:p w14:paraId="5125B758" w14:textId="7BD64A0E" w:rsidR="3B48F347" w:rsidRDefault="3B48F347">
            <w:r>
              <w:t>+22% (from $1.11)</w:t>
            </w:r>
          </w:p>
        </w:tc>
      </w:tr>
      <w:tr w:rsidR="3B48F347" w14:paraId="2B595B81" w14:textId="77777777" w:rsidTr="3B48F347">
        <w:tc>
          <w:tcPr>
            <w:tcW w:w="3120" w:type="dxa"/>
          </w:tcPr>
          <w:p w14:paraId="42369FAC" w14:textId="12EBAA83" w:rsidR="3B48F347" w:rsidRDefault="3B48F347">
            <w:r>
              <w:t>Return on tangible common equity</w:t>
            </w:r>
          </w:p>
        </w:tc>
        <w:tc>
          <w:tcPr>
            <w:tcW w:w="3120" w:type="dxa"/>
          </w:tcPr>
          <w:p w14:paraId="6B12B24A" w14:textId="0BC99147" w:rsidR="3B48F347" w:rsidRDefault="3B48F347">
            <w:r>
              <w:t>18.7%</w:t>
            </w:r>
          </w:p>
        </w:tc>
        <w:tc>
          <w:tcPr>
            <w:tcW w:w="3120" w:type="dxa"/>
          </w:tcPr>
          <w:p w14:paraId="775BE14D" w14:textId="04A7780B" w:rsidR="3B48F347" w:rsidRDefault="3B48F347">
            <w:r>
              <w:t>—</w:t>
            </w:r>
          </w:p>
        </w:tc>
      </w:tr>
      <w:tr w:rsidR="3B48F347" w14:paraId="2FEE5305" w14:textId="77777777" w:rsidTr="3B48F347">
        <w:tc>
          <w:tcPr>
            <w:tcW w:w="3120" w:type="dxa"/>
          </w:tcPr>
          <w:p w14:paraId="500D957C" w14:textId="1BBCD880" w:rsidR="3B48F347" w:rsidRDefault="3B48F347">
            <w:r>
              <w:t>Efficiency ratio</w:t>
            </w:r>
          </w:p>
        </w:tc>
        <w:tc>
          <w:tcPr>
            <w:tcW w:w="3120" w:type="dxa"/>
          </w:tcPr>
          <w:p w14:paraId="1C4D0C8E" w14:textId="149ABF44" w:rsidR="3B48F347" w:rsidRDefault="3B48F347">
            <w:r>
              <w:t>57.1%</w:t>
            </w:r>
          </w:p>
        </w:tc>
        <w:tc>
          <w:tcPr>
            <w:tcW w:w="3120" w:type="dxa"/>
          </w:tcPr>
          <w:p w14:paraId="1F310425" w14:textId="0D78A608" w:rsidR="3B48F347" w:rsidRDefault="3B48F347">
            <w:r>
              <w:t>from 59.2%</w:t>
            </w:r>
          </w:p>
        </w:tc>
      </w:tr>
      <w:tr w:rsidR="3B48F347" w14:paraId="36DA4C78" w14:textId="77777777" w:rsidTr="3B48F347">
        <w:tc>
          <w:tcPr>
            <w:tcW w:w="3120" w:type="dxa"/>
          </w:tcPr>
          <w:p w14:paraId="4EE02D3C" w14:textId="248E067D" w:rsidR="3B48F347" w:rsidRDefault="3B48F347">
            <w:r>
              <w:t>Net interest margin</w:t>
            </w:r>
          </w:p>
        </w:tc>
        <w:tc>
          <w:tcPr>
            <w:tcW w:w="3120" w:type="dxa"/>
          </w:tcPr>
          <w:p w14:paraId="56FDB1ED" w14:textId="1D6BED41" w:rsidR="3B48F347" w:rsidRDefault="3B48F347">
            <w:r>
              <w:t>2.79%</w:t>
            </w:r>
          </w:p>
        </w:tc>
        <w:tc>
          <w:tcPr>
            <w:tcW w:w="3120" w:type="dxa"/>
          </w:tcPr>
          <w:p w14:paraId="4A83A6C1" w14:textId="1649D405" w:rsidR="3B48F347" w:rsidRDefault="3B48F347">
            <w:r>
              <w:t>+13 bps</w:t>
            </w:r>
          </w:p>
        </w:tc>
      </w:tr>
      <w:tr w:rsidR="3B48F347" w14:paraId="352001A3" w14:textId="77777777" w:rsidTr="3B48F347">
        <w:tc>
          <w:tcPr>
            <w:tcW w:w="3120" w:type="dxa"/>
          </w:tcPr>
          <w:p w14:paraId="19C134B6" w14:textId="2D5F347A" w:rsidR="3B48F347" w:rsidRDefault="3B48F347">
            <w:r>
              <w:t>Noninterest (fee) income</w:t>
            </w:r>
          </w:p>
        </w:tc>
        <w:tc>
          <w:tcPr>
            <w:tcW w:w="3120" w:type="dxa"/>
          </w:tcPr>
          <w:p w14:paraId="33E57079" w14:textId="263D1B3E" w:rsidR="3B48F347" w:rsidRDefault="3B48F347">
            <w:r>
              <w:t>$3.33B</w:t>
            </w:r>
          </w:p>
        </w:tc>
        <w:tc>
          <w:tcPr>
            <w:tcW w:w="3120" w:type="dxa"/>
          </w:tcPr>
          <w:p w14:paraId="2271332B" w14:textId="1F1B0202" w:rsidR="3B48F347" w:rsidRDefault="3B48F347">
            <w:r>
              <w:t>+13.7%</w:t>
            </w:r>
          </w:p>
        </w:tc>
      </w:tr>
      <w:tr w:rsidR="3B48F347" w14:paraId="27DB483A" w14:textId="77777777" w:rsidTr="3B48F347">
        <w:tc>
          <w:tcPr>
            <w:tcW w:w="3120" w:type="dxa"/>
          </w:tcPr>
          <w:p w14:paraId="775BD150" w14:textId="36306277" w:rsidR="3B48F347" w:rsidRDefault="3B48F347">
            <w:r>
              <w:t>CET1 capital ratio</w:t>
            </w:r>
          </w:p>
        </w:tc>
        <w:tc>
          <w:tcPr>
            <w:tcW w:w="3120" w:type="dxa"/>
          </w:tcPr>
          <w:p w14:paraId="5CABC8D8" w14:textId="2F0E493B" w:rsidR="3B48F347" w:rsidRDefault="3B48F347">
            <w:r>
              <w:t>10.8%</w:t>
            </w:r>
          </w:p>
        </w:tc>
        <w:tc>
          <w:tcPr>
            <w:tcW w:w="3120" w:type="dxa"/>
          </w:tcPr>
          <w:p w14:paraId="179D9A2A" w14:textId="27EC2FFF" w:rsidR="3B48F347" w:rsidRDefault="3B48F347">
            <w:r>
              <w:t>—</w:t>
            </w:r>
          </w:p>
        </w:tc>
      </w:tr>
      <w:tr w:rsidR="3B48F347" w14:paraId="69386CE7" w14:textId="77777777" w:rsidTr="3B48F347">
        <w:tc>
          <w:tcPr>
            <w:tcW w:w="3120" w:type="dxa"/>
          </w:tcPr>
          <w:p w14:paraId="597485F5" w14:textId="3F019074" w:rsidR="3B48F347" w:rsidRDefault="3B48F347">
            <w:r>
              <w:t>Total assets (period-end)</w:t>
            </w:r>
          </w:p>
        </w:tc>
        <w:tc>
          <w:tcPr>
            <w:tcW w:w="3120" w:type="dxa"/>
          </w:tcPr>
          <w:p w14:paraId="12DFDD79" w14:textId="37DF7738" w:rsidR="3B48F347" w:rsidRDefault="3B48F347">
            <w:r>
              <w:t>$725.9B</w:t>
            </w:r>
          </w:p>
        </w:tc>
        <w:tc>
          <w:tcPr>
            <w:tcW w:w="3120" w:type="dxa"/>
          </w:tcPr>
          <w:p w14:paraId="76EEA452" w14:textId="30BD5DFC" w:rsidR="3B48F347" w:rsidRDefault="3B48F347">
            <w:r>
              <w:t>+5.8%</w:t>
            </w:r>
          </w:p>
        </w:tc>
      </w:tr>
      <w:tr w:rsidR="3B48F347" w14:paraId="73BB8674" w14:textId="77777777" w:rsidTr="3B48F347">
        <w:tc>
          <w:tcPr>
            <w:tcW w:w="3120" w:type="dxa"/>
          </w:tcPr>
          <w:p w14:paraId="518D4421" w14:textId="47D2BE71" w:rsidR="3B48F347" w:rsidRDefault="3B48F347">
            <w:r>
              <w:t>Net charge-off ratio</w:t>
            </w:r>
          </w:p>
        </w:tc>
        <w:tc>
          <w:tcPr>
            <w:tcW w:w="3120" w:type="dxa"/>
          </w:tcPr>
          <w:p w14:paraId="400EF872" w14:textId="40B0A535" w:rsidR="3B48F347" w:rsidRDefault="3B48F347">
            <w:r>
              <w:t>0.53%</w:t>
            </w:r>
          </w:p>
        </w:tc>
        <w:tc>
          <w:tcPr>
            <w:tcW w:w="3120" w:type="dxa"/>
          </w:tcPr>
          <w:p w14:paraId="1BE781BA" w14:textId="398E8BF9" w:rsidR="3B48F347" w:rsidRDefault="3B48F347">
            <w:r>
              <w:t>from 0.59%</w:t>
            </w:r>
          </w:p>
        </w:tc>
      </w:tr>
    </w:tbl>
    <w:p w14:paraId="2FBC3BF1" w14:textId="37BC5369" w:rsidR="3B48F347" w:rsidRDefault="3B48F347" w:rsidP="3B48F347">
      <w:pPr>
        <w:pStyle w:val="Heading1"/>
      </w:pPr>
      <w:r w:rsidRPr="3B48F347">
        <w:rPr>
          <w:color w:val="5B3111"/>
          <w:sz w:val="36"/>
          <w:szCs w:val="36"/>
        </w:rPr>
        <w:t>Relationship map</w:t>
      </w:r>
    </w:p>
    <w:p w14:paraId="7E7ED52F" w14:textId="667EBF14" w:rsidR="3B48F347" w:rsidRDefault="3B48F347">
      <w:r w:rsidRPr="3B48F347">
        <w:t xml:space="preserve">There is no relationship history in the workspace to map, so this section does two things instead. </w:t>
      </w:r>
      <w:proofErr w:type="gramStart"/>
      <w:r w:rsidRPr="3B48F347">
        <w:t>First</w:t>
      </w:r>
      <w:proofErr w:type="gramEnd"/>
      <w:r w:rsidRPr="3B48F347">
        <w:t xml:space="preserve"> it sets out the decision-making structure as the public record describes it, which is where any coverage plan </w:t>
      </w:r>
      <w:proofErr w:type="gramStart"/>
      <w:r w:rsidRPr="3B48F347">
        <w:t>has to</w:t>
      </w:r>
      <w:proofErr w:type="gramEnd"/>
      <w:r w:rsidRPr="3B48F347">
        <w:t xml:space="preserve"> start. Second it names precisely what is missing, so the gaps can be closed deliberately rather than discovered </w:t>
      </w:r>
      <w:proofErr w:type="gramStart"/>
      <w:r w:rsidRPr="3B48F347">
        <w:t>late</w:t>
      </w:r>
      <w:proofErr w:type="gramEnd"/>
      <w:r w:rsidRPr="3B48F347">
        <w:t>.</w:t>
      </w:r>
    </w:p>
    <w:p w14:paraId="681C3F4D" w14:textId="6E30BB06" w:rsidR="3B48F347" w:rsidRDefault="3B48F347" w:rsidP="3B48F347">
      <w:pPr>
        <w:pStyle w:val="Heading2"/>
      </w:pPr>
      <w:r w:rsidRPr="3B48F347">
        <w:rPr>
          <w:color w:val="5B3111"/>
        </w:rPr>
        <w:t>Decision-makers on the public record</w:t>
      </w:r>
    </w:p>
    <w:tbl>
      <w:tblPr>
        <w:tblStyle w:val="TableGrid"/>
        <w:tblW w:w="0" w:type="auto"/>
        <w:tblLook w:val="0000" w:firstRow="0" w:lastRow="0" w:firstColumn="0" w:lastColumn="0" w:noHBand="0" w:noVBand="0"/>
      </w:tblPr>
      <w:tblGrid>
        <w:gridCol w:w="3120"/>
        <w:gridCol w:w="3120"/>
        <w:gridCol w:w="3120"/>
      </w:tblGrid>
      <w:tr w:rsidR="3B48F347" w14:paraId="47F82544" w14:textId="77777777" w:rsidTr="3B48F347">
        <w:tc>
          <w:tcPr>
            <w:tcW w:w="3120" w:type="dxa"/>
          </w:tcPr>
          <w:p w14:paraId="3D4B11CE" w14:textId="341B877E" w:rsidR="3B48F347" w:rsidRDefault="3B48F347">
            <w:r w:rsidRPr="3B48F347">
              <w:rPr>
                <w:b/>
                <w:bCs/>
                <w:color w:val="5B3111"/>
              </w:rPr>
              <w:t>Individual</w:t>
            </w:r>
          </w:p>
        </w:tc>
        <w:tc>
          <w:tcPr>
            <w:tcW w:w="3120" w:type="dxa"/>
          </w:tcPr>
          <w:p w14:paraId="63E0939A" w14:textId="2CF96E42" w:rsidR="3B48F347" w:rsidRDefault="3B48F347">
            <w:r w:rsidRPr="3B48F347">
              <w:rPr>
                <w:b/>
                <w:bCs/>
                <w:color w:val="5B3111"/>
              </w:rPr>
              <w:t>Role and remit</w:t>
            </w:r>
          </w:p>
        </w:tc>
        <w:tc>
          <w:tcPr>
            <w:tcW w:w="3120" w:type="dxa"/>
          </w:tcPr>
          <w:p w14:paraId="7F1D690B" w14:textId="25D75506" w:rsidR="3B48F347" w:rsidRDefault="3B48F347">
            <w:r w:rsidRPr="3B48F347">
              <w:rPr>
                <w:b/>
                <w:bCs/>
                <w:color w:val="5B3111"/>
              </w:rPr>
              <w:t>Why they matter to this account</w:t>
            </w:r>
          </w:p>
        </w:tc>
      </w:tr>
      <w:tr w:rsidR="3B48F347" w14:paraId="26CCBFE8" w14:textId="77777777" w:rsidTr="3B48F347">
        <w:tc>
          <w:tcPr>
            <w:tcW w:w="3120" w:type="dxa"/>
          </w:tcPr>
          <w:p w14:paraId="205941F8" w14:textId="3CECB57B" w:rsidR="3B48F347" w:rsidRDefault="3B48F347">
            <w:r>
              <w:t>Gunjan Kedia</w:t>
            </w:r>
          </w:p>
        </w:tc>
        <w:tc>
          <w:tcPr>
            <w:tcW w:w="3120" w:type="dxa"/>
          </w:tcPr>
          <w:p w14:paraId="4EE9590C" w14:textId="35CA9C3F" w:rsidR="3B48F347" w:rsidRDefault="3B48F347">
            <w:r>
              <w:t>Chairman, President and Chief Executive Officer</w:t>
            </w:r>
          </w:p>
        </w:tc>
        <w:tc>
          <w:tcPr>
            <w:tcW w:w="3120" w:type="dxa"/>
          </w:tcPr>
          <w:p w14:paraId="1A2CE94F" w14:textId="2EA88303" w:rsidR="3B48F347" w:rsidRDefault="3B48F347">
            <w:r>
              <w:t xml:space="preserve">Owns the AI-native agenda. Became CEO April 2025, added the chairmanship April </w:t>
            </w:r>
            <w:r>
              <w:lastRenderedPageBreak/>
              <w:t>2026. Joined the bank in 2016.</w:t>
            </w:r>
          </w:p>
        </w:tc>
      </w:tr>
      <w:tr w:rsidR="3B48F347" w14:paraId="6F2D6080" w14:textId="77777777" w:rsidTr="3B48F347">
        <w:tc>
          <w:tcPr>
            <w:tcW w:w="3120" w:type="dxa"/>
          </w:tcPr>
          <w:p w14:paraId="37714EFF" w14:textId="45BDE378" w:rsidR="3B48F347" w:rsidRDefault="3B48F347">
            <w:r>
              <w:lastRenderedPageBreak/>
              <w:t>John Stern</w:t>
            </w:r>
          </w:p>
        </w:tc>
        <w:tc>
          <w:tcPr>
            <w:tcW w:w="3120" w:type="dxa"/>
          </w:tcPr>
          <w:p w14:paraId="2E2F6B53" w14:textId="3E9BCA3C" w:rsidR="3B48F347" w:rsidRDefault="3B48F347">
            <w:r>
              <w:t>Chief Financial Officer, Head of Finance</w:t>
            </w:r>
          </w:p>
        </w:tc>
        <w:tc>
          <w:tcPr>
            <w:tcW w:w="3120" w:type="dxa"/>
          </w:tcPr>
          <w:p w14:paraId="7D12B19E" w14:textId="3779B100" w:rsidR="3B48F347" w:rsidRDefault="3B48F347">
            <w:r>
              <w:t>Publicly ties operating leverage to AI and automation deployment. CFO since 2023, so the efficiency case runs through him.</w:t>
            </w:r>
          </w:p>
        </w:tc>
      </w:tr>
      <w:tr w:rsidR="3B48F347" w14:paraId="6D88FBAF" w14:textId="77777777" w:rsidTr="3B48F347">
        <w:tc>
          <w:tcPr>
            <w:tcW w:w="3120" w:type="dxa"/>
          </w:tcPr>
          <w:p w14:paraId="4A1F0FF9" w14:textId="4E8F1175" w:rsidR="3B48F347" w:rsidRDefault="3B48F347">
            <w:r>
              <w:t>Mark Runkel</w:t>
            </w:r>
          </w:p>
        </w:tc>
        <w:tc>
          <w:tcPr>
            <w:tcW w:w="3120" w:type="dxa"/>
          </w:tcPr>
          <w:p w14:paraId="1DB56AE7" w14:textId="476CF839" w:rsidR="3B48F347" w:rsidRDefault="3B48F347">
            <w:r>
              <w:t>Vice Chair, Payments — Merchants and Institutional</w:t>
            </w:r>
          </w:p>
        </w:tc>
        <w:tc>
          <w:tcPr>
            <w:tcW w:w="3120" w:type="dxa"/>
          </w:tcPr>
          <w:p w14:paraId="7210AE77" w14:textId="404ADEFD" w:rsidR="3B48F347" w:rsidRDefault="3B48F347">
            <w:r>
              <w:t>Owns Elavon and institutional payments, the single largest differentiated revenue pool.</w:t>
            </w:r>
          </w:p>
        </w:tc>
      </w:tr>
      <w:tr w:rsidR="3B48F347" w14:paraId="374C5A95" w14:textId="77777777" w:rsidTr="3B48F347">
        <w:tc>
          <w:tcPr>
            <w:tcW w:w="3120" w:type="dxa"/>
          </w:tcPr>
          <w:p w14:paraId="2A546BDD" w14:textId="57603F72" w:rsidR="3B48F347" w:rsidRDefault="3B48F347">
            <w:r>
              <w:t>Courtney Kelso</w:t>
            </w:r>
          </w:p>
        </w:tc>
        <w:tc>
          <w:tcPr>
            <w:tcW w:w="3120" w:type="dxa"/>
          </w:tcPr>
          <w:p w14:paraId="774DCFE0" w14:textId="503E2636" w:rsidR="3B48F347" w:rsidRDefault="3B48F347">
            <w:r>
              <w:t>Head of Consumer and Small Business Payments</w:t>
            </w:r>
          </w:p>
        </w:tc>
        <w:tc>
          <w:tcPr>
            <w:tcW w:w="3120" w:type="dxa"/>
          </w:tcPr>
          <w:p w14:paraId="45036B67" w14:textId="491C0CFA" w:rsidR="3B48F347" w:rsidRDefault="3B48F347">
            <w:r>
              <w:t>Joined 2025 from American Express. Owns card issuing and the Amazon and NFL co-brand programmes.</w:t>
            </w:r>
          </w:p>
        </w:tc>
      </w:tr>
      <w:tr w:rsidR="3B48F347" w14:paraId="17B9195F" w14:textId="77777777" w:rsidTr="3B48F347">
        <w:tc>
          <w:tcPr>
            <w:tcW w:w="3120" w:type="dxa"/>
          </w:tcPr>
          <w:p w14:paraId="22606690" w14:textId="60316D6F" w:rsidR="3B48F347" w:rsidRDefault="3B48F347">
            <w:r>
              <w:t>Andy Bingenheimer</w:t>
            </w:r>
          </w:p>
        </w:tc>
        <w:tc>
          <w:tcPr>
            <w:tcW w:w="3120" w:type="dxa"/>
          </w:tcPr>
          <w:p w14:paraId="6622CA33" w14:textId="590F5433" w:rsidR="3B48F347" w:rsidRDefault="3B48F347">
            <w:r>
              <w:t>Chief Information Officer, Corporate Functions</w:t>
            </w:r>
          </w:p>
        </w:tc>
        <w:tc>
          <w:tcPr>
            <w:tcW w:w="3120" w:type="dxa"/>
          </w:tcPr>
          <w:p w14:paraId="7E9DC785" w14:textId="51ED3AF7" w:rsidR="3B48F347" w:rsidRDefault="3B48F347">
            <w:r>
              <w:t>Named voice of the AWS cloud transformation. The stated goal is radically different customer experiences through AI.</w:t>
            </w:r>
          </w:p>
        </w:tc>
      </w:tr>
      <w:tr w:rsidR="3B48F347" w14:paraId="6F6F5038" w14:textId="77777777" w:rsidTr="3B48F347">
        <w:tc>
          <w:tcPr>
            <w:tcW w:w="3120" w:type="dxa"/>
          </w:tcPr>
          <w:p w14:paraId="21482A4E" w14:textId="69029B6C" w:rsidR="3B48F347" w:rsidRDefault="3B48F347">
            <w:r>
              <w:t>Roland Hernandez</w:t>
            </w:r>
          </w:p>
        </w:tc>
        <w:tc>
          <w:tcPr>
            <w:tcW w:w="3120" w:type="dxa"/>
          </w:tcPr>
          <w:p w14:paraId="1C739440" w14:textId="61E08230" w:rsidR="3B48F347" w:rsidRDefault="3B48F347">
            <w:r>
              <w:t>Lead Independent Director</w:t>
            </w:r>
          </w:p>
        </w:tc>
        <w:tc>
          <w:tcPr>
            <w:tcW w:w="3120" w:type="dxa"/>
          </w:tcPr>
          <w:p w14:paraId="16777E2F" w14:textId="5ABE68F4" w:rsidR="3B48F347" w:rsidRDefault="3B48F347">
            <w:r>
              <w:t>Board-level counterweight following Cecere's retirement in April 2026.</w:t>
            </w:r>
          </w:p>
        </w:tc>
      </w:tr>
    </w:tbl>
    <w:p w14:paraId="78DD9CC1" w14:textId="2DD26652" w:rsidR="3B48F347" w:rsidRDefault="3B48F347" w:rsidP="3B48F347">
      <w:pPr>
        <w:pStyle w:val="Heading2"/>
      </w:pPr>
      <w:r w:rsidRPr="3B48F347">
        <w:rPr>
          <w:color w:val="5B3111"/>
        </w:rPr>
        <w:t>What is missing on our side</w:t>
      </w:r>
    </w:p>
    <w:p w14:paraId="10ECDC85" w14:textId="626644D0" w:rsidR="3B48F347" w:rsidRDefault="3B48F347">
      <w:r w:rsidRPr="3B48F347">
        <w:t>Every row below is a genuine unknown rather than a formality. Until they are filled, this account has public intelligence but no relationship, and the two should not be confused when forecasting.</w:t>
      </w:r>
    </w:p>
    <w:tbl>
      <w:tblPr>
        <w:tblStyle w:val="TableGrid"/>
        <w:tblW w:w="0" w:type="auto"/>
        <w:tblLook w:val="0000" w:firstRow="0" w:lastRow="0" w:firstColumn="0" w:lastColumn="0" w:noHBand="0" w:noVBand="0"/>
      </w:tblPr>
      <w:tblGrid>
        <w:gridCol w:w="4680"/>
        <w:gridCol w:w="4680"/>
      </w:tblGrid>
      <w:tr w:rsidR="3B48F347" w14:paraId="49AC74D6" w14:textId="77777777" w:rsidTr="3B48F347">
        <w:tc>
          <w:tcPr>
            <w:tcW w:w="4680" w:type="dxa"/>
          </w:tcPr>
          <w:p w14:paraId="666FDF13" w14:textId="3713EAC8" w:rsidR="3B48F347" w:rsidRDefault="3B48F347">
            <w:r w:rsidRPr="3B48F347">
              <w:rPr>
                <w:b/>
                <w:bCs/>
                <w:color w:val="5B3111"/>
              </w:rPr>
              <w:t>Relationship element</w:t>
            </w:r>
          </w:p>
        </w:tc>
        <w:tc>
          <w:tcPr>
            <w:tcW w:w="4680" w:type="dxa"/>
          </w:tcPr>
          <w:p w14:paraId="54FBD5E2" w14:textId="2FF1D18C" w:rsidR="3B48F347" w:rsidRDefault="3B48F347">
            <w:r w:rsidRPr="3B48F347">
              <w:rPr>
                <w:b/>
                <w:bCs/>
                <w:color w:val="5B3111"/>
              </w:rPr>
              <w:t>Current state in the workspace</w:t>
            </w:r>
          </w:p>
        </w:tc>
      </w:tr>
      <w:tr w:rsidR="3B48F347" w14:paraId="106DD4C6" w14:textId="77777777" w:rsidTr="3B48F347">
        <w:tc>
          <w:tcPr>
            <w:tcW w:w="4680" w:type="dxa"/>
          </w:tcPr>
          <w:p w14:paraId="79903A2C" w14:textId="47073201" w:rsidR="3B48F347" w:rsidRDefault="3B48F347">
            <w:r>
              <w:t>Named client contacts</w:t>
            </w:r>
          </w:p>
        </w:tc>
        <w:tc>
          <w:tcPr>
            <w:tcW w:w="4680" w:type="dxa"/>
          </w:tcPr>
          <w:p w14:paraId="7B004414" w14:textId="3FE518C5" w:rsidR="3B48F347" w:rsidRDefault="3B48F347">
            <w:r>
              <w:t>None. No email, chat or meeting participant from the account appears anywhere in the quarter.</w:t>
            </w:r>
          </w:p>
        </w:tc>
      </w:tr>
      <w:tr w:rsidR="3B48F347" w14:paraId="554CAB63" w14:textId="77777777" w:rsidTr="3B48F347">
        <w:tc>
          <w:tcPr>
            <w:tcW w:w="4680" w:type="dxa"/>
          </w:tcPr>
          <w:p w14:paraId="6263D18E" w14:textId="56FA793A" w:rsidR="3B48F347" w:rsidRDefault="3B48F347">
            <w:r>
              <w:t>Account team and coverage roles</w:t>
            </w:r>
          </w:p>
        </w:tc>
        <w:tc>
          <w:tcPr>
            <w:tcW w:w="4680" w:type="dxa"/>
          </w:tcPr>
          <w:p w14:paraId="74162CCE" w14:textId="4FD85FFE" w:rsidR="3B48F347" w:rsidRDefault="3B48F347">
            <w:r>
              <w:t>Not on record. No internal thread identifies who owns this account.</w:t>
            </w:r>
          </w:p>
        </w:tc>
      </w:tr>
      <w:tr w:rsidR="3B48F347" w14:paraId="2155241D" w14:textId="77777777" w:rsidTr="3B48F347">
        <w:tc>
          <w:tcPr>
            <w:tcW w:w="4680" w:type="dxa"/>
          </w:tcPr>
          <w:p w14:paraId="3F01D96C" w14:textId="66EDC073" w:rsidR="3B48F347" w:rsidRDefault="3B48F347">
            <w:r>
              <w:t>Executive sponsor</w:t>
            </w:r>
          </w:p>
        </w:tc>
        <w:tc>
          <w:tcPr>
            <w:tcW w:w="4680" w:type="dxa"/>
          </w:tcPr>
          <w:p w14:paraId="5CF51FAC" w14:textId="5FCBA737" w:rsidR="3B48F347" w:rsidRDefault="3B48F347">
            <w:r>
              <w:t>Not identified on either side.</w:t>
            </w:r>
          </w:p>
        </w:tc>
      </w:tr>
      <w:tr w:rsidR="3B48F347" w14:paraId="37162075" w14:textId="77777777" w:rsidTr="3B48F347">
        <w:tc>
          <w:tcPr>
            <w:tcW w:w="4680" w:type="dxa"/>
          </w:tcPr>
          <w:p w14:paraId="2512051D" w14:textId="76E107AC" w:rsidR="3B48F347" w:rsidRDefault="3B48F347">
            <w:r>
              <w:t>Last substantive interaction</w:t>
            </w:r>
          </w:p>
        </w:tc>
        <w:tc>
          <w:tcPr>
            <w:tcW w:w="4680" w:type="dxa"/>
          </w:tcPr>
          <w:p w14:paraId="79D874DD" w14:textId="6FBEEE70" w:rsidR="3B48F347" w:rsidRDefault="3B48F347">
            <w:r>
              <w:t xml:space="preserve">None </w:t>
            </w:r>
            <w:proofErr w:type="gramStart"/>
            <w:r>
              <w:t>found</w:t>
            </w:r>
            <w:proofErr w:type="gramEnd"/>
            <w:r>
              <w:t>. The nearest trace is a 2 June 2026 access request for demo preparation, which is Q2 and shows no client contact.</w:t>
            </w:r>
          </w:p>
        </w:tc>
      </w:tr>
      <w:tr w:rsidR="3B48F347" w14:paraId="6A2266BB" w14:textId="77777777" w:rsidTr="3B48F347">
        <w:tc>
          <w:tcPr>
            <w:tcW w:w="4680" w:type="dxa"/>
          </w:tcPr>
          <w:p w14:paraId="1638FD01" w14:textId="06D44EE5" w:rsidR="3B48F347" w:rsidRDefault="3B48F347">
            <w:r>
              <w:t>Active opportunities in a CRM or pipeline</w:t>
            </w:r>
          </w:p>
        </w:tc>
        <w:tc>
          <w:tcPr>
            <w:tcW w:w="4680" w:type="dxa"/>
          </w:tcPr>
          <w:p w14:paraId="4EC1CE7F" w14:textId="7FB235A9" w:rsidR="3B48F347" w:rsidRDefault="3B48F347">
            <w:r>
              <w:t>No pipeline source is connected to this workspace, so none can be confirmed.</w:t>
            </w:r>
          </w:p>
        </w:tc>
      </w:tr>
      <w:tr w:rsidR="3B48F347" w14:paraId="4D6603BD" w14:textId="77777777" w:rsidTr="3B48F347">
        <w:tc>
          <w:tcPr>
            <w:tcW w:w="4680" w:type="dxa"/>
          </w:tcPr>
          <w:p w14:paraId="6B553C2B" w14:textId="16C7961E" w:rsidR="3B48F347" w:rsidRDefault="3B48F347">
            <w:r>
              <w:t>Prior deliverables or proposals</w:t>
            </w:r>
          </w:p>
        </w:tc>
        <w:tc>
          <w:tcPr>
            <w:tcW w:w="4680" w:type="dxa"/>
          </w:tcPr>
          <w:p w14:paraId="73B22232" w14:textId="0FA57CE2" w:rsidR="3B48F347" w:rsidRDefault="3B48F347">
            <w:r>
              <w:t>None in SharePoint or OneDrive. The only related file is an account plan generated earlier today.</w:t>
            </w:r>
          </w:p>
        </w:tc>
      </w:tr>
    </w:tbl>
    <w:p w14:paraId="2577BB13" w14:textId="6F1C548B" w:rsidR="3B48F347" w:rsidRDefault="3B48F347" w:rsidP="3B48F347">
      <w:pPr>
        <w:pStyle w:val="Heading1"/>
      </w:pPr>
      <w:r w:rsidRPr="3B48F347">
        <w:rPr>
          <w:color w:val="5B3111"/>
          <w:sz w:val="36"/>
          <w:szCs w:val="36"/>
        </w:rPr>
        <w:t>Open opportunities and risks</w:t>
      </w:r>
    </w:p>
    <w:p w14:paraId="1A9FFDBF" w14:textId="38EC3E5F" w:rsidR="3B48F347" w:rsidRDefault="3B48F347">
      <w:r w:rsidRPr="3B48F347">
        <w:t xml:space="preserve">No opportunity in a pipeline can be reported, because no pipeline is visible from this workspace. What follows are openings evidenced by the bank's own public commitments and spending, each one traceable to a dated source. They are candidate opportunities to qualify, not deals in flight, and the distinction should survive </w:t>
      </w:r>
      <w:proofErr w:type="gramStart"/>
      <w:r w:rsidRPr="3B48F347">
        <w:t>into</w:t>
      </w:r>
      <w:proofErr w:type="gramEnd"/>
      <w:r w:rsidRPr="3B48F347">
        <w:t xml:space="preserve"> whatever forecast this feeds.</w:t>
      </w:r>
    </w:p>
    <w:p w14:paraId="75A6240C" w14:textId="14177ED1" w:rsidR="3B48F347" w:rsidRDefault="3B48F347" w:rsidP="3B48F347">
      <w:pPr>
        <w:pStyle w:val="Heading2"/>
      </w:pPr>
      <w:r w:rsidRPr="3B48F347">
        <w:rPr>
          <w:color w:val="5B3111"/>
        </w:rPr>
        <w:lastRenderedPageBreak/>
        <w:t>Opportunities evidenced by public commitments</w:t>
      </w:r>
    </w:p>
    <w:tbl>
      <w:tblPr>
        <w:tblStyle w:val="TableGrid"/>
        <w:tblW w:w="0" w:type="auto"/>
        <w:tblLook w:val="0000" w:firstRow="0" w:lastRow="0" w:firstColumn="0" w:lastColumn="0" w:noHBand="0" w:noVBand="0"/>
      </w:tblPr>
      <w:tblGrid>
        <w:gridCol w:w="3120"/>
        <w:gridCol w:w="3120"/>
        <w:gridCol w:w="3120"/>
      </w:tblGrid>
      <w:tr w:rsidR="3B48F347" w14:paraId="25D01B4E" w14:textId="77777777" w:rsidTr="3B48F347">
        <w:tc>
          <w:tcPr>
            <w:tcW w:w="3120" w:type="dxa"/>
          </w:tcPr>
          <w:p w14:paraId="129D89DF" w14:textId="0A327867" w:rsidR="3B48F347" w:rsidRDefault="3B48F347">
            <w:r w:rsidRPr="3B48F347">
              <w:rPr>
                <w:b/>
                <w:bCs/>
                <w:color w:val="5B3111"/>
              </w:rPr>
              <w:t>Opportunity</w:t>
            </w:r>
          </w:p>
        </w:tc>
        <w:tc>
          <w:tcPr>
            <w:tcW w:w="3120" w:type="dxa"/>
          </w:tcPr>
          <w:p w14:paraId="777A8E4E" w14:textId="03105F2B" w:rsidR="3B48F347" w:rsidRDefault="3B48F347">
            <w:r w:rsidRPr="3B48F347">
              <w:rPr>
                <w:b/>
                <w:bCs/>
                <w:color w:val="5B3111"/>
              </w:rPr>
              <w:t>Supporting evidence</w:t>
            </w:r>
          </w:p>
        </w:tc>
        <w:tc>
          <w:tcPr>
            <w:tcW w:w="3120" w:type="dxa"/>
          </w:tcPr>
          <w:p w14:paraId="44253AE7" w14:textId="7BEE45EF" w:rsidR="3B48F347" w:rsidRDefault="3B48F347">
            <w:r w:rsidRPr="3B48F347">
              <w:rPr>
                <w:b/>
                <w:bCs/>
                <w:color w:val="5B3111"/>
              </w:rPr>
              <w:t>How to qualify it</w:t>
            </w:r>
          </w:p>
        </w:tc>
      </w:tr>
      <w:tr w:rsidR="3B48F347" w14:paraId="23AA0AE1" w14:textId="77777777" w:rsidTr="3B48F347">
        <w:tc>
          <w:tcPr>
            <w:tcW w:w="3120" w:type="dxa"/>
          </w:tcPr>
          <w:p w14:paraId="62A5B646" w14:textId="1303A664" w:rsidR="3B48F347" w:rsidRDefault="3B48F347">
            <w:r>
              <w:t>AI and cloud platform enablement</w:t>
            </w:r>
          </w:p>
        </w:tc>
        <w:tc>
          <w:tcPr>
            <w:tcW w:w="3120" w:type="dxa"/>
          </w:tcPr>
          <w:p w14:paraId="229CEA1A" w14:textId="0BE18D28" w:rsidR="3B48F347" w:rsidRDefault="3B48F347">
            <w:r>
              <w:t xml:space="preserve">Hundreds of mission-critical applications moving to AWS with Bedrock and Connect agents in wealth management and commercial banking, announced May 2026, alongside Azure as primary cloud since February 2022. Technology </w:t>
            </w:r>
            <w:proofErr w:type="gramStart"/>
            <w:r>
              <w:t>expense</w:t>
            </w:r>
            <w:proofErr w:type="gramEnd"/>
            <w:r>
              <w:t xml:space="preserve"> up 7.5 per cent to $573M in Q1 2026 against a sector average projected AI spend of $177M.</w:t>
            </w:r>
          </w:p>
        </w:tc>
        <w:tc>
          <w:tcPr>
            <w:tcW w:w="3120" w:type="dxa"/>
          </w:tcPr>
          <w:p w14:paraId="323FDDFA" w14:textId="04BF73EC" w:rsidR="3B48F347" w:rsidRDefault="3B48F347">
            <w:r>
              <w:t>Establish which workloads sit on which cloud and where the agent programme is stalling. A multi-cloud estate mid-migration is where integration and governance work concentrates.</w:t>
            </w:r>
          </w:p>
        </w:tc>
      </w:tr>
      <w:tr w:rsidR="3B48F347" w14:paraId="2B7DED5C" w14:textId="77777777" w:rsidTr="3B48F347">
        <w:tc>
          <w:tcPr>
            <w:tcW w:w="3120" w:type="dxa"/>
          </w:tcPr>
          <w:p w14:paraId="481288E2" w14:textId="1BD4D461" w:rsidR="3B48F347" w:rsidRDefault="3B48F347">
            <w:r>
              <w:t>Payments and Elavon ecosystem</w:t>
            </w:r>
          </w:p>
        </w:tc>
        <w:tc>
          <w:tcPr>
            <w:tcW w:w="3120" w:type="dxa"/>
          </w:tcPr>
          <w:p w14:paraId="651B1548" w14:textId="14B2BB25" w:rsidR="3B48F347" w:rsidRDefault="3B48F347">
            <w:r>
              <w:t>Payments are 26 per cent of revenue. Elavon rose two places to fifth-largest US acquirer in the 2025 Nilson Report and has pushed its All-In-One platform across North America for hospitality, healthcare and retail.</w:t>
            </w:r>
          </w:p>
        </w:tc>
        <w:tc>
          <w:tcPr>
            <w:tcW w:w="3120" w:type="dxa"/>
          </w:tcPr>
          <w:p w14:paraId="4A3A2DB0" w14:textId="0D90A1E9" w:rsidR="3B48F347" w:rsidRDefault="3B48F347">
            <w:r>
              <w:t xml:space="preserve">Test whether the </w:t>
            </w:r>
            <w:proofErr w:type="gramStart"/>
            <w:r>
              <w:t>embedded-payments</w:t>
            </w:r>
            <w:proofErr w:type="gramEnd"/>
            <w:r>
              <w:t xml:space="preserve"> and </w:t>
            </w:r>
            <w:proofErr w:type="gramStart"/>
            <w:r>
              <w:t>indirect-distribution</w:t>
            </w:r>
            <w:proofErr w:type="gramEnd"/>
            <w:r>
              <w:t xml:space="preserve"> push </w:t>
            </w:r>
            <w:proofErr w:type="gramStart"/>
            <w:r>
              <w:t>named</w:t>
            </w:r>
            <w:proofErr w:type="gramEnd"/>
            <w:r>
              <w:t xml:space="preserve"> at the BancAnalysts conference has delivery capacity behind it.</w:t>
            </w:r>
          </w:p>
        </w:tc>
      </w:tr>
      <w:tr w:rsidR="3B48F347" w14:paraId="2A8BCB2F" w14:textId="77777777" w:rsidTr="3B48F347">
        <w:tc>
          <w:tcPr>
            <w:tcW w:w="3120" w:type="dxa"/>
          </w:tcPr>
          <w:p w14:paraId="23EDCC06" w14:textId="24A6025E" w:rsidR="3B48F347" w:rsidRDefault="3B48F347">
            <w:r>
              <w:t>Business-banking national expansion</w:t>
            </w:r>
          </w:p>
        </w:tc>
        <w:tc>
          <w:tcPr>
            <w:tcW w:w="3120" w:type="dxa"/>
          </w:tcPr>
          <w:p w14:paraId="72664D78" w14:textId="1D83E922" w:rsidR="3B48F347" w:rsidRDefault="3B48F347">
            <w:r>
              <w:t>On 31 August 2026 the bank placed its first business bankers in Florida and Georgia and accelerated in Texas and Arizona, reaching outside the traditional 26-state footprint. Business-banking clients grew from 1.14M in 2023 to 1.40M in 2026.</w:t>
            </w:r>
          </w:p>
        </w:tc>
        <w:tc>
          <w:tcPr>
            <w:tcW w:w="3120" w:type="dxa"/>
          </w:tcPr>
          <w:p w14:paraId="35AD1297" w14:textId="1661CFE6" w:rsidR="3B48F347" w:rsidRDefault="3B48F347">
            <w:r>
              <w:t>Newly stood-up teams need tooling and onboarding at speed. This is the freshest commitment on the record and the one most likely to have unmet operational need.</w:t>
            </w:r>
          </w:p>
        </w:tc>
      </w:tr>
      <w:tr w:rsidR="3B48F347" w14:paraId="21DD7A51" w14:textId="77777777" w:rsidTr="3B48F347">
        <w:tc>
          <w:tcPr>
            <w:tcW w:w="3120" w:type="dxa"/>
          </w:tcPr>
          <w:p w14:paraId="4BDE632B" w14:textId="2D77305B" w:rsidR="3B48F347" w:rsidRDefault="3B48F347">
            <w:r>
              <w:t>Post-BTIG integration</w:t>
            </w:r>
          </w:p>
        </w:tc>
        <w:tc>
          <w:tcPr>
            <w:tcW w:w="3120" w:type="dxa"/>
          </w:tcPr>
          <w:p w14:paraId="45B62C7B" w14:textId="2655171F" w:rsidR="3B48F347" w:rsidRDefault="3B48F347">
            <w:r>
              <w:t xml:space="preserve">BTIG </w:t>
            </w:r>
            <w:proofErr w:type="gramStart"/>
            <w:r>
              <w:t>closed</w:t>
            </w:r>
            <w:proofErr w:type="gramEnd"/>
            <w:r>
              <w:t xml:space="preserve"> 1 June 2026, contributing roughly $98M of fee revenue and $84M of expense in its first quarter and adding institutional equity sales and trading.</w:t>
            </w:r>
          </w:p>
        </w:tc>
        <w:tc>
          <w:tcPr>
            <w:tcW w:w="3120" w:type="dxa"/>
          </w:tcPr>
          <w:p w14:paraId="74131118" w14:textId="1F32FDE3" w:rsidR="3B48F347" w:rsidRDefault="3B48F347">
            <w:r>
              <w:t>A capital-markets business absorbed one quarter ago carries platform and data-integration work that rarely appears in public commentary.</w:t>
            </w:r>
          </w:p>
        </w:tc>
      </w:tr>
    </w:tbl>
    <w:p w14:paraId="66680BFC" w14:textId="33D0C23B" w:rsidR="3B48F347" w:rsidRDefault="3B48F347" w:rsidP="3B48F347">
      <w:pPr>
        <w:pStyle w:val="Heading2"/>
      </w:pPr>
      <w:r w:rsidRPr="3B48F347">
        <w:rPr>
          <w:color w:val="5B3111"/>
        </w:rPr>
        <w:t>Risks</w:t>
      </w:r>
    </w:p>
    <w:tbl>
      <w:tblPr>
        <w:tblStyle w:val="TableGrid"/>
        <w:tblW w:w="0" w:type="auto"/>
        <w:tblLook w:val="0000" w:firstRow="0" w:lastRow="0" w:firstColumn="0" w:lastColumn="0" w:noHBand="0" w:noVBand="0"/>
      </w:tblPr>
      <w:tblGrid>
        <w:gridCol w:w="3120"/>
        <w:gridCol w:w="3120"/>
        <w:gridCol w:w="3120"/>
      </w:tblGrid>
      <w:tr w:rsidR="3B48F347" w14:paraId="2307FEB5" w14:textId="77777777" w:rsidTr="3B48F347">
        <w:tc>
          <w:tcPr>
            <w:tcW w:w="3120" w:type="dxa"/>
          </w:tcPr>
          <w:p w14:paraId="4844A452" w14:textId="463BA591" w:rsidR="3B48F347" w:rsidRDefault="3B48F347">
            <w:r w:rsidRPr="3B48F347">
              <w:rPr>
                <w:b/>
                <w:bCs/>
                <w:color w:val="5B3111"/>
              </w:rPr>
              <w:t>Risk area</w:t>
            </w:r>
          </w:p>
        </w:tc>
        <w:tc>
          <w:tcPr>
            <w:tcW w:w="3120" w:type="dxa"/>
          </w:tcPr>
          <w:p w14:paraId="69A003D3" w14:textId="3F198C55" w:rsidR="3B48F347" w:rsidRDefault="3B48F347">
            <w:r w:rsidRPr="3B48F347">
              <w:rPr>
                <w:b/>
                <w:bCs/>
                <w:color w:val="5B3111"/>
              </w:rPr>
              <w:t>Evidence and severity</w:t>
            </w:r>
          </w:p>
        </w:tc>
        <w:tc>
          <w:tcPr>
            <w:tcW w:w="3120" w:type="dxa"/>
          </w:tcPr>
          <w:p w14:paraId="15C197A6" w14:textId="37F77319" w:rsidR="3B48F347" w:rsidRDefault="3B48F347">
            <w:r w:rsidRPr="3B48F347">
              <w:rPr>
                <w:b/>
                <w:bCs/>
                <w:color w:val="5B3111"/>
              </w:rPr>
              <w:t>Mitigation</w:t>
            </w:r>
          </w:p>
        </w:tc>
      </w:tr>
      <w:tr w:rsidR="3B48F347" w14:paraId="58538852" w14:textId="77777777" w:rsidTr="3B48F347">
        <w:tc>
          <w:tcPr>
            <w:tcW w:w="3120" w:type="dxa"/>
          </w:tcPr>
          <w:p w14:paraId="489E155E" w14:textId="4F0CD38E" w:rsidR="3B48F347" w:rsidRDefault="3B48F347">
            <w:r>
              <w:t>No relationship exists</w:t>
            </w:r>
          </w:p>
        </w:tc>
        <w:tc>
          <w:tcPr>
            <w:tcW w:w="3120" w:type="dxa"/>
          </w:tcPr>
          <w:p w14:paraId="21CD4CAE" w14:textId="47EABA52" w:rsidR="3B48F347" w:rsidRDefault="3B48F347">
            <w:r>
              <w:t>Highest-severity item in this plan and entirely ours. Zero internal contact across the quarter means no warm path, no sponsor and no qualified need.</w:t>
            </w:r>
          </w:p>
        </w:tc>
        <w:tc>
          <w:tcPr>
            <w:tcW w:w="3120" w:type="dxa"/>
          </w:tcPr>
          <w:p w14:paraId="7569073B" w14:textId="40C8A116" w:rsidR="3B48F347" w:rsidRDefault="3B48F347">
            <w:r>
              <w:t xml:space="preserve">Treat the first 30 days as relationship construction, not opportunity progression. Nothing else in this plan is actionable until </w:t>
            </w:r>
            <w:proofErr w:type="gramStart"/>
            <w:r>
              <w:t>this</w:t>
            </w:r>
            <w:proofErr w:type="gramEnd"/>
            <w:r>
              <w:t xml:space="preserve"> changes.</w:t>
            </w:r>
          </w:p>
        </w:tc>
      </w:tr>
      <w:tr w:rsidR="3B48F347" w14:paraId="5B87DA12" w14:textId="77777777" w:rsidTr="3B48F347">
        <w:tc>
          <w:tcPr>
            <w:tcW w:w="3120" w:type="dxa"/>
          </w:tcPr>
          <w:p w14:paraId="5DB26036" w14:textId="57DE018B" w:rsidR="3B48F347" w:rsidRDefault="3B48F347">
            <w:r>
              <w:t>Commercial real-estate credit migration</w:t>
            </w:r>
          </w:p>
        </w:tc>
        <w:tc>
          <w:tcPr>
            <w:tcW w:w="3120" w:type="dxa"/>
          </w:tcPr>
          <w:p w14:paraId="395F7437" w14:textId="50BBE84F" w:rsidR="3B48F347" w:rsidRDefault="3B48F347">
            <w:r>
              <w:t xml:space="preserve">Trepp reported on 30 July 2026 that CRE nonperforming balances rose at U.S. Bancorp, </w:t>
            </w:r>
            <w:r>
              <w:lastRenderedPageBreak/>
              <w:t>Truist and KeyCorp even as total credit measures improved across eleven super-regionals.</w:t>
            </w:r>
          </w:p>
        </w:tc>
        <w:tc>
          <w:tcPr>
            <w:tcW w:w="3120" w:type="dxa"/>
          </w:tcPr>
          <w:p w14:paraId="2E17AFA7" w14:textId="4999CF13" w:rsidR="3B48F347" w:rsidRDefault="3B48F347">
            <w:r>
              <w:lastRenderedPageBreak/>
              <w:t xml:space="preserve">Watch the Q3 disclosure. A widening trend tightens discretionary budgets before it </w:t>
            </w:r>
            <w:r>
              <w:lastRenderedPageBreak/>
              <w:t>shows up in guidance.</w:t>
            </w:r>
          </w:p>
        </w:tc>
      </w:tr>
      <w:tr w:rsidR="3B48F347" w14:paraId="5839A703" w14:textId="77777777" w:rsidTr="3B48F347">
        <w:tc>
          <w:tcPr>
            <w:tcW w:w="3120" w:type="dxa"/>
          </w:tcPr>
          <w:p w14:paraId="13167A83" w14:textId="60AF2F88" w:rsidR="3B48F347" w:rsidRDefault="3B48F347">
            <w:r>
              <w:lastRenderedPageBreak/>
              <w:t>Structurally low net interest margin</w:t>
            </w:r>
          </w:p>
        </w:tc>
        <w:tc>
          <w:tcPr>
            <w:tcW w:w="3120" w:type="dxa"/>
          </w:tcPr>
          <w:p w14:paraId="4F429F05" w14:textId="598D164C" w:rsidR="3B48F347" w:rsidRDefault="3B48F347">
            <w:r>
              <w:t>At 2.79 per cent the margin sits 43 basis points below the 3.22 per cent industry average, and the sector average itself fell from 3.30 per cent in Q4 2025.</w:t>
            </w:r>
          </w:p>
        </w:tc>
        <w:tc>
          <w:tcPr>
            <w:tcW w:w="3120" w:type="dxa"/>
          </w:tcPr>
          <w:p w14:paraId="47970924" w14:textId="526AFD10" w:rsidR="3B48F347" w:rsidRDefault="3B48F347">
            <w:r>
              <w:t xml:space="preserve">Frame every proposal against fee income or efficiency, the two levers this balance sheet </w:t>
            </w:r>
            <w:proofErr w:type="gramStart"/>
            <w:r>
              <w:t>actually depends</w:t>
            </w:r>
            <w:proofErr w:type="gramEnd"/>
            <w:r>
              <w:t xml:space="preserve"> on.</w:t>
            </w:r>
          </w:p>
        </w:tc>
      </w:tr>
      <w:tr w:rsidR="3B48F347" w14:paraId="7386095B" w14:textId="77777777" w:rsidTr="3B48F347">
        <w:tc>
          <w:tcPr>
            <w:tcW w:w="3120" w:type="dxa"/>
          </w:tcPr>
          <w:p w14:paraId="2F919EBC" w14:textId="69805D85" w:rsidR="3B48F347" w:rsidRDefault="3B48F347">
            <w:r>
              <w:t>AWS holds the newer AI mandate</w:t>
            </w:r>
          </w:p>
        </w:tc>
        <w:tc>
          <w:tcPr>
            <w:tcW w:w="3120" w:type="dxa"/>
          </w:tcPr>
          <w:p w14:paraId="36CE659D" w14:textId="625E4449" w:rsidR="3B48F347" w:rsidRDefault="3B48F347">
            <w:r>
              <w:t>The May 2026 announcement placed mission-critical migration and generative AI with AWS, while the 2022 Azure relationship is the incumbent primary cloud.</w:t>
            </w:r>
          </w:p>
        </w:tc>
        <w:tc>
          <w:tcPr>
            <w:tcW w:w="3120" w:type="dxa"/>
          </w:tcPr>
          <w:p w14:paraId="632A2B00" w14:textId="5B3C2B0D" w:rsidR="3B48F347" w:rsidRDefault="3B48F347">
            <w:r>
              <w:t>Assume a competitive multi-cloud estate. Position around integration and the workloads not named in the AWS release rather than against it.</w:t>
            </w:r>
          </w:p>
        </w:tc>
      </w:tr>
      <w:tr w:rsidR="3B48F347" w14:paraId="4CFD1009" w14:textId="77777777" w:rsidTr="3B48F347">
        <w:tc>
          <w:tcPr>
            <w:tcW w:w="3120" w:type="dxa"/>
          </w:tcPr>
          <w:p w14:paraId="7B5C89D7" w14:textId="72518B82" w:rsidR="3B48F347" w:rsidRDefault="3B48F347">
            <w:r>
              <w:t>Peer consolidation is reshaping the field</w:t>
            </w:r>
          </w:p>
        </w:tc>
        <w:tc>
          <w:tcPr>
            <w:tcW w:w="3120" w:type="dxa"/>
          </w:tcPr>
          <w:p w14:paraId="15A76CA0" w14:textId="6B2F7246" w:rsidR="3B48F347" w:rsidRDefault="3B48F347">
            <w:r>
              <w:t>Fifth Third absorbed Comerica, Huntington added Veritex and Cadence, PNC completed FirstBank, all within 2026.</w:t>
            </w:r>
          </w:p>
        </w:tc>
        <w:tc>
          <w:tcPr>
            <w:tcW w:w="3120" w:type="dxa"/>
          </w:tcPr>
          <w:p w14:paraId="495FB7EA" w14:textId="640D590A" w:rsidR="3B48F347" w:rsidRDefault="3B48F347">
            <w:r>
              <w:t>Expect attention and budget to be pulled toward competitive response, and time outreach around the Q3 results cycle.</w:t>
            </w:r>
          </w:p>
        </w:tc>
      </w:tr>
    </w:tbl>
    <w:p w14:paraId="40B28C0D" w14:textId="5A134357" w:rsidR="3B48F347" w:rsidRDefault="3B48F347" w:rsidP="3B48F347">
      <w:pPr>
        <w:pStyle w:val="Heading1"/>
      </w:pPr>
      <w:r w:rsidRPr="3B48F347">
        <w:rPr>
          <w:color w:val="5B3111"/>
          <w:sz w:val="36"/>
          <w:szCs w:val="36"/>
        </w:rPr>
        <w:t>Competitive landscape</w:t>
      </w:r>
    </w:p>
    <w:p w14:paraId="6F9A959E" w14:textId="69AD07E6" w:rsidR="3B48F347" w:rsidRDefault="3B48F347">
      <w:r w:rsidRPr="3B48F347">
        <w:t>U.S. Bancorp is the eighth-largest bank holding company in the United States and, once the pure investment banks and the foreign subsidiary in the rankings are set aside, the fifth-largest commercial bank. The peer comparison that matters is not the money-centre trio but the super-regional pack immediately around it, where the bank currently leads on returns.</w:t>
      </w:r>
    </w:p>
    <w:p w14:paraId="4459D076" w14:textId="608A8AEF" w:rsidR="3B48F347" w:rsidRDefault="3B48F347" w:rsidP="3B48F347">
      <w:pPr>
        <w:pStyle w:val="Heading2"/>
      </w:pPr>
      <w:r w:rsidRPr="3B48F347">
        <w:rPr>
          <w:color w:val="5B3111"/>
        </w:rPr>
        <w:t>Scale, by total assets</w:t>
      </w:r>
    </w:p>
    <w:p w14:paraId="1CAC6CA7" w14:textId="492C97A6" w:rsidR="3B48F347" w:rsidRDefault="3B48F347">
      <w:r w:rsidRPr="3B48F347">
        <w:rPr>
          <w:i/>
          <w:iCs/>
          <w:color w:val="6B6B6B"/>
          <w:sz w:val="20"/>
          <w:szCs w:val="20"/>
        </w:rPr>
        <w:t xml:space="preserve">Federal Financial Institutions Examination Council data as </w:t>
      </w:r>
      <w:proofErr w:type="gramStart"/>
      <w:r w:rsidRPr="3B48F347">
        <w:rPr>
          <w:i/>
          <w:iCs/>
          <w:color w:val="6B6B6B"/>
          <w:sz w:val="20"/>
          <w:szCs w:val="20"/>
        </w:rPr>
        <w:t>at</w:t>
      </w:r>
      <w:proofErr w:type="gramEnd"/>
      <w:r w:rsidRPr="3B48F347">
        <w:rPr>
          <w:i/>
          <w:iCs/>
          <w:color w:val="6B6B6B"/>
          <w:sz w:val="20"/>
          <w:szCs w:val="20"/>
        </w:rPr>
        <w:t xml:space="preserve"> 31 March 2026. Ranks include Goldman Sachs and Morgan Stanley and one foreign subsidiary, which is why the holding-company rank and the commercial-bank rank differ.</w:t>
      </w:r>
    </w:p>
    <w:tbl>
      <w:tblPr>
        <w:tblStyle w:val="TableGrid"/>
        <w:tblW w:w="0" w:type="auto"/>
        <w:tblLook w:val="0000" w:firstRow="0" w:lastRow="0" w:firstColumn="0" w:lastColumn="0" w:noHBand="0" w:noVBand="0"/>
      </w:tblPr>
      <w:tblGrid>
        <w:gridCol w:w="3120"/>
        <w:gridCol w:w="3120"/>
        <w:gridCol w:w="3120"/>
      </w:tblGrid>
      <w:tr w:rsidR="3B48F347" w14:paraId="3FBCE4D7" w14:textId="77777777" w:rsidTr="3B48F347">
        <w:tc>
          <w:tcPr>
            <w:tcW w:w="3120" w:type="dxa"/>
          </w:tcPr>
          <w:p w14:paraId="5D367BC6" w14:textId="75AFB504" w:rsidR="3B48F347" w:rsidRDefault="3B48F347">
            <w:r w:rsidRPr="3B48F347">
              <w:rPr>
                <w:b/>
                <w:bCs/>
                <w:color w:val="5B3111"/>
              </w:rPr>
              <w:t>Holding company</w:t>
            </w:r>
          </w:p>
        </w:tc>
        <w:tc>
          <w:tcPr>
            <w:tcW w:w="3120" w:type="dxa"/>
          </w:tcPr>
          <w:p w14:paraId="1D015CA9" w14:textId="6E8D9BC8" w:rsidR="3B48F347" w:rsidRDefault="3B48F347">
            <w:r>
              <w:t>Rank</w:t>
            </w:r>
          </w:p>
        </w:tc>
        <w:tc>
          <w:tcPr>
            <w:tcW w:w="3120" w:type="dxa"/>
          </w:tcPr>
          <w:p w14:paraId="774E8700" w14:textId="676B828C" w:rsidR="3B48F347" w:rsidRDefault="3B48F347">
            <w:r w:rsidRPr="3B48F347">
              <w:rPr>
                <w:b/>
                <w:bCs/>
                <w:color w:val="5B3111"/>
              </w:rPr>
              <w:t>Total assets</w:t>
            </w:r>
          </w:p>
        </w:tc>
      </w:tr>
      <w:tr w:rsidR="3B48F347" w14:paraId="3ABC9EB2" w14:textId="77777777" w:rsidTr="3B48F347">
        <w:tc>
          <w:tcPr>
            <w:tcW w:w="3120" w:type="dxa"/>
          </w:tcPr>
          <w:p w14:paraId="31BF7167" w14:textId="7E80E301" w:rsidR="3B48F347" w:rsidRDefault="3B48F347">
            <w:r>
              <w:t>JPMorgan Chase</w:t>
            </w:r>
          </w:p>
        </w:tc>
        <w:tc>
          <w:tcPr>
            <w:tcW w:w="3120" w:type="dxa"/>
          </w:tcPr>
          <w:p w14:paraId="4C5631A4" w14:textId="775EC9C5" w:rsidR="3B48F347" w:rsidRDefault="3B48F347">
            <w:r>
              <w:t>1</w:t>
            </w:r>
          </w:p>
        </w:tc>
        <w:tc>
          <w:tcPr>
            <w:tcW w:w="3120" w:type="dxa"/>
          </w:tcPr>
          <w:p w14:paraId="7D760A4A" w14:textId="703CB089" w:rsidR="3B48F347" w:rsidRDefault="3B48F347">
            <w:r>
              <w:t>$4,900B</w:t>
            </w:r>
          </w:p>
        </w:tc>
      </w:tr>
      <w:tr w:rsidR="3B48F347" w14:paraId="777844D7" w14:textId="77777777" w:rsidTr="3B48F347">
        <w:tc>
          <w:tcPr>
            <w:tcW w:w="3120" w:type="dxa"/>
          </w:tcPr>
          <w:p w14:paraId="446A72C8" w14:textId="075210FE" w:rsidR="3B48F347" w:rsidRDefault="3B48F347">
            <w:r>
              <w:t>Bank of America</w:t>
            </w:r>
          </w:p>
        </w:tc>
        <w:tc>
          <w:tcPr>
            <w:tcW w:w="3120" w:type="dxa"/>
          </w:tcPr>
          <w:p w14:paraId="527944A9" w14:textId="002FF7C2" w:rsidR="3B48F347" w:rsidRDefault="3B48F347">
            <w:r>
              <w:t>2</w:t>
            </w:r>
          </w:p>
        </w:tc>
        <w:tc>
          <w:tcPr>
            <w:tcW w:w="3120" w:type="dxa"/>
          </w:tcPr>
          <w:p w14:paraId="23023342" w14:textId="790DDE86" w:rsidR="3B48F347" w:rsidRDefault="3B48F347">
            <w:r>
              <w:t>$3,496B</w:t>
            </w:r>
          </w:p>
        </w:tc>
      </w:tr>
      <w:tr w:rsidR="3B48F347" w14:paraId="31387071" w14:textId="77777777" w:rsidTr="3B48F347">
        <w:tc>
          <w:tcPr>
            <w:tcW w:w="3120" w:type="dxa"/>
          </w:tcPr>
          <w:p w14:paraId="78051265" w14:textId="10233EFB" w:rsidR="3B48F347" w:rsidRDefault="3B48F347">
            <w:r>
              <w:t>Wells Fargo</w:t>
            </w:r>
          </w:p>
        </w:tc>
        <w:tc>
          <w:tcPr>
            <w:tcW w:w="3120" w:type="dxa"/>
          </w:tcPr>
          <w:p w14:paraId="256CDB85" w14:textId="090125BF" w:rsidR="3B48F347" w:rsidRDefault="3B48F347">
            <w:r>
              <w:t>4</w:t>
            </w:r>
          </w:p>
        </w:tc>
        <w:tc>
          <w:tcPr>
            <w:tcW w:w="3120" w:type="dxa"/>
          </w:tcPr>
          <w:p w14:paraId="4C638B36" w14:textId="01DF0C83" w:rsidR="3B48F347" w:rsidRDefault="3B48F347">
            <w:r>
              <w:t>$2,205B</w:t>
            </w:r>
          </w:p>
        </w:tc>
      </w:tr>
      <w:tr w:rsidR="3B48F347" w14:paraId="6DC5B0D7" w14:textId="77777777" w:rsidTr="3B48F347">
        <w:tc>
          <w:tcPr>
            <w:tcW w:w="3120" w:type="dxa"/>
          </w:tcPr>
          <w:p w14:paraId="3A2CF4E9" w14:textId="18F46CF8" w:rsidR="3B48F347" w:rsidRDefault="3B48F347">
            <w:r>
              <w:t>U.S. Bancorp</w:t>
            </w:r>
          </w:p>
        </w:tc>
        <w:tc>
          <w:tcPr>
            <w:tcW w:w="3120" w:type="dxa"/>
          </w:tcPr>
          <w:p w14:paraId="2FA118E0" w14:textId="11D253BC" w:rsidR="3B48F347" w:rsidRDefault="3B48F347">
            <w:r>
              <w:t>8</w:t>
            </w:r>
          </w:p>
        </w:tc>
        <w:tc>
          <w:tcPr>
            <w:tcW w:w="3120" w:type="dxa"/>
          </w:tcPr>
          <w:p w14:paraId="7469E8FF" w14:textId="0AB03A80" w:rsidR="3B48F347" w:rsidRDefault="3B48F347">
            <w:r>
              <w:t>$700B</w:t>
            </w:r>
          </w:p>
        </w:tc>
      </w:tr>
      <w:tr w:rsidR="3B48F347" w14:paraId="20716482" w14:textId="77777777" w:rsidTr="3B48F347">
        <w:tc>
          <w:tcPr>
            <w:tcW w:w="3120" w:type="dxa"/>
          </w:tcPr>
          <w:p w14:paraId="532B462E" w14:textId="21C59AF5" w:rsidR="3B48F347" w:rsidRDefault="3B48F347">
            <w:r>
              <w:t>Capital One</w:t>
            </w:r>
          </w:p>
        </w:tc>
        <w:tc>
          <w:tcPr>
            <w:tcW w:w="3120" w:type="dxa"/>
          </w:tcPr>
          <w:p w14:paraId="2231F85A" w14:textId="1AA381B9" w:rsidR="3B48F347" w:rsidRDefault="3B48F347">
            <w:r>
              <w:t>9</w:t>
            </w:r>
          </w:p>
        </w:tc>
        <w:tc>
          <w:tcPr>
            <w:tcW w:w="3120" w:type="dxa"/>
          </w:tcPr>
          <w:p w14:paraId="4DA21D40" w14:textId="1381687D" w:rsidR="3B48F347" w:rsidRDefault="3B48F347">
            <w:r>
              <w:t>$682B</w:t>
            </w:r>
          </w:p>
        </w:tc>
      </w:tr>
      <w:tr w:rsidR="3B48F347" w14:paraId="7FFCC92B" w14:textId="77777777" w:rsidTr="3B48F347">
        <w:tc>
          <w:tcPr>
            <w:tcW w:w="3120" w:type="dxa"/>
          </w:tcPr>
          <w:p w14:paraId="250C8D6B" w14:textId="2A96C8F2" w:rsidR="3B48F347" w:rsidRDefault="3B48F347">
            <w:r>
              <w:t>PNC Financial</w:t>
            </w:r>
          </w:p>
        </w:tc>
        <w:tc>
          <w:tcPr>
            <w:tcW w:w="3120" w:type="dxa"/>
          </w:tcPr>
          <w:p w14:paraId="33252DB2" w14:textId="2374AFB6" w:rsidR="3B48F347" w:rsidRDefault="3B48F347">
            <w:r>
              <w:t>10</w:t>
            </w:r>
          </w:p>
        </w:tc>
        <w:tc>
          <w:tcPr>
            <w:tcW w:w="3120" w:type="dxa"/>
          </w:tcPr>
          <w:p w14:paraId="2125CCC3" w14:textId="1C52967A" w:rsidR="3B48F347" w:rsidRDefault="3B48F347">
            <w:r>
              <w:t>$603B</w:t>
            </w:r>
          </w:p>
        </w:tc>
      </w:tr>
      <w:tr w:rsidR="3B48F347" w14:paraId="15023550" w14:textId="77777777" w:rsidTr="3B48F347">
        <w:tc>
          <w:tcPr>
            <w:tcW w:w="3120" w:type="dxa"/>
          </w:tcPr>
          <w:p w14:paraId="563A7A4B" w14:textId="3367F6EF" w:rsidR="3B48F347" w:rsidRDefault="3B48F347">
            <w:r>
              <w:t>Truist Financial</w:t>
            </w:r>
          </w:p>
        </w:tc>
        <w:tc>
          <w:tcPr>
            <w:tcW w:w="3120" w:type="dxa"/>
          </w:tcPr>
          <w:p w14:paraId="7C3AF5B9" w14:textId="2C45DDB3" w:rsidR="3B48F347" w:rsidRDefault="3B48F347">
            <w:r>
              <w:t>12</w:t>
            </w:r>
          </w:p>
        </w:tc>
        <w:tc>
          <w:tcPr>
            <w:tcW w:w="3120" w:type="dxa"/>
          </w:tcPr>
          <w:p w14:paraId="5FEA0173" w14:textId="2523C477" w:rsidR="3B48F347" w:rsidRDefault="3B48F347">
            <w:r>
              <w:t>$548B</w:t>
            </w:r>
          </w:p>
        </w:tc>
      </w:tr>
      <w:tr w:rsidR="3B48F347" w14:paraId="5B859318" w14:textId="77777777" w:rsidTr="3B48F347">
        <w:tc>
          <w:tcPr>
            <w:tcW w:w="3120" w:type="dxa"/>
          </w:tcPr>
          <w:p w14:paraId="7BC3A5A2" w14:textId="3C3924EC" w:rsidR="3B48F347" w:rsidRDefault="3B48F347">
            <w:r>
              <w:t>Fifth Third</w:t>
            </w:r>
          </w:p>
        </w:tc>
        <w:tc>
          <w:tcPr>
            <w:tcW w:w="3120" w:type="dxa"/>
          </w:tcPr>
          <w:p w14:paraId="22F0E641" w14:textId="35170BB0" w:rsidR="3B48F347" w:rsidRDefault="3B48F347">
            <w:r>
              <w:t>17</w:t>
            </w:r>
          </w:p>
        </w:tc>
        <w:tc>
          <w:tcPr>
            <w:tcW w:w="3120" w:type="dxa"/>
          </w:tcPr>
          <w:p w14:paraId="2E536839" w14:textId="2DF4F274" w:rsidR="3B48F347" w:rsidRDefault="3B48F347">
            <w:r>
              <w:t>$297B</w:t>
            </w:r>
          </w:p>
        </w:tc>
      </w:tr>
      <w:tr w:rsidR="3B48F347" w14:paraId="15A43344" w14:textId="77777777" w:rsidTr="3B48F347">
        <w:tc>
          <w:tcPr>
            <w:tcW w:w="3120" w:type="dxa"/>
          </w:tcPr>
          <w:p w14:paraId="53721A32" w14:textId="450A52E9" w:rsidR="3B48F347" w:rsidRDefault="3B48F347">
            <w:r>
              <w:t>Citizens Financial</w:t>
            </w:r>
          </w:p>
        </w:tc>
        <w:tc>
          <w:tcPr>
            <w:tcW w:w="3120" w:type="dxa"/>
          </w:tcPr>
          <w:p w14:paraId="643583ED" w14:textId="3DE839AD" w:rsidR="3B48F347" w:rsidRDefault="3B48F347">
            <w:r>
              <w:t>24</w:t>
            </w:r>
          </w:p>
        </w:tc>
        <w:tc>
          <w:tcPr>
            <w:tcW w:w="3120" w:type="dxa"/>
          </w:tcPr>
          <w:p w14:paraId="4F773C8E" w14:textId="36C62071" w:rsidR="3B48F347" w:rsidRDefault="3B48F347">
            <w:r>
              <w:t>$228B</w:t>
            </w:r>
          </w:p>
        </w:tc>
      </w:tr>
    </w:tbl>
    <w:p w14:paraId="379A7D67" w14:textId="57FE1E4C" w:rsidR="3B48F347" w:rsidRDefault="3B48F347" w:rsidP="3B48F347">
      <w:pPr>
        <w:pStyle w:val="Heading2"/>
      </w:pPr>
      <w:r w:rsidRPr="3B48F347">
        <w:rPr>
          <w:color w:val="5B3111"/>
        </w:rPr>
        <w:t>Returns against the closest peers</w:t>
      </w:r>
    </w:p>
    <w:tbl>
      <w:tblPr>
        <w:tblStyle w:val="TableGrid"/>
        <w:tblW w:w="0" w:type="auto"/>
        <w:tblLook w:val="0000" w:firstRow="0" w:lastRow="0" w:firstColumn="0" w:lastColumn="0" w:noHBand="0" w:noVBand="0"/>
      </w:tblPr>
      <w:tblGrid>
        <w:gridCol w:w="2340"/>
        <w:gridCol w:w="2340"/>
        <w:gridCol w:w="2340"/>
        <w:gridCol w:w="2340"/>
      </w:tblGrid>
      <w:tr w:rsidR="3B48F347" w14:paraId="4417C5F0" w14:textId="77777777" w:rsidTr="3B48F347">
        <w:tc>
          <w:tcPr>
            <w:tcW w:w="2340" w:type="dxa"/>
          </w:tcPr>
          <w:p w14:paraId="4596198F" w14:textId="3F974E6E" w:rsidR="3B48F347" w:rsidRDefault="3B48F347">
            <w:r w:rsidRPr="3B48F347">
              <w:rPr>
                <w:b/>
                <w:bCs/>
                <w:color w:val="5B3111"/>
              </w:rPr>
              <w:t>Bank</w:t>
            </w:r>
          </w:p>
        </w:tc>
        <w:tc>
          <w:tcPr>
            <w:tcW w:w="2340" w:type="dxa"/>
          </w:tcPr>
          <w:p w14:paraId="18417DD8" w14:textId="38753532" w:rsidR="3B48F347" w:rsidRDefault="3B48F347">
            <w:r w:rsidRPr="3B48F347">
              <w:rPr>
                <w:b/>
                <w:bCs/>
                <w:color w:val="5B3111"/>
              </w:rPr>
              <w:t>ROTCE, Q2 2026</w:t>
            </w:r>
          </w:p>
        </w:tc>
        <w:tc>
          <w:tcPr>
            <w:tcW w:w="2340" w:type="dxa"/>
          </w:tcPr>
          <w:p w14:paraId="7C9EE034" w14:textId="31531BF6" w:rsidR="3B48F347" w:rsidRDefault="3B48F347">
            <w:r w:rsidRPr="3B48F347">
              <w:rPr>
                <w:b/>
                <w:bCs/>
                <w:color w:val="5B3111"/>
              </w:rPr>
              <w:t>Net income</w:t>
            </w:r>
          </w:p>
        </w:tc>
        <w:tc>
          <w:tcPr>
            <w:tcW w:w="2340" w:type="dxa"/>
          </w:tcPr>
          <w:p w14:paraId="7014330B" w14:textId="2A3102BA" w:rsidR="3B48F347" w:rsidRDefault="3B48F347">
            <w:r w:rsidRPr="3B48F347">
              <w:rPr>
                <w:b/>
                <w:bCs/>
                <w:color w:val="5B3111"/>
              </w:rPr>
              <w:t>Diluted EPS</w:t>
            </w:r>
          </w:p>
        </w:tc>
      </w:tr>
      <w:tr w:rsidR="3B48F347" w14:paraId="27330528" w14:textId="77777777" w:rsidTr="3B48F347">
        <w:tc>
          <w:tcPr>
            <w:tcW w:w="2340" w:type="dxa"/>
          </w:tcPr>
          <w:p w14:paraId="4D4772FC" w14:textId="4146632F" w:rsidR="3B48F347" w:rsidRDefault="3B48F347">
            <w:r>
              <w:lastRenderedPageBreak/>
              <w:t>U.S. Bancorp</w:t>
            </w:r>
          </w:p>
        </w:tc>
        <w:tc>
          <w:tcPr>
            <w:tcW w:w="2340" w:type="dxa"/>
          </w:tcPr>
          <w:p w14:paraId="173AEBE0" w14:textId="3A2449F3" w:rsidR="3B48F347" w:rsidRDefault="3B48F347">
            <w:r>
              <w:t>18.7%</w:t>
            </w:r>
          </w:p>
        </w:tc>
        <w:tc>
          <w:tcPr>
            <w:tcW w:w="2340" w:type="dxa"/>
          </w:tcPr>
          <w:p w14:paraId="27BE3851" w14:textId="330230B7" w:rsidR="3B48F347" w:rsidRDefault="3B48F347">
            <w:r>
              <w:t>$2.18B</w:t>
            </w:r>
          </w:p>
        </w:tc>
        <w:tc>
          <w:tcPr>
            <w:tcW w:w="2340" w:type="dxa"/>
          </w:tcPr>
          <w:p w14:paraId="7CC4CCB7" w14:textId="2BE0177B" w:rsidR="3B48F347" w:rsidRDefault="3B48F347">
            <w:r>
              <w:t>$1.35</w:t>
            </w:r>
          </w:p>
        </w:tc>
      </w:tr>
      <w:tr w:rsidR="3B48F347" w14:paraId="73555441" w14:textId="77777777" w:rsidTr="3B48F347">
        <w:tc>
          <w:tcPr>
            <w:tcW w:w="2340" w:type="dxa"/>
          </w:tcPr>
          <w:p w14:paraId="4100082A" w14:textId="42F577F0" w:rsidR="3B48F347" w:rsidRDefault="3B48F347">
            <w:r>
              <w:t>PNC</w:t>
            </w:r>
          </w:p>
        </w:tc>
        <w:tc>
          <w:tcPr>
            <w:tcW w:w="2340" w:type="dxa"/>
          </w:tcPr>
          <w:p w14:paraId="5F07A46A" w14:textId="3BD35EB4" w:rsidR="3B48F347" w:rsidRDefault="3B48F347">
            <w:r>
              <w:t>17.9%</w:t>
            </w:r>
          </w:p>
        </w:tc>
        <w:tc>
          <w:tcPr>
            <w:tcW w:w="2340" w:type="dxa"/>
          </w:tcPr>
          <w:p w14:paraId="5FDDA8AB" w14:textId="34B14578" w:rsidR="3B48F347" w:rsidRDefault="3B48F347">
            <w:r>
              <w:t>$2.1B</w:t>
            </w:r>
          </w:p>
        </w:tc>
        <w:tc>
          <w:tcPr>
            <w:tcW w:w="2340" w:type="dxa"/>
          </w:tcPr>
          <w:p w14:paraId="4860A0DF" w14:textId="2D8F2C3C" w:rsidR="3B48F347" w:rsidRDefault="3B48F347">
            <w:r>
              <w:t>$4.81</w:t>
            </w:r>
          </w:p>
        </w:tc>
      </w:tr>
      <w:tr w:rsidR="3B48F347" w14:paraId="67A39EBA" w14:textId="77777777" w:rsidTr="3B48F347">
        <w:tc>
          <w:tcPr>
            <w:tcW w:w="2340" w:type="dxa"/>
          </w:tcPr>
          <w:p w14:paraId="2C831EBF" w14:textId="44A48CB1" w:rsidR="3B48F347" w:rsidRDefault="3B48F347">
            <w:r>
              <w:t>Truist</w:t>
            </w:r>
          </w:p>
        </w:tc>
        <w:tc>
          <w:tcPr>
            <w:tcW w:w="2340" w:type="dxa"/>
          </w:tcPr>
          <w:p w14:paraId="3BE09680" w14:textId="3D827375" w:rsidR="3B48F347" w:rsidRDefault="3B48F347">
            <w:r>
              <w:t>15.4%</w:t>
            </w:r>
          </w:p>
        </w:tc>
        <w:tc>
          <w:tcPr>
            <w:tcW w:w="2340" w:type="dxa"/>
          </w:tcPr>
          <w:p w14:paraId="1C7EBEA0" w14:textId="36605A39" w:rsidR="3B48F347" w:rsidRDefault="3B48F347">
            <w:r>
              <w:t>$1.5B</w:t>
            </w:r>
          </w:p>
        </w:tc>
        <w:tc>
          <w:tcPr>
            <w:tcW w:w="2340" w:type="dxa"/>
          </w:tcPr>
          <w:p w14:paraId="1A1502EC" w14:textId="2F3E40FD" w:rsidR="3B48F347" w:rsidRDefault="3B48F347">
            <w:r>
              <w:t>$1.23</w:t>
            </w:r>
          </w:p>
        </w:tc>
      </w:tr>
    </w:tbl>
    <w:p w14:paraId="145D781A" w14:textId="678F2B83" w:rsidR="3B48F347" w:rsidRDefault="3B48F347">
      <w:r w:rsidRPr="3B48F347">
        <w:rPr>
          <w:i/>
          <w:iCs/>
          <w:color w:val="6B6B6B"/>
          <w:sz w:val="20"/>
          <w:szCs w:val="20"/>
        </w:rPr>
        <w:t>Earnings per share are not comparable across these banks because share counts differ materially. Return on tangible common equity is the like-for-like measure.</w:t>
      </w:r>
    </w:p>
    <w:p w14:paraId="6FF1CC38" w14:textId="3F022304" w:rsidR="3B48F347" w:rsidRDefault="3B48F347" w:rsidP="3B48F347">
      <w:pPr>
        <w:pStyle w:val="Heading2"/>
      </w:pPr>
      <w:r w:rsidRPr="3B48F347">
        <w:rPr>
          <w:color w:val="5B3111"/>
        </w:rPr>
        <w:t>Where the bank wins and where it lags</w:t>
      </w:r>
    </w:p>
    <w:p w14:paraId="48CE8E34" w14:textId="42C6CC54" w:rsidR="3B48F347" w:rsidRDefault="3B48F347">
      <w:r w:rsidRPr="3B48F347">
        <w:t>The win is payments scale. A fifth-place merchant acquirer and a seventh-place card issuer inside a bank of this size produce a fee mix and a purchase-volume engine that PNC, Truist and the tier below simply do not have. That is the asset the whole strategy is organised around, and it is the reason the efficiency ratio can improve while marketing spend rises 19.2 per cent.</w:t>
      </w:r>
    </w:p>
    <w:p w14:paraId="64C0296C" w14:textId="5D6F505A" w:rsidR="3B48F347" w:rsidRDefault="3B48F347">
      <w:r w:rsidRPr="3B48F347">
        <w:t xml:space="preserve">The lag is margin, and the watch item is credit. The 2.79 per cent net interest margin trails the industry by 43 basis points, and while it rose 13 basis points year </w:t>
      </w:r>
      <w:proofErr w:type="gramStart"/>
      <w:r w:rsidRPr="3B48F347">
        <w:t>over</w:t>
      </w:r>
      <w:proofErr w:type="gramEnd"/>
      <w:r w:rsidRPr="3B48F347">
        <w:t xml:space="preserve"> year against a falling sector average, the absolute gap is structural. On credit, Trepp found charge-off ratios falling sequentially at eight of eleven super-regionals and allowances falling </w:t>
      </w:r>
      <w:proofErr w:type="gramStart"/>
      <w:r w:rsidRPr="3B48F347">
        <w:t>at</w:t>
      </w:r>
      <w:proofErr w:type="gramEnd"/>
      <w:r w:rsidRPr="3B48F347">
        <w:t xml:space="preserve"> ten, yet nonperforming commercial real-estate balances rose at this bank. Citizens cut </w:t>
      </w:r>
      <w:proofErr w:type="gramStart"/>
      <w:r w:rsidRPr="3B48F347">
        <w:t>its</w:t>
      </w:r>
      <w:proofErr w:type="gramEnd"/>
      <w:r w:rsidRPr="3B48F347">
        <w:t xml:space="preserve"> CRE charge-off rate to 0.36 per cent over the same period. The peer set is also consolidating quickly, which changes the </w:t>
      </w:r>
      <w:proofErr w:type="gramStart"/>
      <w:r w:rsidRPr="3B48F347">
        <w:t>comparison basis</w:t>
      </w:r>
      <w:proofErr w:type="gramEnd"/>
      <w:r w:rsidRPr="3B48F347">
        <w:t>: Fifth Third's headline revenue rose 45.9 per cent year over year largely because it absorbed Comerica.</w:t>
      </w:r>
    </w:p>
    <w:p w14:paraId="2FDCEA06" w14:textId="7055825C" w:rsidR="3B48F347" w:rsidRDefault="3B48F347" w:rsidP="3B48F347">
      <w:pPr>
        <w:pStyle w:val="Heading1"/>
      </w:pPr>
      <w:r w:rsidRPr="3B48F347">
        <w:rPr>
          <w:color w:val="5B3111"/>
          <w:sz w:val="36"/>
          <w:szCs w:val="36"/>
        </w:rPr>
        <w:t>90-day action plan</w:t>
      </w:r>
    </w:p>
    <w:p w14:paraId="285E1C75" w14:textId="514B47D0" w:rsidR="3B48F347" w:rsidRDefault="3B48F347">
      <w:r w:rsidRPr="3B48F347">
        <w:t>The sequencing follows from the coverage gap rather than from the opportunity list. There is no relationship to advance, so the first month builds one and the later months convert public intelligence into qualified need. Owners are named where the workspace supports it; where no account team is on record, the plan says so rather than assigning work to an invented role.</w:t>
      </w:r>
    </w:p>
    <w:p w14:paraId="54C5FFE3" w14:textId="6BC19E1A" w:rsidR="3B48F347" w:rsidRDefault="3B48F347">
      <w:r w:rsidRPr="3B48F347">
        <w:t>One external date anchors the whole plan. The bank has reported on 20 January, 16 April and 16 July this year, so third-quarter results are expected in mid-October, inside the second window below. That disclosure will confirm or reset the commercial real-estate trend and the margin trajectory, and it is the natural checkpoint for everything qualified in the first 30 days.</w:t>
      </w:r>
    </w:p>
    <w:tbl>
      <w:tblPr>
        <w:tblStyle w:val="TableGrid"/>
        <w:tblW w:w="0" w:type="auto"/>
        <w:tblLook w:val="0000" w:firstRow="0" w:lastRow="0" w:firstColumn="0" w:lastColumn="0" w:noHBand="0" w:noVBand="0"/>
      </w:tblPr>
      <w:tblGrid>
        <w:gridCol w:w="1900"/>
        <w:gridCol w:w="2340"/>
        <w:gridCol w:w="2340"/>
        <w:gridCol w:w="2340"/>
      </w:tblGrid>
      <w:tr w:rsidR="3B48F347" w14:paraId="378F18CD" w14:textId="77777777" w:rsidTr="3B48F347">
        <w:tc>
          <w:tcPr>
            <w:tcW w:w="1900" w:type="dxa"/>
          </w:tcPr>
          <w:p w14:paraId="1582E41C" w14:textId="49B1CAF4" w:rsidR="3B48F347" w:rsidRDefault="3B48F347">
            <w:r w:rsidRPr="3B48F347">
              <w:rPr>
                <w:b/>
                <w:bCs/>
                <w:color w:val="5B3111"/>
              </w:rPr>
              <w:t>Window</w:t>
            </w:r>
          </w:p>
        </w:tc>
        <w:tc>
          <w:tcPr>
            <w:tcW w:w="2340" w:type="dxa"/>
          </w:tcPr>
          <w:p w14:paraId="4F31B62D" w14:textId="428FB1B8" w:rsidR="3B48F347" w:rsidRDefault="3B48F347">
            <w:r w:rsidRPr="3B48F347">
              <w:rPr>
                <w:b/>
                <w:bCs/>
                <w:color w:val="5B3111"/>
              </w:rPr>
              <w:t>Action</w:t>
            </w:r>
          </w:p>
        </w:tc>
        <w:tc>
          <w:tcPr>
            <w:tcW w:w="2340" w:type="dxa"/>
          </w:tcPr>
          <w:p w14:paraId="166E6304" w14:textId="3B6D987C" w:rsidR="3B48F347" w:rsidRDefault="3B48F347">
            <w:r w:rsidRPr="3B48F347">
              <w:rPr>
                <w:b/>
                <w:bCs/>
                <w:color w:val="5B3111"/>
              </w:rPr>
              <w:t>Owner</w:t>
            </w:r>
          </w:p>
        </w:tc>
        <w:tc>
          <w:tcPr>
            <w:tcW w:w="2340" w:type="dxa"/>
          </w:tcPr>
          <w:p w14:paraId="4027010C" w14:textId="344B7F40" w:rsidR="3B48F347" w:rsidRDefault="3B48F347">
            <w:r w:rsidRPr="3B48F347">
              <w:rPr>
                <w:b/>
                <w:bCs/>
                <w:color w:val="5B3111"/>
              </w:rPr>
              <w:t>Completion test</w:t>
            </w:r>
          </w:p>
        </w:tc>
      </w:tr>
      <w:tr w:rsidR="3B48F347" w14:paraId="695C43A7" w14:textId="77777777" w:rsidTr="3B48F347">
        <w:tc>
          <w:tcPr>
            <w:tcW w:w="1900" w:type="dxa"/>
          </w:tcPr>
          <w:p w14:paraId="7F217FCB" w14:textId="4B60DFB5" w:rsidR="3B48F347" w:rsidRDefault="3B48F347">
            <w:r>
              <w:t>Days 1–30 · 3 Sept – 2 Oct 2026</w:t>
            </w:r>
          </w:p>
        </w:tc>
        <w:tc>
          <w:tcPr>
            <w:tcW w:w="2340" w:type="dxa"/>
          </w:tcPr>
          <w:p w14:paraId="67101155" w14:textId="443EC679" w:rsidR="3B48F347" w:rsidRDefault="3B48F347">
            <w:r>
              <w:t>Establish who inside How2Demos owns this account and record it somewhere the workspace can see.</w:t>
            </w:r>
          </w:p>
        </w:tc>
        <w:tc>
          <w:tcPr>
            <w:tcW w:w="2340" w:type="dxa"/>
          </w:tcPr>
          <w:p w14:paraId="2FBD043D" w14:textId="3D1CAD3D" w:rsidR="3B48F347" w:rsidRDefault="3B48F347">
            <w:r>
              <w:t>Bojan Buhac</w:t>
            </w:r>
          </w:p>
        </w:tc>
        <w:tc>
          <w:tcPr>
            <w:tcW w:w="2340" w:type="dxa"/>
          </w:tcPr>
          <w:p w14:paraId="514F75BE" w14:textId="35FA9401" w:rsidR="3B48F347" w:rsidRDefault="3B48F347">
            <w:r>
              <w:t>A named account team exists in writing.</w:t>
            </w:r>
          </w:p>
        </w:tc>
      </w:tr>
      <w:tr w:rsidR="3B48F347" w14:paraId="4A226D02" w14:textId="77777777" w:rsidTr="3B48F347">
        <w:tc>
          <w:tcPr>
            <w:tcW w:w="1900" w:type="dxa"/>
          </w:tcPr>
          <w:p w14:paraId="6B1BDC4C" w14:textId="4D0FF476" w:rsidR="3B48F347" w:rsidRDefault="3B48F347">
            <w:r>
              <w:t xml:space="preserve"> </w:t>
            </w:r>
          </w:p>
        </w:tc>
        <w:tc>
          <w:tcPr>
            <w:tcW w:w="2340" w:type="dxa"/>
          </w:tcPr>
          <w:p w14:paraId="7E3D09FB" w14:textId="45EDDB3A" w:rsidR="3B48F347" w:rsidRDefault="3B48F347">
            <w:r>
              <w:t>Reconstruct the June demo-prep thread: find what was prepared, for whom, and whether any client contact followed.</w:t>
            </w:r>
          </w:p>
        </w:tc>
        <w:tc>
          <w:tcPr>
            <w:tcW w:w="2340" w:type="dxa"/>
          </w:tcPr>
          <w:p w14:paraId="7D916CFE" w14:textId="3ECBC1FE" w:rsidR="3B48F347" w:rsidRDefault="3B48F347">
            <w:r>
              <w:t>Bojan Buhac</w:t>
            </w:r>
          </w:p>
        </w:tc>
        <w:tc>
          <w:tcPr>
            <w:tcW w:w="2340" w:type="dxa"/>
          </w:tcPr>
          <w:p w14:paraId="64353B0C" w14:textId="37A9A8C2" w:rsidR="3B48F347" w:rsidRDefault="3B48F347">
            <w:r>
              <w:t xml:space="preserve">The June activity is either converted into </w:t>
            </w:r>
            <w:proofErr w:type="gramStart"/>
            <w:r>
              <w:t>a live</w:t>
            </w:r>
            <w:proofErr w:type="gramEnd"/>
            <w:r>
              <w:t xml:space="preserve"> contact or formally closed as a dead end.</w:t>
            </w:r>
          </w:p>
        </w:tc>
      </w:tr>
      <w:tr w:rsidR="3B48F347" w14:paraId="476F841D" w14:textId="77777777" w:rsidTr="3B48F347">
        <w:tc>
          <w:tcPr>
            <w:tcW w:w="1900" w:type="dxa"/>
          </w:tcPr>
          <w:p w14:paraId="50F84101" w14:textId="4EBF0937" w:rsidR="3B48F347" w:rsidRDefault="3B48F347">
            <w:r>
              <w:lastRenderedPageBreak/>
              <w:t xml:space="preserve"> </w:t>
            </w:r>
          </w:p>
        </w:tc>
        <w:tc>
          <w:tcPr>
            <w:tcW w:w="2340" w:type="dxa"/>
          </w:tcPr>
          <w:p w14:paraId="7DD3EEB0" w14:textId="479CEFFB" w:rsidR="3B48F347" w:rsidRDefault="3B48F347">
            <w:r>
              <w:t>Build a target contact list against the six public roles in the relationship map and identify a warm path to each.</w:t>
            </w:r>
          </w:p>
        </w:tc>
        <w:tc>
          <w:tcPr>
            <w:tcW w:w="2340" w:type="dxa"/>
          </w:tcPr>
          <w:p w14:paraId="522A8DA9" w14:textId="407AD6BF" w:rsidR="3B48F347" w:rsidRDefault="3B48F347">
            <w:r>
              <w:t>Account team once named</w:t>
            </w:r>
          </w:p>
        </w:tc>
        <w:tc>
          <w:tcPr>
            <w:tcW w:w="2340" w:type="dxa"/>
          </w:tcPr>
          <w:p w14:paraId="5D916C11" w14:textId="3958BD83" w:rsidR="3B48F347" w:rsidRDefault="3B48F347">
            <w:r>
              <w:t>At least two routed introductions attempted.</w:t>
            </w:r>
          </w:p>
        </w:tc>
      </w:tr>
      <w:tr w:rsidR="3B48F347" w14:paraId="2759ED4A" w14:textId="77777777" w:rsidTr="3B48F347">
        <w:tc>
          <w:tcPr>
            <w:tcW w:w="1900" w:type="dxa"/>
          </w:tcPr>
          <w:p w14:paraId="1236CCF9" w14:textId="506E1DF8" w:rsidR="3B48F347" w:rsidRDefault="3B48F347">
            <w:r>
              <w:t xml:space="preserve"> </w:t>
            </w:r>
          </w:p>
        </w:tc>
        <w:tc>
          <w:tcPr>
            <w:tcW w:w="2340" w:type="dxa"/>
          </w:tcPr>
          <w:p w14:paraId="567A72AB" w14:textId="494C04BC" w:rsidR="3B48F347" w:rsidRDefault="3B48F347">
            <w:r>
              <w:t>Connect a pipeline or CRM source to this workspace so opportunity state stops being invisible.</w:t>
            </w:r>
          </w:p>
        </w:tc>
        <w:tc>
          <w:tcPr>
            <w:tcW w:w="2340" w:type="dxa"/>
          </w:tcPr>
          <w:p w14:paraId="776A9B78" w14:textId="4229EB80" w:rsidR="3B48F347" w:rsidRDefault="3B48F347">
            <w:r>
              <w:t>Account team once named</w:t>
            </w:r>
          </w:p>
        </w:tc>
        <w:tc>
          <w:tcPr>
            <w:tcW w:w="2340" w:type="dxa"/>
          </w:tcPr>
          <w:p w14:paraId="30F74FEA" w14:textId="3B07D244" w:rsidR="3B48F347" w:rsidRDefault="3B48F347">
            <w:r>
              <w:t>Opportunity data is queryable rather than assumed.</w:t>
            </w:r>
          </w:p>
        </w:tc>
      </w:tr>
      <w:tr w:rsidR="3B48F347" w14:paraId="7690A3A1" w14:textId="77777777" w:rsidTr="3B48F347">
        <w:tc>
          <w:tcPr>
            <w:tcW w:w="1900" w:type="dxa"/>
          </w:tcPr>
          <w:p w14:paraId="37FDA332" w14:textId="521D32B9" w:rsidR="3B48F347" w:rsidRDefault="3B48F347">
            <w:r>
              <w:t>Days 31–60 · 3 Oct – 1 Nov 2026</w:t>
            </w:r>
          </w:p>
        </w:tc>
        <w:tc>
          <w:tcPr>
            <w:tcW w:w="2340" w:type="dxa"/>
          </w:tcPr>
          <w:p w14:paraId="7D5BC3AC" w14:textId="4AFB197D" w:rsidR="3B48F347" w:rsidRDefault="3B48F347">
            <w:r>
              <w:t>Read the Q3 results release on publication. Track the CRE nonperforming line, the margin and the efficiency ratio against the Q2 baseline in this document.</w:t>
            </w:r>
          </w:p>
        </w:tc>
        <w:tc>
          <w:tcPr>
            <w:tcW w:w="2340" w:type="dxa"/>
          </w:tcPr>
          <w:p w14:paraId="539E6155" w14:textId="43D90041" w:rsidR="3B48F347" w:rsidRDefault="3B48F347">
            <w:r>
              <w:t>Bojan Buhac</w:t>
            </w:r>
          </w:p>
        </w:tc>
        <w:tc>
          <w:tcPr>
            <w:tcW w:w="2340" w:type="dxa"/>
          </w:tcPr>
          <w:p w14:paraId="41FC4FE7" w14:textId="3CB6E705" w:rsidR="3B48F347" w:rsidRDefault="3B48F347">
            <w:r>
              <w:t>A one-page delta against the Q2 scorecard exists within 48 hours of the release.</w:t>
            </w:r>
          </w:p>
        </w:tc>
      </w:tr>
      <w:tr w:rsidR="3B48F347" w14:paraId="3D14DC24" w14:textId="77777777" w:rsidTr="3B48F347">
        <w:tc>
          <w:tcPr>
            <w:tcW w:w="1900" w:type="dxa"/>
          </w:tcPr>
          <w:p w14:paraId="30F70590" w14:textId="53CC477A" w:rsidR="3B48F347" w:rsidRDefault="3B48F347">
            <w:r>
              <w:t xml:space="preserve"> </w:t>
            </w:r>
          </w:p>
        </w:tc>
        <w:tc>
          <w:tcPr>
            <w:tcW w:w="2340" w:type="dxa"/>
          </w:tcPr>
          <w:p w14:paraId="42F0BB4F" w14:textId="4CAA2E3E" w:rsidR="3B48F347" w:rsidRDefault="3B48F347">
            <w:r>
              <w:t>Qualify the cloud and AI opening: establish the actual split of workloads between AWS and Azure and where the agent programme has stalled.</w:t>
            </w:r>
          </w:p>
        </w:tc>
        <w:tc>
          <w:tcPr>
            <w:tcW w:w="2340" w:type="dxa"/>
          </w:tcPr>
          <w:p w14:paraId="1B508DC3" w14:textId="45881502" w:rsidR="3B48F347" w:rsidRDefault="3B48F347">
            <w:r>
              <w:t>Account team once named</w:t>
            </w:r>
          </w:p>
        </w:tc>
        <w:tc>
          <w:tcPr>
            <w:tcW w:w="2340" w:type="dxa"/>
          </w:tcPr>
          <w:p w14:paraId="2CC121A4" w14:textId="3E65FBC6" w:rsidR="3B48F347" w:rsidRDefault="3B48F347">
            <w:r>
              <w:t>A named technical stakeholder has confirmed or corrected the public picture.</w:t>
            </w:r>
          </w:p>
        </w:tc>
      </w:tr>
      <w:tr w:rsidR="3B48F347" w14:paraId="41216AC3" w14:textId="77777777" w:rsidTr="3B48F347">
        <w:tc>
          <w:tcPr>
            <w:tcW w:w="1900" w:type="dxa"/>
          </w:tcPr>
          <w:p w14:paraId="1993ACD2" w14:textId="557B5C3B" w:rsidR="3B48F347" w:rsidRDefault="3B48F347">
            <w:r>
              <w:t xml:space="preserve"> </w:t>
            </w:r>
          </w:p>
        </w:tc>
        <w:tc>
          <w:tcPr>
            <w:tcW w:w="2340" w:type="dxa"/>
          </w:tcPr>
          <w:p w14:paraId="7B8272BF" w14:textId="4E5942FF" w:rsidR="3B48F347" w:rsidRDefault="3B48F347">
            <w:r>
              <w:t>Qualify the business-banking expansion: test whether the new Florida, Georgia, Texas and Arizona teams have unmet tooling or onboarding need.</w:t>
            </w:r>
          </w:p>
        </w:tc>
        <w:tc>
          <w:tcPr>
            <w:tcW w:w="2340" w:type="dxa"/>
          </w:tcPr>
          <w:p w14:paraId="754AA876" w14:textId="473729C3" w:rsidR="3B48F347" w:rsidRDefault="3B48F347">
            <w:r>
              <w:t>Account team once named</w:t>
            </w:r>
          </w:p>
        </w:tc>
        <w:tc>
          <w:tcPr>
            <w:tcW w:w="2340" w:type="dxa"/>
          </w:tcPr>
          <w:p w14:paraId="6634D77E" w14:textId="40151087" w:rsidR="3B48F347" w:rsidRDefault="3B48F347">
            <w:r>
              <w:t>Contact established with someone inside the expansion programme.</w:t>
            </w:r>
          </w:p>
        </w:tc>
      </w:tr>
      <w:tr w:rsidR="3B48F347" w14:paraId="646F7F34" w14:textId="77777777" w:rsidTr="3B48F347">
        <w:tc>
          <w:tcPr>
            <w:tcW w:w="1900" w:type="dxa"/>
          </w:tcPr>
          <w:p w14:paraId="1BFF9D6C" w14:textId="572A70FC" w:rsidR="3B48F347" w:rsidRDefault="3B48F347">
            <w:r>
              <w:t xml:space="preserve"> </w:t>
            </w:r>
          </w:p>
        </w:tc>
        <w:tc>
          <w:tcPr>
            <w:tcW w:w="2340" w:type="dxa"/>
          </w:tcPr>
          <w:p w14:paraId="36AE67B1" w14:textId="500857C0" w:rsidR="3B48F347" w:rsidRDefault="3B48F347">
            <w:r>
              <w:t>Qualify the BTIG integration for platform and data work not visible in public commentary.</w:t>
            </w:r>
          </w:p>
        </w:tc>
        <w:tc>
          <w:tcPr>
            <w:tcW w:w="2340" w:type="dxa"/>
          </w:tcPr>
          <w:p w14:paraId="78115678" w14:textId="48E63E84" w:rsidR="3B48F347" w:rsidRDefault="3B48F347">
            <w:r>
              <w:t>Account team once named</w:t>
            </w:r>
          </w:p>
        </w:tc>
        <w:tc>
          <w:tcPr>
            <w:tcW w:w="2340" w:type="dxa"/>
          </w:tcPr>
          <w:p w14:paraId="1F0027F9" w14:textId="41C42548" w:rsidR="3B48F347" w:rsidRDefault="3B48F347">
            <w:r>
              <w:t>Integration scope understood well enough to size or discount.</w:t>
            </w:r>
          </w:p>
        </w:tc>
      </w:tr>
      <w:tr w:rsidR="3B48F347" w14:paraId="198093ED" w14:textId="77777777" w:rsidTr="3B48F347">
        <w:tc>
          <w:tcPr>
            <w:tcW w:w="1900" w:type="dxa"/>
          </w:tcPr>
          <w:p w14:paraId="2C9F230D" w14:textId="58D985BD" w:rsidR="3B48F347" w:rsidRDefault="3B48F347">
            <w:r>
              <w:t>Days 61–90 · 2 Nov – 1 Dec 2026</w:t>
            </w:r>
          </w:p>
        </w:tc>
        <w:tc>
          <w:tcPr>
            <w:tcW w:w="2340" w:type="dxa"/>
          </w:tcPr>
          <w:p w14:paraId="25AB78DE" w14:textId="51B76C81" w:rsidR="3B48F347" w:rsidRDefault="3B48F347">
            <w:r>
              <w:t>Convert the strongest of the three qualified openings into a written proposal grounded in fee income or efficiency, the levers this balance sheet depends on.</w:t>
            </w:r>
          </w:p>
        </w:tc>
        <w:tc>
          <w:tcPr>
            <w:tcW w:w="2340" w:type="dxa"/>
          </w:tcPr>
          <w:p w14:paraId="7B66CE72" w14:textId="4A955345" w:rsidR="3B48F347" w:rsidRDefault="3B48F347">
            <w:r>
              <w:t>Account team once named</w:t>
            </w:r>
          </w:p>
        </w:tc>
        <w:tc>
          <w:tcPr>
            <w:tcW w:w="2340" w:type="dxa"/>
          </w:tcPr>
          <w:p w14:paraId="7AE25F5D" w14:textId="43733A09" w:rsidR="3B48F347" w:rsidRDefault="3B48F347">
            <w:r>
              <w:t>One proposal submitted.</w:t>
            </w:r>
          </w:p>
        </w:tc>
      </w:tr>
      <w:tr w:rsidR="3B48F347" w14:paraId="4436CADB" w14:textId="77777777" w:rsidTr="3B48F347">
        <w:tc>
          <w:tcPr>
            <w:tcW w:w="1900" w:type="dxa"/>
          </w:tcPr>
          <w:p w14:paraId="7F50C9C3" w14:textId="5A889A7E" w:rsidR="3B48F347" w:rsidRDefault="3B48F347">
            <w:r>
              <w:t xml:space="preserve"> </w:t>
            </w:r>
          </w:p>
        </w:tc>
        <w:tc>
          <w:tcPr>
            <w:tcW w:w="2340" w:type="dxa"/>
          </w:tcPr>
          <w:p w14:paraId="6883FFCA" w14:textId="53668142" w:rsidR="3B48F347" w:rsidRDefault="3B48F347">
            <w:r>
              <w:t xml:space="preserve">Secure an executive </w:t>
            </w:r>
            <w:r>
              <w:lastRenderedPageBreak/>
              <w:t>sponsor on the client side and confirm one on ours.</w:t>
            </w:r>
          </w:p>
        </w:tc>
        <w:tc>
          <w:tcPr>
            <w:tcW w:w="2340" w:type="dxa"/>
          </w:tcPr>
          <w:p w14:paraId="1E4395B0" w14:textId="4C446806" w:rsidR="3B48F347" w:rsidRDefault="3B48F347">
            <w:r>
              <w:lastRenderedPageBreak/>
              <w:t xml:space="preserve">Account team once </w:t>
            </w:r>
            <w:r>
              <w:lastRenderedPageBreak/>
              <w:t>named</w:t>
            </w:r>
          </w:p>
        </w:tc>
        <w:tc>
          <w:tcPr>
            <w:tcW w:w="2340" w:type="dxa"/>
          </w:tcPr>
          <w:p w14:paraId="1880C1EE" w14:textId="45224ECA" w:rsidR="3B48F347" w:rsidRDefault="3B48F347">
            <w:r>
              <w:lastRenderedPageBreak/>
              <w:t>Both sponsors named.</w:t>
            </w:r>
          </w:p>
        </w:tc>
      </w:tr>
      <w:tr w:rsidR="3B48F347" w14:paraId="782DA64A" w14:textId="77777777" w:rsidTr="3B48F347">
        <w:tc>
          <w:tcPr>
            <w:tcW w:w="1900" w:type="dxa"/>
          </w:tcPr>
          <w:p w14:paraId="797192B8" w14:textId="5C37AF3F" w:rsidR="3B48F347" w:rsidRDefault="3B48F347">
            <w:r>
              <w:t xml:space="preserve"> </w:t>
            </w:r>
          </w:p>
        </w:tc>
        <w:tc>
          <w:tcPr>
            <w:tcW w:w="2340" w:type="dxa"/>
          </w:tcPr>
          <w:p w14:paraId="36915C79" w14:textId="55159603" w:rsidR="3B48F347" w:rsidRDefault="3B48F347">
            <w:r>
              <w:t>Refresh this plan against Q3 actuals and whatever internal record now exists.</w:t>
            </w:r>
          </w:p>
        </w:tc>
        <w:tc>
          <w:tcPr>
            <w:tcW w:w="2340" w:type="dxa"/>
          </w:tcPr>
          <w:p w14:paraId="48A0F8C9" w14:textId="4DF37CC7" w:rsidR="3B48F347" w:rsidRDefault="3B48F347">
            <w:r>
              <w:t>Bojan Buhac</w:t>
            </w:r>
          </w:p>
        </w:tc>
        <w:tc>
          <w:tcPr>
            <w:tcW w:w="2340" w:type="dxa"/>
          </w:tcPr>
          <w:p w14:paraId="696F058E" w14:textId="46D1638B" w:rsidR="3B48F347" w:rsidRDefault="3B48F347">
            <w:r>
              <w:t>A second version supersedes this one.</w:t>
            </w:r>
          </w:p>
        </w:tc>
      </w:tr>
      <w:tr w:rsidR="3B48F347" w14:paraId="2BA90420" w14:textId="77777777" w:rsidTr="3B48F347">
        <w:tc>
          <w:tcPr>
            <w:tcW w:w="1900" w:type="dxa"/>
          </w:tcPr>
          <w:p w14:paraId="1CAF6B12" w14:textId="5DE6C400" w:rsidR="3B48F347" w:rsidRDefault="3B48F347">
            <w:r>
              <w:t xml:space="preserve"> </w:t>
            </w:r>
          </w:p>
        </w:tc>
        <w:tc>
          <w:tcPr>
            <w:tcW w:w="2340" w:type="dxa"/>
          </w:tcPr>
          <w:p w14:paraId="31C5EDB2" w14:textId="56C4AAC4" w:rsidR="3B48F347" w:rsidRDefault="3B48F347">
            <w:r>
              <w:t xml:space="preserve">Decide explicitly whether this account justifies continued </w:t>
            </w:r>
            <w:proofErr w:type="gramStart"/>
            <w:r>
              <w:t>investment, and</w:t>
            </w:r>
            <w:proofErr w:type="gramEnd"/>
            <w:r>
              <w:t xml:space="preserve"> record the reasoning either way.</w:t>
            </w:r>
          </w:p>
        </w:tc>
        <w:tc>
          <w:tcPr>
            <w:tcW w:w="2340" w:type="dxa"/>
          </w:tcPr>
          <w:p w14:paraId="2A70F066" w14:textId="4FA29188" w:rsidR="3B48F347" w:rsidRDefault="3B48F347">
            <w:r>
              <w:t>Bojan Buhac</w:t>
            </w:r>
          </w:p>
        </w:tc>
        <w:tc>
          <w:tcPr>
            <w:tcW w:w="2340" w:type="dxa"/>
          </w:tcPr>
          <w:p w14:paraId="27E638D3" w14:textId="4880784C" w:rsidR="3B48F347" w:rsidRDefault="3B48F347">
            <w:r>
              <w:t>A documented go or no-go decision.</w:t>
            </w:r>
          </w:p>
        </w:tc>
      </w:tr>
    </w:tbl>
    <w:p w14:paraId="1411DBAB" w14:textId="74AC3D21" w:rsidR="3B48F347" w:rsidRDefault="3B48F347" w:rsidP="3B48F347">
      <w:pPr>
        <w:pStyle w:val="Heading1"/>
      </w:pPr>
      <w:r w:rsidRPr="3B48F347">
        <w:rPr>
          <w:color w:val="5B3111"/>
          <w:sz w:val="36"/>
          <w:szCs w:val="36"/>
        </w:rPr>
        <w:t>Sources</w:t>
      </w:r>
    </w:p>
    <w:p w14:paraId="3153B550" w14:textId="6451A244" w:rsidR="3B48F347" w:rsidRDefault="3B48F347">
      <w:r w:rsidRPr="3B48F347">
        <w:t>Internal sources are listed first because their absence is itself a finding. External sources follow, each with the date of publication. Where a claim rests on a single source, that is stated in the notes at the end.</w:t>
      </w:r>
    </w:p>
    <w:p w14:paraId="63D86B38" w14:textId="2C52FFDA" w:rsidR="3B48F347" w:rsidRDefault="3B48F347" w:rsidP="3B48F347">
      <w:pPr>
        <w:pStyle w:val="Heading2"/>
      </w:pPr>
      <w:r w:rsidRPr="3B48F347">
        <w:rPr>
          <w:color w:val="5B3111"/>
        </w:rPr>
        <w:t>Internal (Microsoft 365)</w:t>
      </w:r>
    </w:p>
    <w:tbl>
      <w:tblPr>
        <w:tblStyle w:val="TableGrid"/>
        <w:tblW w:w="0" w:type="auto"/>
        <w:tblLook w:val="0000" w:firstRow="0" w:lastRow="0" w:firstColumn="0" w:lastColumn="0" w:noHBand="0" w:noVBand="0"/>
      </w:tblPr>
      <w:tblGrid>
        <w:gridCol w:w="4680"/>
        <w:gridCol w:w="4680"/>
      </w:tblGrid>
      <w:tr w:rsidR="3B48F347" w14:paraId="196B7E84" w14:textId="77777777" w:rsidTr="3B48F347">
        <w:tc>
          <w:tcPr>
            <w:tcW w:w="4680" w:type="dxa"/>
          </w:tcPr>
          <w:p w14:paraId="6C110FEF" w14:textId="7F7C6733" w:rsidR="3B48F347" w:rsidRDefault="3B48F347">
            <w:r w:rsidRPr="3B48F347">
              <w:rPr>
                <w:b/>
                <w:bCs/>
                <w:color w:val="5B3111"/>
              </w:rPr>
              <w:t>Source searched</w:t>
            </w:r>
          </w:p>
        </w:tc>
        <w:tc>
          <w:tcPr>
            <w:tcW w:w="4680" w:type="dxa"/>
          </w:tcPr>
          <w:p w14:paraId="7D288D6F" w14:textId="785A4DF7" w:rsidR="3B48F347" w:rsidRDefault="3B48F347">
            <w:r w:rsidRPr="3B48F347">
              <w:rPr>
                <w:b/>
                <w:bCs/>
                <w:color w:val="5B3111"/>
              </w:rPr>
              <w:t>Result</w:t>
            </w:r>
          </w:p>
        </w:tc>
      </w:tr>
      <w:tr w:rsidR="3B48F347" w14:paraId="3C519425" w14:textId="77777777" w:rsidTr="3B48F347">
        <w:tc>
          <w:tcPr>
            <w:tcW w:w="4680" w:type="dxa"/>
          </w:tcPr>
          <w:p w14:paraId="542ED4F4" w14:textId="0F6FAE6C" w:rsidR="3B48F347" w:rsidRDefault="3B48F347">
            <w:r>
              <w:t>Outlook mail, inbox and sent items, 1 July – 3 September 2026</w:t>
            </w:r>
          </w:p>
        </w:tc>
        <w:tc>
          <w:tcPr>
            <w:tcW w:w="4680" w:type="dxa"/>
          </w:tcPr>
          <w:p w14:paraId="7FD7D8AB" w14:textId="084D9530" w:rsidR="3B48F347" w:rsidRDefault="3B48F347">
            <w:r>
              <w:t>No correspondence with the account. Traffic in the period is automated plan-approval and administrative notification only.</w:t>
            </w:r>
          </w:p>
        </w:tc>
      </w:tr>
      <w:tr w:rsidR="3B48F347" w14:paraId="51B4BFE8" w14:textId="77777777" w:rsidTr="3B48F347">
        <w:tc>
          <w:tcPr>
            <w:tcW w:w="4680" w:type="dxa"/>
          </w:tcPr>
          <w:p w14:paraId="5C060025" w14:textId="1F62F5A5" w:rsidR="3B48F347" w:rsidRDefault="3B48F347">
            <w:r>
              <w:t>Outlook calendar, 1 July – 3 September 2026</w:t>
            </w:r>
          </w:p>
        </w:tc>
        <w:tc>
          <w:tcPr>
            <w:tcW w:w="4680" w:type="dxa"/>
          </w:tcPr>
          <w:p w14:paraId="2C882300" w14:textId="1840DC69" w:rsidR="3B48F347" w:rsidRDefault="3B48F347">
            <w:r>
              <w:t>No events.</w:t>
            </w:r>
          </w:p>
        </w:tc>
      </w:tr>
      <w:tr w:rsidR="3B48F347" w14:paraId="29E9F8AC" w14:textId="77777777" w:rsidTr="3B48F347">
        <w:tc>
          <w:tcPr>
            <w:tcW w:w="4680" w:type="dxa"/>
          </w:tcPr>
          <w:p w14:paraId="1A39D211" w14:textId="2F563CDE" w:rsidR="3B48F347" w:rsidRDefault="3B48F347">
            <w:r>
              <w:t>Teams chats and channels, including the Sales team's Prospects Insights channel</w:t>
            </w:r>
          </w:p>
        </w:tc>
        <w:tc>
          <w:tcPr>
            <w:tcW w:w="4680" w:type="dxa"/>
          </w:tcPr>
          <w:p w14:paraId="2A3A0FFF" w14:textId="283423A2" w:rsidR="3B48F347" w:rsidRDefault="3B48F347">
            <w:r>
              <w:t>No mention of the account.</w:t>
            </w:r>
          </w:p>
        </w:tc>
      </w:tr>
      <w:tr w:rsidR="3B48F347" w14:paraId="39DDB505" w14:textId="77777777" w:rsidTr="3B48F347">
        <w:tc>
          <w:tcPr>
            <w:tcW w:w="4680" w:type="dxa"/>
          </w:tcPr>
          <w:p w14:paraId="10B9D5E7" w14:textId="3F498417" w:rsidR="3B48F347" w:rsidRDefault="3B48F347">
            <w:r>
              <w:t>Meeting transcripts, June 2026 onward</w:t>
            </w:r>
          </w:p>
        </w:tc>
        <w:tc>
          <w:tcPr>
            <w:tcW w:w="4680" w:type="dxa"/>
          </w:tcPr>
          <w:p w14:paraId="7A763386" w14:textId="38276ADB" w:rsidR="3B48F347" w:rsidRDefault="3B48F347">
            <w:proofErr w:type="gramStart"/>
            <w:r>
              <w:t>None available</w:t>
            </w:r>
            <w:proofErr w:type="gramEnd"/>
            <w:r>
              <w:t>.</w:t>
            </w:r>
          </w:p>
        </w:tc>
      </w:tr>
      <w:tr w:rsidR="3B48F347" w14:paraId="1D65F41F" w14:textId="77777777" w:rsidTr="3B48F347">
        <w:tc>
          <w:tcPr>
            <w:tcW w:w="4680" w:type="dxa"/>
          </w:tcPr>
          <w:p w14:paraId="1191B920" w14:textId="4F3CCB50" w:rsidR="3B48F347" w:rsidRDefault="3B48F347">
            <w:r>
              <w:t>SharePoint and OneDrive</w:t>
            </w:r>
          </w:p>
        </w:tc>
        <w:tc>
          <w:tcPr>
            <w:tcW w:w="4680" w:type="dxa"/>
          </w:tcPr>
          <w:p w14:paraId="793BF792" w14:textId="481AB214" w:rsidR="3B48F347" w:rsidRDefault="3B48F347">
            <w:r>
              <w:t>No working files. One privileged-access notification dated 2 June 2026 carries the justification “Customer demo prep - US Bank”. One account plan file generated earlier on 3 September 2026, not used as evidence here.</w:t>
            </w:r>
          </w:p>
        </w:tc>
      </w:tr>
    </w:tbl>
    <w:p w14:paraId="47D63B7E" w14:textId="2270A100" w:rsidR="3B48F347" w:rsidRDefault="3B48F347" w:rsidP="3B48F347">
      <w:pPr>
        <w:pStyle w:val="Heading2"/>
      </w:pPr>
      <w:r w:rsidRPr="3B48F347">
        <w:rPr>
          <w:color w:val="5B3111"/>
        </w:rPr>
        <w:t>External (public web)</w:t>
      </w:r>
    </w:p>
    <w:tbl>
      <w:tblPr>
        <w:tblStyle w:val="TableGrid"/>
        <w:tblW w:w="0" w:type="auto"/>
        <w:tblLook w:val="0000" w:firstRow="0" w:lastRow="0" w:firstColumn="0" w:lastColumn="0" w:noHBand="0" w:noVBand="0"/>
      </w:tblPr>
      <w:tblGrid>
        <w:gridCol w:w="1743"/>
        <w:gridCol w:w="1588"/>
        <w:gridCol w:w="6245"/>
      </w:tblGrid>
      <w:tr w:rsidR="3B48F347" w14:paraId="6472079C" w14:textId="77777777" w:rsidTr="3B48F347">
        <w:tc>
          <w:tcPr>
            <w:tcW w:w="3120" w:type="dxa"/>
          </w:tcPr>
          <w:p w14:paraId="193E4572" w14:textId="50EBE011" w:rsidR="3B48F347" w:rsidRDefault="3B48F347">
            <w:r w:rsidRPr="3B48F347">
              <w:rPr>
                <w:b/>
                <w:bCs/>
                <w:color w:val="5B3111"/>
              </w:rPr>
              <w:t>Publisher and date</w:t>
            </w:r>
          </w:p>
        </w:tc>
        <w:tc>
          <w:tcPr>
            <w:tcW w:w="3120" w:type="dxa"/>
          </w:tcPr>
          <w:p w14:paraId="7A3A34B9" w14:textId="49C9C6D5" w:rsidR="3B48F347" w:rsidRDefault="3B48F347">
            <w:r w:rsidRPr="3B48F347">
              <w:rPr>
                <w:b/>
                <w:bCs/>
                <w:color w:val="5B3111"/>
              </w:rPr>
              <w:t>Used for</w:t>
            </w:r>
          </w:p>
        </w:tc>
        <w:tc>
          <w:tcPr>
            <w:tcW w:w="3120" w:type="dxa"/>
          </w:tcPr>
          <w:p w14:paraId="6FEE1EE7" w14:textId="42A7AD99" w:rsidR="3B48F347" w:rsidRDefault="3B48F347">
            <w:r w:rsidRPr="3B48F347">
              <w:rPr>
                <w:b/>
                <w:bCs/>
                <w:color w:val="5B3111"/>
              </w:rPr>
              <w:t>Location</w:t>
            </w:r>
          </w:p>
        </w:tc>
      </w:tr>
      <w:tr w:rsidR="3B48F347" w14:paraId="4031AA15" w14:textId="77777777" w:rsidTr="3B48F347">
        <w:tc>
          <w:tcPr>
            <w:tcW w:w="3120" w:type="dxa"/>
          </w:tcPr>
          <w:p w14:paraId="5EBC49F6" w14:textId="59BD0E0E" w:rsidR="3B48F347" w:rsidRDefault="3B48F347">
            <w:r>
              <w:t>U.S. Bancorp press release, 16 July 2026</w:t>
            </w:r>
          </w:p>
        </w:tc>
        <w:tc>
          <w:tcPr>
            <w:tcW w:w="3120" w:type="dxa"/>
          </w:tcPr>
          <w:p w14:paraId="38E26B5C" w14:textId="529AF4D2" w:rsidR="3B48F347" w:rsidRDefault="3B48F347">
            <w:r>
              <w:t>Q2 2026 results, BTIG contribution, Elavon All-In-One, record consumer deposits</w:t>
            </w:r>
          </w:p>
        </w:tc>
        <w:tc>
          <w:tcPr>
            <w:tcW w:w="3120" w:type="dxa"/>
          </w:tcPr>
          <w:p w14:paraId="683ED517" w14:textId="4B78DB96" w:rsidR="3B48F347" w:rsidRDefault="3B48F347">
            <w:r>
              <w:t>usbank.com/about-us-bank/news-and-stories/article-library/us-bancorp-reports-second-quarter-2026-results.html</w:t>
            </w:r>
          </w:p>
        </w:tc>
      </w:tr>
      <w:tr w:rsidR="3B48F347" w14:paraId="23502617" w14:textId="77777777" w:rsidTr="3B48F347">
        <w:tc>
          <w:tcPr>
            <w:tcW w:w="3120" w:type="dxa"/>
          </w:tcPr>
          <w:p w14:paraId="7979BBC9" w14:textId="628E3C0B" w:rsidR="3B48F347" w:rsidRDefault="3B48F347">
            <w:r>
              <w:t>Zacks via Yahoo Finance, 16 July 2026</w:t>
            </w:r>
          </w:p>
        </w:tc>
        <w:tc>
          <w:tcPr>
            <w:tcW w:w="3120" w:type="dxa"/>
          </w:tcPr>
          <w:p w14:paraId="206AD652" w14:textId="5B6C22CF" w:rsidR="3B48F347" w:rsidRDefault="3B48F347">
            <w:r>
              <w:t xml:space="preserve">Q2 beat margins, fee income, </w:t>
            </w:r>
            <w:r>
              <w:lastRenderedPageBreak/>
              <w:t>expense, provision and charge-off detail</w:t>
            </w:r>
          </w:p>
        </w:tc>
        <w:tc>
          <w:tcPr>
            <w:tcW w:w="3120" w:type="dxa"/>
          </w:tcPr>
          <w:p w14:paraId="30271BEB" w14:textId="544A0993" w:rsidR="3B48F347" w:rsidRDefault="3B48F347">
            <w:r>
              <w:lastRenderedPageBreak/>
              <w:t>finance.yahoo.com/markets/stocks/articles/u-bancorp-q2-earnings-beat-145500862.html</w:t>
            </w:r>
          </w:p>
        </w:tc>
      </w:tr>
      <w:tr w:rsidR="3B48F347" w14:paraId="3F6D894A" w14:textId="77777777" w:rsidTr="3B48F347">
        <w:tc>
          <w:tcPr>
            <w:tcW w:w="3120" w:type="dxa"/>
          </w:tcPr>
          <w:p w14:paraId="7766F787" w14:textId="6B5F6A08" w:rsidR="3B48F347" w:rsidRDefault="3B48F347">
            <w:r>
              <w:t>U.S. Bancorp press release, 20 January 2026</w:t>
            </w:r>
          </w:p>
        </w:tc>
        <w:tc>
          <w:tcPr>
            <w:tcW w:w="3120" w:type="dxa"/>
          </w:tcPr>
          <w:p w14:paraId="513FC20B" w14:textId="643D50CC" w:rsidR="3B48F347" w:rsidRDefault="3B48F347">
            <w:r>
              <w:t>Q4 2025 results and the stablecoin pilot</w:t>
            </w:r>
          </w:p>
        </w:tc>
        <w:tc>
          <w:tcPr>
            <w:tcW w:w="3120" w:type="dxa"/>
          </w:tcPr>
          <w:p w14:paraId="54CAA36F" w14:textId="5D1B3790" w:rsidR="3B48F347" w:rsidRDefault="3B48F347">
            <w:r>
              <w:t>usbank.com/about-us-bank/news-and-stories/article-library/us-bancorp-reports-fourth-quarter-2025-results.html</w:t>
            </w:r>
          </w:p>
        </w:tc>
      </w:tr>
      <w:tr w:rsidR="3B48F347" w14:paraId="1AC81634" w14:textId="77777777" w:rsidTr="3B48F347">
        <w:tc>
          <w:tcPr>
            <w:tcW w:w="3120" w:type="dxa"/>
          </w:tcPr>
          <w:p w14:paraId="4D29837C" w14:textId="74309805" w:rsidR="3B48F347" w:rsidRDefault="3B48F347">
            <w:r>
              <w:t>U.S. Bancorp 2025 Annual Report</w:t>
            </w:r>
          </w:p>
        </w:tc>
        <w:tc>
          <w:tcPr>
            <w:tcW w:w="3120" w:type="dxa"/>
          </w:tcPr>
          <w:p w14:paraId="7284B9B7" w14:textId="6D0E7EC9" w:rsidR="3B48F347" w:rsidRDefault="3B48F347">
            <w:r>
              <w:t>Full-year 2025 net income and EPS, BTIG agreement</w:t>
            </w:r>
          </w:p>
        </w:tc>
        <w:tc>
          <w:tcPr>
            <w:tcW w:w="3120" w:type="dxa"/>
          </w:tcPr>
          <w:p w14:paraId="1E7BE5FF" w14:textId="65EC658D" w:rsidR="3B48F347" w:rsidRDefault="3B48F347">
            <w:r>
              <w:t>usbank.com/content/dam/usbank/en/documents/pdfs/about-us-bank/2025-annual-report.pdf</w:t>
            </w:r>
          </w:p>
        </w:tc>
      </w:tr>
      <w:tr w:rsidR="3B48F347" w14:paraId="78383807" w14:textId="77777777" w:rsidTr="3B48F347">
        <w:tc>
          <w:tcPr>
            <w:tcW w:w="3120" w:type="dxa"/>
          </w:tcPr>
          <w:p w14:paraId="1B4FEF00" w14:textId="7D01C602" w:rsidR="3B48F347" w:rsidRDefault="3B48F347">
            <w:r>
              <w:t>Investing.com recap of Q1 2026 investor slides, 24 April 2026</w:t>
            </w:r>
          </w:p>
        </w:tc>
        <w:tc>
          <w:tcPr>
            <w:tcW w:w="3120" w:type="dxa"/>
          </w:tcPr>
          <w:p w14:paraId="370139C7" w14:textId="75DFACC6" w:rsidR="3B48F347" w:rsidRDefault="3B48F347">
            <w:r>
              <w:t>Q1 2026 metrics, medium-term targets, California and business-banking scale, expense mix, Basel III relief estimate</w:t>
            </w:r>
          </w:p>
        </w:tc>
        <w:tc>
          <w:tcPr>
            <w:tcW w:w="3120" w:type="dxa"/>
          </w:tcPr>
          <w:p w14:paraId="70F7C3DF" w14:textId="6EBD938A" w:rsidR="3B48F347" w:rsidRDefault="3B48F347">
            <w:r>
              <w:t>investing.com/news/company-news/us-bancorp-q1-2026-slides-doubledigit-eps-growth-efficiency-gains-93CH-4636496</w:t>
            </w:r>
          </w:p>
        </w:tc>
      </w:tr>
      <w:tr w:rsidR="3B48F347" w14:paraId="5181C7C6" w14:textId="77777777" w:rsidTr="3B48F347">
        <w:tc>
          <w:tcPr>
            <w:tcW w:w="3120" w:type="dxa"/>
          </w:tcPr>
          <w:p w14:paraId="3AF4A1D0" w14:textId="05D2F3FF" w:rsidR="3B48F347" w:rsidRDefault="3B48F347">
            <w:r>
              <w:t>FinAi News, 16 April 2026</w:t>
            </w:r>
          </w:p>
        </w:tc>
        <w:tc>
          <w:tcPr>
            <w:tcW w:w="3120" w:type="dxa"/>
          </w:tcPr>
          <w:p w14:paraId="7D4E3BBC" w14:textId="7EB0DAC3" w:rsidR="3B48F347" w:rsidRDefault="3B48F347">
            <w:r>
              <w:t>Kedia's stated priorities and the AI-native quote, CFO Stern on operating leverage, technology expense</w:t>
            </w:r>
          </w:p>
        </w:tc>
        <w:tc>
          <w:tcPr>
            <w:tcW w:w="3120" w:type="dxa"/>
          </w:tcPr>
          <w:p w14:paraId="1D700659" w14:textId="778EC187" w:rsidR="3B48F347" w:rsidRDefault="3B48F347">
            <w:r>
              <w:t>finainews.com/banking/u-s-bank-ceo-breaks-down-top-priorities-including-ai-native-efforts</w:t>
            </w:r>
          </w:p>
        </w:tc>
      </w:tr>
      <w:tr w:rsidR="3B48F347" w14:paraId="27273D05" w14:textId="77777777" w:rsidTr="3B48F347">
        <w:tc>
          <w:tcPr>
            <w:tcW w:w="3120" w:type="dxa"/>
          </w:tcPr>
          <w:p w14:paraId="1B966C1F" w14:textId="0EA421FC" w:rsidR="3B48F347" w:rsidRDefault="3B48F347">
            <w:r>
              <w:t>Investing.com BancAnalysts conference transcript, 7 November 2025</w:t>
            </w:r>
          </w:p>
        </w:tc>
        <w:tc>
          <w:tcPr>
            <w:tcW w:w="3120" w:type="dxa"/>
          </w:tcPr>
          <w:p w14:paraId="4FA2BB4A" w14:textId="078208C0" w:rsidR="3B48F347" w:rsidRDefault="3B48F347">
            <w:proofErr w:type="gramStart"/>
            <w:r>
              <w:t>Payments</w:t>
            </w:r>
            <w:proofErr w:type="gramEnd"/>
            <w:r>
              <w:t xml:space="preserve"> share of revenue, Elavon and issuing ranks, purchase volume, fee share, marketing and distribution strategy</w:t>
            </w:r>
          </w:p>
        </w:tc>
        <w:tc>
          <w:tcPr>
            <w:tcW w:w="3120" w:type="dxa"/>
          </w:tcPr>
          <w:p w14:paraId="24AA1644" w14:textId="005FEF84" w:rsidR="3B48F347" w:rsidRDefault="3B48F347">
            <w:r>
              <w:t>investing.com/news/transcripts/us-bancorp-at-the-bancanalysts-conference-payments-strategy-in-focus-93CH-4343250</w:t>
            </w:r>
          </w:p>
        </w:tc>
      </w:tr>
      <w:tr w:rsidR="3B48F347" w14:paraId="11CC52B7" w14:textId="77777777" w:rsidTr="3B48F347">
        <w:tc>
          <w:tcPr>
            <w:tcW w:w="3120" w:type="dxa"/>
          </w:tcPr>
          <w:p w14:paraId="77B70E6A" w14:textId="17754FF9" w:rsidR="3B48F347" w:rsidRDefault="3B48F347">
            <w:r>
              <w:t>Banking Dive, 12 May 2026</w:t>
            </w:r>
          </w:p>
        </w:tc>
        <w:tc>
          <w:tcPr>
            <w:tcW w:w="3120" w:type="dxa"/>
          </w:tcPr>
          <w:p w14:paraId="2455C7F0" w14:textId="105336BD" w:rsidR="3B48F347" w:rsidRDefault="3B48F347">
            <w:r>
              <w:t xml:space="preserve">AWS migration, Bedrock and Connect, Bingenheimer quote, KPMG </w:t>
            </w:r>
            <w:r>
              <w:lastRenderedPageBreak/>
              <w:t>sector AI spend benchmark</w:t>
            </w:r>
          </w:p>
        </w:tc>
        <w:tc>
          <w:tcPr>
            <w:tcW w:w="3120" w:type="dxa"/>
          </w:tcPr>
          <w:p w14:paraId="5BF20B82" w14:textId="09311D81" w:rsidR="3B48F347" w:rsidRDefault="3B48F347">
            <w:r>
              <w:lastRenderedPageBreak/>
              <w:t>bankingdive.com/news/us-bank-shifts-critical-apps-aws-ai-push/819964</w:t>
            </w:r>
          </w:p>
        </w:tc>
      </w:tr>
      <w:tr w:rsidR="3B48F347" w14:paraId="7CF3022D" w14:textId="77777777" w:rsidTr="3B48F347">
        <w:tc>
          <w:tcPr>
            <w:tcW w:w="3120" w:type="dxa"/>
          </w:tcPr>
          <w:p w14:paraId="543713E8" w14:textId="20467DF6" w:rsidR="3B48F347" w:rsidRDefault="3B48F347">
            <w:r>
              <w:t>U.S. Bank investor relations, 22 February 2022</w:t>
            </w:r>
          </w:p>
        </w:tc>
        <w:tc>
          <w:tcPr>
            <w:tcW w:w="3120" w:type="dxa"/>
          </w:tcPr>
          <w:p w14:paraId="19B90A9C" w14:textId="192464BA" w:rsidR="3B48F347" w:rsidRDefault="3B48F347">
            <w:r>
              <w:t>Microsoft Azure named primary cloud provider</w:t>
            </w:r>
          </w:p>
        </w:tc>
        <w:tc>
          <w:tcPr>
            <w:tcW w:w="3120" w:type="dxa"/>
          </w:tcPr>
          <w:p w14:paraId="65A60CB2" w14:textId="12024B7E" w:rsidR="3B48F347" w:rsidRDefault="3B48F347">
            <w:r>
              <w:t>ir.usbank.com/news-</w:t>
            </w:r>
            <w:proofErr w:type="gramStart"/>
            <w:r>
              <w:t>events/news</w:t>
            </w:r>
            <w:proofErr w:type="gramEnd"/>
            <w:r>
              <w:t>/news-details/2022</w:t>
            </w:r>
          </w:p>
        </w:tc>
      </w:tr>
      <w:tr w:rsidR="3B48F347" w14:paraId="74CBF07A" w14:textId="77777777" w:rsidTr="3B48F347">
        <w:tc>
          <w:tcPr>
            <w:tcW w:w="3120" w:type="dxa"/>
          </w:tcPr>
          <w:p w14:paraId="6F9551F5" w14:textId="2917ABF3" w:rsidR="3B48F347" w:rsidRDefault="3B48F347">
            <w:r>
              <w:t>U.S. Bank investor relations, 31 August 2026</w:t>
            </w:r>
          </w:p>
        </w:tc>
        <w:tc>
          <w:tcPr>
            <w:tcW w:w="3120" w:type="dxa"/>
          </w:tcPr>
          <w:p w14:paraId="64BBC440" w14:textId="21F592B7" w:rsidR="3B48F347" w:rsidRDefault="3B48F347">
            <w:r>
              <w:t>Business-banking expansion into Florida, Georgia, Texas and Arizona</w:t>
            </w:r>
          </w:p>
        </w:tc>
        <w:tc>
          <w:tcPr>
            <w:tcW w:w="3120" w:type="dxa"/>
          </w:tcPr>
          <w:p w14:paraId="292BCC2C" w14:textId="1AD3797B" w:rsidR="3B48F347" w:rsidRDefault="3B48F347">
            <w:r>
              <w:t>ir.usbank.com/news-</w:t>
            </w:r>
            <w:proofErr w:type="gramStart"/>
            <w:r>
              <w:t>events/news</w:t>
            </w:r>
            <w:proofErr w:type="gramEnd"/>
            <w:r>
              <w:t>/news-details/2026</w:t>
            </w:r>
          </w:p>
        </w:tc>
      </w:tr>
      <w:tr w:rsidR="3B48F347" w14:paraId="557612DB" w14:textId="77777777" w:rsidTr="3B48F347">
        <w:tc>
          <w:tcPr>
            <w:tcW w:w="3120" w:type="dxa"/>
          </w:tcPr>
          <w:p w14:paraId="6B7B0262" w14:textId="31E8D9F0" w:rsidR="3B48F347" w:rsidRDefault="3B48F347">
            <w:r>
              <w:t>BusinessWire, 28 January 2026</w:t>
            </w:r>
          </w:p>
        </w:tc>
        <w:tc>
          <w:tcPr>
            <w:tcW w:w="3120" w:type="dxa"/>
          </w:tcPr>
          <w:p w14:paraId="3FB729BC" w14:textId="2AC6C0B4" w:rsidR="3B48F347" w:rsidRDefault="3B48F347">
            <w:r>
              <w:t>Kedia appointed chairman, Cecere retires from the board, Hernandez lead independent director</w:t>
            </w:r>
          </w:p>
        </w:tc>
        <w:tc>
          <w:tcPr>
            <w:tcW w:w="3120" w:type="dxa"/>
          </w:tcPr>
          <w:p w14:paraId="55B15177" w14:textId="23A4A778" w:rsidR="3B48F347" w:rsidRDefault="3B48F347">
            <w:r>
              <w:t>businesswire.com/news/home/20260128626177/en</w:t>
            </w:r>
          </w:p>
        </w:tc>
      </w:tr>
      <w:tr w:rsidR="3B48F347" w14:paraId="3E06E48A" w14:textId="77777777" w:rsidTr="3B48F347">
        <w:tc>
          <w:tcPr>
            <w:tcW w:w="3120" w:type="dxa"/>
          </w:tcPr>
          <w:p w14:paraId="13189A56" w14:textId="3ABA07ED" w:rsidR="3B48F347" w:rsidRDefault="3B48F347">
            <w:r>
              <w:t>Trepp, 30 July 2026</w:t>
            </w:r>
          </w:p>
        </w:tc>
        <w:tc>
          <w:tcPr>
            <w:tcW w:w="3120" w:type="dxa"/>
          </w:tcPr>
          <w:p w14:paraId="49EA9E11" w14:textId="3397EEB1" w:rsidR="3B48F347" w:rsidRDefault="3B48F347">
            <w:r>
              <w:t>Super-regional Q2 2026 credit analysis, CRE nonperformers, peer M&amp;A</w:t>
            </w:r>
          </w:p>
        </w:tc>
        <w:tc>
          <w:tcPr>
            <w:tcW w:w="3120" w:type="dxa"/>
          </w:tcPr>
          <w:p w14:paraId="3CD14DC0" w14:textId="2C75D575" w:rsidR="3B48F347" w:rsidRDefault="3B48F347">
            <w:r>
              <w:t>trepp.com/trepptalk/super-regional-bank-2q-2026-earnings-commercial-loan-growth-returns-as-cre-nonperformers-diverge</w:t>
            </w:r>
          </w:p>
        </w:tc>
      </w:tr>
      <w:tr w:rsidR="3B48F347" w14:paraId="57F24B07" w14:textId="77777777" w:rsidTr="3B48F347">
        <w:tc>
          <w:tcPr>
            <w:tcW w:w="3120" w:type="dxa"/>
          </w:tcPr>
          <w:p w14:paraId="6A61789A" w14:textId="438B35EA" w:rsidR="3B48F347" w:rsidRDefault="3B48F347">
            <w:r>
              <w:t>Federal Reserve Bank of St. Louis, 18 June 2026</w:t>
            </w:r>
          </w:p>
        </w:tc>
        <w:tc>
          <w:tcPr>
            <w:tcW w:w="3120" w:type="dxa"/>
          </w:tcPr>
          <w:p w14:paraId="7D751677" w14:textId="3C691CAE" w:rsidR="3B48F347" w:rsidRDefault="3B48F347">
            <w:r>
              <w:t>Industry net interest margin and loan yields</w:t>
            </w:r>
          </w:p>
        </w:tc>
        <w:tc>
          <w:tcPr>
            <w:tcW w:w="3120" w:type="dxa"/>
          </w:tcPr>
          <w:p w14:paraId="2CA4A881" w14:textId="35470372" w:rsidR="3B48F347" w:rsidRDefault="3B48F347">
            <w:r>
              <w:t>stlouisfed.org/on-the-economy/2026/jun/banking-analytics-lower-asset-yields-squeeze-bank-interest-margins</w:t>
            </w:r>
          </w:p>
        </w:tc>
      </w:tr>
      <w:tr w:rsidR="3B48F347" w14:paraId="7C965AA3" w14:textId="77777777" w:rsidTr="3B48F347">
        <w:tc>
          <w:tcPr>
            <w:tcW w:w="3120" w:type="dxa"/>
          </w:tcPr>
          <w:p w14:paraId="34B4D4B7" w14:textId="4C5C63E7" w:rsidR="3B48F347" w:rsidRDefault="3B48F347">
            <w:r>
              <w:t>Federal Reserve, 19 March 2026</w:t>
            </w:r>
          </w:p>
        </w:tc>
        <w:tc>
          <w:tcPr>
            <w:tcW w:w="3120" w:type="dxa"/>
          </w:tcPr>
          <w:p w14:paraId="179BAE1D" w14:textId="453A4AAB" w:rsidR="3B48F347" w:rsidRDefault="3B48F347">
            <w:r>
              <w:t>Basel III endgame re-proposal and comment period</w:t>
            </w:r>
          </w:p>
        </w:tc>
        <w:tc>
          <w:tcPr>
            <w:tcW w:w="3120" w:type="dxa"/>
          </w:tcPr>
          <w:p w14:paraId="797A4E24" w14:textId="3E18316F" w:rsidR="3B48F347" w:rsidRDefault="3B48F347">
            <w:r>
              <w:t>federalreserve.gov/newsevents/pressreleases/bcreg20260319a.htm</w:t>
            </w:r>
          </w:p>
        </w:tc>
      </w:tr>
      <w:tr w:rsidR="3B48F347" w14:paraId="770B76A9" w14:textId="77777777" w:rsidTr="3B48F347">
        <w:tc>
          <w:tcPr>
            <w:tcW w:w="3120" w:type="dxa"/>
          </w:tcPr>
          <w:p w14:paraId="11FDECBD" w14:textId="6C42F259" w:rsidR="3B48F347" w:rsidRDefault="3B48F347">
            <w:r w:rsidRPr="3B48F347">
              <w:rPr>
                <w:b/>
                <w:bCs/>
                <w:color w:val="5B3111"/>
              </w:rPr>
              <w:t>Further sources</w:t>
            </w:r>
          </w:p>
        </w:tc>
        <w:tc>
          <w:tcPr>
            <w:tcW w:w="3120" w:type="dxa"/>
          </w:tcPr>
          <w:p w14:paraId="693DFB6A" w14:textId="6520D91D" w:rsidR="3B48F347" w:rsidRDefault="3B48F347">
            <w:r w:rsidRPr="3B48F347">
              <w:rPr>
                <w:b/>
                <w:bCs/>
                <w:color w:val="5B3111"/>
              </w:rPr>
              <w:t>Applied to</w:t>
            </w:r>
          </w:p>
        </w:tc>
        <w:tc>
          <w:tcPr>
            <w:tcW w:w="3120" w:type="dxa"/>
          </w:tcPr>
          <w:p w14:paraId="2A89EA28" w14:textId="5DFEBFE1" w:rsidR="3B48F347" w:rsidRDefault="3B48F347">
            <w:r w:rsidRPr="3B48F347">
              <w:rPr>
                <w:b/>
                <w:bCs/>
                <w:color w:val="5B3111"/>
              </w:rPr>
              <w:t>Where</w:t>
            </w:r>
          </w:p>
        </w:tc>
      </w:tr>
      <w:tr w:rsidR="3B48F347" w14:paraId="30AD4C26" w14:textId="77777777" w:rsidTr="3B48F347">
        <w:tc>
          <w:tcPr>
            <w:tcW w:w="3120" w:type="dxa"/>
          </w:tcPr>
          <w:p w14:paraId="47EECF3B" w14:textId="75142056" w:rsidR="3B48F347" w:rsidRDefault="3B48F347">
            <w:r>
              <w:t>MarketBeat, 2 September 2026</w:t>
            </w:r>
          </w:p>
        </w:tc>
        <w:tc>
          <w:tcPr>
            <w:tcW w:w="3120" w:type="dxa"/>
          </w:tcPr>
          <w:p w14:paraId="4FA64643" w14:textId="6DF2071A" w:rsidR="3B48F347" w:rsidRDefault="3B48F347">
            <w:r>
              <w:t>Analyst consensus, price targets, upgrades and downgrades, dividend and valuation data, short interest</w:t>
            </w:r>
          </w:p>
        </w:tc>
        <w:tc>
          <w:tcPr>
            <w:tcW w:w="3120" w:type="dxa"/>
          </w:tcPr>
          <w:p w14:paraId="3DB67E71" w14:textId="66CFEDDE" w:rsidR="3B48F347" w:rsidRDefault="3B48F347">
            <w:r>
              <w:t>marketbeat.com/stocks/NYSE/USB/forecast</w:t>
            </w:r>
          </w:p>
        </w:tc>
      </w:tr>
      <w:tr w:rsidR="3B48F347" w14:paraId="66FA6C62" w14:textId="77777777" w:rsidTr="3B48F347">
        <w:tc>
          <w:tcPr>
            <w:tcW w:w="3120" w:type="dxa"/>
          </w:tcPr>
          <w:p w14:paraId="6FD9FC6A" w14:textId="7DE54E53" w:rsidR="3B48F347" w:rsidRDefault="3B48F347">
            <w:r>
              <w:lastRenderedPageBreak/>
              <w:t>Consumer Financial Protection Bureau, updated 21 August 2025</w:t>
            </w:r>
          </w:p>
        </w:tc>
        <w:tc>
          <w:tcPr>
            <w:tcW w:w="3120" w:type="dxa"/>
          </w:tcPr>
          <w:p w14:paraId="5DF0ED20" w14:textId="76C33517" w:rsidR="3B48F347" w:rsidRDefault="3B48F347">
            <w:r>
              <w:t>The 2022 consent order and its termination</w:t>
            </w:r>
          </w:p>
        </w:tc>
        <w:tc>
          <w:tcPr>
            <w:tcW w:w="3120" w:type="dxa"/>
          </w:tcPr>
          <w:p w14:paraId="688DABE4" w14:textId="6FA11BDB" w:rsidR="3B48F347" w:rsidRDefault="3B48F347">
            <w:r>
              <w:t>consumerfinance.gov/enforcement/actions/us-bank-national-association</w:t>
            </w:r>
          </w:p>
        </w:tc>
      </w:tr>
      <w:tr w:rsidR="3B48F347" w14:paraId="137E2489" w14:textId="77777777" w:rsidTr="3B48F347">
        <w:tc>
          <w:tcPr>
            <w:tcW w:w="3120" w:type="dxa"/>
          </w:tcPr>
          <w:p w14:paraId="68D4019E" w14:textId="06B67C50" w:rsidR="3B48F347" w:rsidRDefault="3B48F347">
            <w:r>
              <w:t xml:space="preserve">FFIEC data compiled by Wikipedia, as </w:t>
            </w:r>
            <w:proofErr w:type="gramStart"/>
            <w:r>
              <w:t>at</w:t>
            </w:r>
            <w:proofErr w:type="gramEnd"/>
            <w:r>
              <w:t xml:space="preserve"> 31 March 2026</w:t>
            </w:r>
          </w:p>
        </w:tc>
        <w:tc>
          <w:tcPr>
            <w:tcW w:w="3120" w:type="dxa"/>
          </w:tcPr>
          <w:p w14:paraId="7606F3A1" w14:textId="7F946314" w:rsidR="3B48F347" w:rsidRDefault="3B48F347">
            <w:r>
              <w:t>Ranking of US bank holding companies by total assets</w:t>
            </w:r>
          </w:p>
        </w:tc>
        <w:tc>
          <w:tcPr>
            <w:tcW w:w="3120" w:type="dxa"/>
          </w:tcPr>
          <w:p w14:paraId="66543AA4" w14:textId="787249D8" w:rsidR="3B48F347" w:rsidRDefault="3B48F347">
            <w:r>
              <w:t>en.wikipedia.org/wiki/List_of_largest_banks_in_the_United_States</w:t>
            </w:r>
          </w:p>
        </w:tc>
      </w:tr>
      <w:tr w:rsidR="3B48F347" w14:paraId="17FAD7F8" w14:textId="77777777" w:rsidTr="3B48F347">
        <w:tc>
          <w:tcPr>
            <w:tcW w:w="3120" w:type="dxa"/>
          </w:tcPr>
          <w:p w14:paraId="2E583073" w14:textId="0F87AA4D" w:rsidR="3B48F347" w:rsidRDefault="3B48F347">
            <w:r>
              <w:t>PNC press release and Motley Fool transcript, 15 and 22 July 2026</w:t>
            </w:r>
          </w:p>
        </w:tc>
        <w:tc>
          <w:tcPr>
            <w:tcW w:w="3120" w:type="dxa"/>
          </w:tcPr>
          <w:p w14:paraId="107DD55B" w14:textId="08659111" w:rsidR="3B48F347" w:rsidRDefault="3B48F347">
            <w:r>
              <w:t>PNC Q2 2026 return on tangible common equity, net income and EPS</w:t>
            </w:r>
          </w:p>
        </w:tc>
        <w:tc>
          <w:tcPr>
            <w:tcW w:w="3120" w:type="dxa"/>
          </w:tcPr>
          <w:p w14:paraId="31FE571C" w14:textId="014377D5" w:rsidR="3B48F347" w:rsidRDefault="3B48F347">
            <w:r>
              <w:t>pnc.mediaroom.com and fool.com/earnings/call-transcripts/2026/07/22</w:t>
            </w:r>
          </w:p>
        </w:tc>
      </w:tr>
      <w:tr w:rsidR="3B48F347" w14:paraId="40732E12" w14:textId="77777777" w:rsidTr="3B48F347">
        <w:tc>
          <w:tcPr>
            <w:tcW w:w="3120" w:type="dxa"/>
          </w:tcPr>
          <w:p w14:paraId="1312DAA7" w14:textId="1858D84A" w:rsidR="3B48F347" w:rsidRDefault="3B48F347">
            <w:r>
              <w:t>Yahoo Finance, 17 July 2026</w:t>
            </w:r>
          </w:p>
        </w:tc>
        <w:tc>
          <w:tcPr>
            <w:tcW w:w="3120" w:type="dxa"/>
          </w:tcPr>
          <w:p w14:paraId="2169E6C1" w14:textId="1136BF0E" w:rsidR="3B48F347" w:rsidRDefault="3B48F347">
            <w:r>
              <w:t>Truist Q2 2026 results and its 15 per cent ROTCE target</w:t>
            </w:r>
          </w:p>
        </w:tc>
        <w:tc>
          <w:tcPr>
            <w:tcW w:w="3120" w:type="dxa"/>
          </w:tcPr>
          <w:p w14:paraId="2A5F46E7" w14:textId="0A14A5D2" w:rsidR="3B48F347" w:rsidRDefault="3B48F347">
            <w:r>
              <w:t>finance.yahoo.com/markets/stocks/articles/truist-financial-corp-tfc-q2-190111422.html</w:t>
            </w:r>
          </w:p>
        </w:tc>
      </w:tr>
      <w:tr w:rsidR="3B48F347" w14:paraId="365E6C0C" w14:textId="77777777" w:rsidTr="3B48F347">
        <w:tc>
          <w:tcPr>
            <w:tcW w:w="3120" w:type="dxa"/>
          </w:tcPr>
          <w:p w14:paraId="31368BE9" w14:textId="212A0647" w:rsidR="3B48F347" w:rsidRDefault="3B48F347">
            <w:r>
              <w:t>U.S. Bank investor relations, 2025</w:t>
            </w:r>
          </w:p>
        </w:tc>
        <w:tc>
          <w:tcPr>
            <w:tcW w:w="3120" w:type="dxa"/>
          </w:tcPr>
          <w:p w14:paraId="51543566" w14:textId="1A07ED0B" w:rsidR="3B48F347" w:rsidRDefault="3B48F347">
            <w:r>
              <w:t>Elavon's rise to fifth-largest US acquirer in the Nilson Report</w:t>
            </w:r>
          </w:p>
        </w:tc>
        <w:tc>
          <w:tcPr>
            <w:tcW w:w="3120" w:type="dxa"/>
          </w:tcPr>
          <w:p w14:paraId="7167F341" w14:textId="12E5D3CF" w:rsidR="3B48F347" w:rsidRDefault="3B48F347">
            <w:r>
              <w:t>ir.usbank.com/news-</w:t>
            </w:r>
            <w:proofErr w:type="gramStart"/>
            <w:r>
              <w:t>events/news</w:t>
            </w:r>
            <w:proofErr w:type="gramEnd"/>
            <w:r>
              <w:t>/news-details/2025</w:t>
            </w:r>
          </w:p>
        </w:tc>
      </w:tr>
      <w:tr w:rsidR="3B48F347" w14:paraId="7CFF2A42" w14:textId="77777777" w:rsidTr="3B48F347">
        <w:tc>
          <w:tcPr>
            <w:tcW w:w="3120" w:type="dxa"/>
          </w:tcPr>
          <w:p w14:paraId="14E660BF" w14:textId="29FB3444" w:rsidR="3B48F347" w:rsidRDefault="3B48F347">
            <w:r>
              <w:t>StockStory via FinancialContent, 16 August 2026</w:t>
            </w:r>
          </w:p>
        </w:tc>
        <w:tc>
          <w:tcPr>
            <w:tcW w:w="3120" w:type="dxa"/>
          </w:tcPr>
          <w:p w14:paraId="4AB4D2DE" w14:textId="22D91B08" w:rsidR="3B48F347" w:rsidRDefault="3B48F347">
            <w:r>
              <w:t xml:space="preserve">Fifth </w:t>
            </w:r>
            <w:proofErr w:type="gramStart"/>
            <w:r>
              <w:t>Third</w:t>
            </w:r>
            <w:proofErr w:type="gramEnd"/>
            <w:r>
              <w:t xml:space="preserve"> revenue growth following the Comerica acquisition</w:t>
            </w:r>
          </w:p>
        </w:tc>
        <w:tc>
          <w:tcPr>
            <w:tcW w:w="3120" w:type="dxa"/>
          </w:tcPr>
          <w:p w14:paraId="3C9B99D9" w14:textId="1BB701CC" w:rsidR="3B48F347" w:rsidRDefault="3B48F347">
            <w:r>
              <w:t>financialcontent.com/article/stockstory-2026-8-17-regional-banks-stocks-q2-in-review-fifth-third-bancorp-nasdaqfitb-vs-peers</w:t>
            </w:r>
          </w:p>
        </w:tc>
      </w:tr>
    </w:tbl>
    <w:p w14:paraId="62A410B4" w14:textId="3AFACA2F" w:rsidR="3B48F347" w:rsidRDefault="3B48F347" w:rsidP="3B48F347">
      <w:pPr>
        <w:pStyle w:val="Heading2"/>
      </w:pPr>
      <w:r w:rsidRPr="3B48F347">
        <w:rPr>
          <w:color w:val="5B3111"/>
        </w:rPr>
        <w:t>Notes on confidence</w:t>
      </w:r>
    </w:p>
    <w:p w14:paraId="2DAD9B67" w14:textId="732A033C" w:rsidR="3B48F347" w:rsidRDefault="3B48F347">
      <w:r w:rsidRPr="3B48F347">
        <w:t xml:space="preserve">Confidence is high on financial health and strategic direction, where the headline Q2 2026 figures, the leadership timeline, the asset ranking and the peer returns each carry two or more independent sources. Confidence is moderate on credit and margin resilience, which </w:t>
      </w:r>
      <w:proofErr w:type="gramStart"/>
      <w:r w:rsidRPr="3B48F347">
        <w:t>depend</w:t>
      </w:r>
      <w:proofErr w:type="gramEnd"/>
      <w:r w:rsidRPr="3B48F347">
        <w:t xml:space="preserve"> on a trend that the next disclosure will confirm or reset.</w:t>
      </w:r>
    </w:p>
    <w:p w14:paraId="3011C461" w14:textId="390510BB" w:rsidR="3B48F347" w:rsidRDefault="3B48F347">
      <w:r w:rsidRPr="3B48F347">
        <w:t xml:space="preserve">Four items rest on a single source and are marked here rather than in the body: the $900 million Union Bank cost-synergy figure, several payments sub-metrics from the BancAnalysts transcript, the exact medium-term target ranges, and the bank's own estimate of Basel III risk-weighted-asset relief. All forward-looking figures in this document are company guidance or analyst projection, never reported actuals. Third-quarter 2026 results had </w:t>
      </w:r>
      <w:proofErr w:type="gramStart"/>
      <w:r w:rsidRPr="3B48F347">
        <w:t>not been</w:t>
      </w:r>
      <w:proofErr w:type="gramEnd"/>
      <w:r w:rsidRPr="3B48F347">
        <w:t xml:space="preserve"> published when this plan was written.</w:t>
      </w:r>
    </w:p>
    <w:p w14:paraId="3F2A813C" w14:textId="345F6107" w:rsidR="3B48F347" w:rsidRDefault="3B48F347">
      <w:r w:rsidRPr="3B48F347">
        <w:lastRenderedPageBreak/>
        <w:t xml:space="preserve">Two items were found during research and deliberately excluded: an AI-generated article that misattributed a Q1 2026 quote to Andy Cecere, who was no longer chief executive, and a content-farm layoffs story that </w:t>
      </w:r>
      <w:proofErr w:type="gramStart"/>
      <w:r w:rsidRPr="3B48F347">
        <w:t>conflated</w:t>
      </w:r>
      <w:proofErr w:type="gramEnd"/>
      <w:r w:rsidRPr="3B48F347">
        <w:t xml:space="preserve"> this bank with an unrelated Citigroup action.</w:t>
      </w:r>
    </w:p>
    <w:sectPr w:rsidR="3B48F347"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6397370">
    <w:abstractNumId w:val="8"/>
  </w:num>
  <w:num w:numId="2" w16cid:durableId="440804998">
    <w:abstractNumId w:val="6"/>
  </w:num>
  <w:num w:numId="3" w16cid:durableId="704060888">
    <w:abstractNumId w:val="5"/>
  </w:num>
  <w:num w:numId="4" w16cid:durableId="322245261">
    <w:abstractNumId w:val="4"/>
  </w:num>
  <w:num w:numId="5" w16cid:durableId="1419062380">
    <w:abstractNumId w:val="7"/>
  </w:num>
  <w:num w:numId="6" w16cid:durableId="1971744840">
    <w:abstractNumId w:val="3"/>
  </w:num>
  <w:num w:numId="7" w16cid:durableId="1501312833">
    <w:abstractNumId w:val="2"/>
  </w:num>
  <w:num w:numId="8" w16cid:durableId="66878954">
    <w:abstractNumId w:val="1"/>
  </w:num>
  <w:num w:numId="9" w16cid:durableId="570121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5008"/>
    <w:rsid w:val="00792940"/>
    <w:rsid w:val="008F6CDD"/>
    <w:rsid w:val="00926775"/>
    <w:rsid w:val="00AA1D8D"/>
    <w:rsid w:val="00B47730"/>
    <w:rsid w:val="00CB0664"/>
    <w:rsid w:val="00FC693F"/>
    <w:rsid w:val="01697D35"/>
    <w:rsid w:val="017C5CAD"/>
    <w:rsid w:val="02B7CFFA"/>
    <w:rsid w:val="03997B63"/>
    <w:rsid w:val="04730B37"/>
    <w:rsid w:val="049F1238"/>
    <w:rsid w:val="06641A49"/>
    <w:rsid w:val="08AAC3A8"/>
    <w:rsid w:val="08B0137A"/>
    <w:rsid w:val="09B1B056"/>
    <w:rsid w:val="0BF2CF29"/>
    <w:rsid w:val="0D881136"/>
    <w:rsid w:val="0FB562E6"/>
    <w:rsid w:val="1098D640"/>
    <w:rsid w:val="12BD5C34"/>
    <w:rsid w:val="190471C7"/>
    <w:rsid w:val="1982D98B"/>
    <w:rsid w:val="1A29A645"/>
    <w:rsid w:val="1B39AC59"/>
    <w:rsid w:val="1C327750"/>
    <w:rsid w:val="1CD3615A"/>
    <w:rsid w:val="1DF5ED43"/>
    <w:rsid w:val="254526F5"/>
    <w:rsid w:val="26E53B7B"/>
    <w:rsid w:val="2743F419"/>
    <w:rsid w:val="2773AB22"/>
    <w:rsid w:val="27DCB295"/>
    <w:rsid w:val="27F1A6E3"/>
    <w:rsid w:val="2ADB8ED0"/>
    <w:rsid w:val="2C592018"/>
    <w:rsid w:val="306FC1F1"/>
    <w:rsid w:val="346F8470"/>
    <w:rsid w:val="35A504A7"/>
    <w:rsid w:val="37347EDF"/>
    <w:rsid w:val="3A0144DC"/>
    <w:rsid w:val="3B48F347"/>
    <w:rsid w:val="3B64A4F2"/>
    <w:rsid w:val="3C247082"/>
    <w:rsid w:val="3DF07F30"/>
    <w:rsid w:val="40DE744C"/>
    <w:rsid w:val="410CB5BB"/>
    <w:rsid w:val="495473F7"/>
    <w:rsid w:val="4A111DE5"/>
    <w:rsid w:val="4A1A31C6"/>
    <w:rsid w:val="4A7CEC52"/>
    <w:rsid w:val="4DC448A5"/>
    <w:rsid w:val="4E32A3E2"/>
    <w:rsid w:val="4FA2C1F1"/>
    <w:rsid w:val="51864BE7"/>
    <w:rsid w:val="52F6E97A"/>
    <w:rsid w:val="54246F52"/>
    <w:rsid w:val="547507B7"/>
    <w:rsid w:val="5A451287"/>
    <w:rsid w:val="5AA2C2B8"/>
    <w:rsid w:val="5CE96DCA"/>
    <w:rsid w:val="5EC3FDCD"/>
    <w:rsid w:val="64D16FCC"/>
    <w:rsid w:val="6627AB6D"/>
    <w:rsid w:val="6A24164B"/>
    <w:rsid w:val="6AF7484A"/>
    <w:rsid w:val="6C24F6FE"/>
    <w:rsid w:val="719984B7"/>
    <w:rsid w:val="72A4B7C4"/>
    <w:rsid w:val="73CA9773"/>
    <w:rsid w:val="743A83C0"/>
    <w:rsid w:val="759A73C8"/>
    <w:rsid w:val="76264A9F"/>
    <w:rsid w:val="7942F93D"/>
    <w:rsid w:val="7E65B91F"/>
    <w:rsid w:val="7F531F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8D1E1A4-4FA8-4778-958D-C1F977A30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ece1660-89e4-4efe-8613-f619625afc8d" xsi:nil="true"/>
    <_ip_UnifiedCompliancePolicyProperties xmlns="http://schemas.microsoft.com/sharepoint/v3" xsi:nil="true"/>
    <lcf76f155ced4ddcb4097134ff3c332f xmlns="debf2d1a-3119-443f-9311-2f3fb0fd7d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C4708B-B968-4C4A-8F0E-0A3FAC252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C075A745-BB90-4F02-B265-5025ED2AB56F}">
  <ds:schemaRefs>
    <ds:schemaRef ds:uri="http://schemas.microsoft.com/sharepoint/v3/contenttype/forms"/>
  </ds:schemaRefs>
</ds:datastoreItem>
</file>

<file path=customXml/itemProps4.xml><?xml version="1.0" encoding="utf-8"?>
<ds:datastoreItem xmlns:ds="http://schemas.openxmlformats.org/officeDocument/2006/customXml" ds:itemID="{4CDC9337-0367-431C-A17E-E605E116D576}">
  <ds:schemaRefs>
    <ds:schemaRef ds:uri="http://schemas.microsoft.com/office/2006/metadata/properties"/>
    <ds:schemaRef ds:uri="http://schemas.microsoft.com/office/infopath/2007/PartnerControls"/>
    <ds:schemaRef ds:uri="http://schemas.microsoft.com/sharepoint/v3"/>
    <ds:schemaRef ds:uri="9ece1660-89e4-4efe-8613-f619625afc8d"/>
    <ds:schemaRef ds:uri="debf2d1a-3119-443f-9311-2f3fb0fd7de8"/>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3312</Words>
  <Characters>18881</Characters>
  <Application>Microsoft Office Word</Application>
  <DocSecurity>0</DocSecurity>
  <Lines>157</Lines>
  <Paragraphs>44</Paragraphs>
  <ScaleCrop>false</ScaleCrop>
  <Manager/>
  <Company/>
  <LinksUpToDate>false</LinksUpToDate>
  <CharactersWithSpaces>22149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Bojan Buhac</cp:lastModifiedBy>
  <cp:revision>3</cp:revision>
  <dcterms:created xsi:type="dcterms:W3CDTF">2026-09-03T14:52:00Z</dcterms:created>
  <dcterms:modified xsi:type="dcterms:W3CDTF">2026-09-03T20:00:00Z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3" name="MediaServiceImageTags">
    <vt:lpwstr/>
  </property>
  <property fmtid="{D5CDD505-2E9C-101B-9397-08002B2CF9AE}" pid="4" name="docLang">
    <vt:lpwstr>en</vt:lpwstr>
  </property>
</Properties>
</file>