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B2FF5" w:rsidRDefault="006B2FF5"/>
    <w:p w14:paraId="4F6742F9" w14:textId="678A342B" w:rsidR="39E70FB5" w:rsidRDefault="39E70FB5" w:rsidP="39E70FB5">
      <w:pPr>
        <w:pStyle w:val="Title"/>
      </w:pPr>
      <w:r w:rsidRPr="39E70FB5">
        <w:rPr>
          <w:b/>
          <w:bCs/>
          <w:color w:val="5D361B"/>
        </w:rPr>
        <w:t>Account Plan: U.S. Bank (U.S. Bancorp)</w:t>
      </w:r>
    </w:p>
    <w:p w14:paraId="3EB3EB7E" w14:textId="570E268C" w:rsidR="39E70FB5" w:rsidRDefault="39E70FB5">
      <w:r w:rsidRPr="39E70FB5">
        <w:rPr>
          <w:i/>
          <w:iCs/>
          <w:color w:val="7A7A7A"/>
          <w:sz w:val="20"/>
          <w:szCs w:val="20"/>
        </w:rPr>
        <w:t>Prepared for Bojan Buhac, Consultant, How2Demos — 3 September 2026</w:t>
      </w:r>
    </w:p>
    <w:p w14:paraId="520CBE05" w14:textId="5DA49BC0" w:rsidR="39E70FB5" w:rsidRDefault="39E70FB5" w:rsidP="39E70FB5">
      <w:pPr>
        <w:pStyle w:val="Heading2"/>
      </w:pPr>
      <w:r w:rsidRPr="39E70FB5">
        <w:rPr>
          <w:color w:val="5D361B"/>
        </w:rPr>
        <w:t>Sourcing note</w:t>
      </w:r>
    </w:p>
    <w:p w14:paraId="21E5855F" w14:textId="7776520B" w:rsidR="39E70FB5" w:rsidRDefault="39E70FB5">
      <w:r w:rsidRPr="39E70FB5">
        <w:t>This plan was assembled under an explicit constraint that the reader should know about before acting on it. A search of the mailbox, Teams chats, calendar and SharePoint/OneDrive for the quarter running 1 July to 3 September 2026 returned no U.S. Bank engagement material of any kind: no threads, no chat activity, no meetings, no transcripts and no documents. The single internal trace of the account anywhere in the tenant is a Privileged Identity Management notification of 2 June 2026, in which Valene Samuels (Consultant, Information Technology) activated the AI Administrator role with the justification "Customer demo prep - US Bank". Everything else in this document is therefore built from public sources, which are cited inline and listed in full at the end. The relationship map, opportunity pipeline and risk register are consequently frameworks to be populated from your own records, not a readout of activity that internal search could confirm.</w:t>
      </w:r>
    </w:p>
    <w:p w14:paraId="2BF3FD4B" w14:textId="1E4878C9" w:rsidR="39E70FB5" w:rsidRDefault="39E70FB5" w:rsidP="39E70FB5">
      <w:pPr>
        <w:pStyle w:val="Heading1"/>
      </w:pPr>
      <w:r w:rsidRPr="39E70FB5">
        <w:rPr>
          <w:color w:val="5D361B"/>
        </w:rPr>
        <w:t>Executive summary</w:t>
      </w:r>
    </w:p>
    <w:p w14:paraId="3F61166D" w14:textId="4F458B7B" w:rsidR="39E70FB5" w:rsidRDefault="39E70FB5">
      <w:r w:rsidRPr="39E70FB5">
        <w:t>U.S. Bancorp enters the second half of 2026 from a position of strength, and the strength is the opening. The bank reported record net revenue of $7,712 million for the second quarter, with net income of $2,177 million and diluted earnings per share of $1.35, up 22 percent year over year (U.S. Bancorp, "U.S. Bancorp reports second quarter 2026 results", 16 July 2026). Net interest income rose 7.5 percent on a taxable-equivalent basis and fee revenue rose 13.2 percent, producing 400 basis points of positive operating leverage. Return on tangible common equity reached 18.7 percent and the efficiency ratio improved to 57.1 percent. CEO Gunjan Kedia attributed the quarter to "strong loan growth, a third consecutive quarter of record consumer deposits, broad-based fee income momentum and productivity", and framed the second half around "sustainable growth, attractive returns and long-term value".</w:t>
      </w:r>
    </w:p>
    <w:p w14:paraId="70FA522C" w14:textId="7C17F11D" w:rsidR="39E70FB5" w:rsidRDefault="39E70FB5">
      <w:r w:rsidRPr="39E70FB5">
        <w:t>Two structural moves define the account this year. The first is capital markets: U.S. Bancorp completed its acquisition of Condor Trading LP and its subsidiaries, including BTIG, effective 1 June 2026, contributing roughly $98 million of fee revenue and $84 million of noninterest expense in the quarter and adding institutional equity sales and trading, equity capital markets, electronic trading and M&amp;A advisory. The second is technology: on 7 May 2026 the bank announced an expanded, multi-year collaboration with Amazon Web Services to migrate hundreds of mission-critical applications, modernise payment processing, wealth management and commercial banking platforms, and build generative-AI customer experiences on Amazon Bedrock, Amazon Nova Sonic and Amazon Connect (AWS press release, 7 May 2026).</w:t>
      </w:r>
    </w:p>
    <w:p w14:paraId="39DD6F22" w14:textId="147B8302" w:rsidR="39E70FB5" w:rsidRDefault="39E70FB5">
      <w:r w:rsidRPr="39E70FB5">
        <w:t xml:space="preserve">For an advisory relationship the implication is direct. A bank that is simultaneously integrating a broker-dealer, re-platforming hundreds of applications and standing up agentic self-service across </w:t>
      </w:r>
      <w:r w:rsidRPr="39E70FB5">
        <w:lastRenderedPageBreak/>
        <w:t xml:space="preserve">mortgage, cards, wealth and commercial banking </w:t>
      </w:r>
      <w:proofErr w:type="gramStart"/>
      <w:r w:rsidRPr="39E70FB5">
        <w:t>has</w:t>
      </w:r>
      <w:proofErr w:type="gramEnd"/>
      <w:r w:rsidRPr="39E70FB5">
        <w:t xml:space="preserve"> a heavy execution agenda and a finite pool of internal change capacity. The credible entry points over the next 90 days are integration and change management around BTIG, governance and controls for the generative-AI programme, and the operating model that </w:t>
      </w:r>
      <w:proofErr w:type="gramStart"/>
      <w:r w:rsidRPr="39E70FB5">
        <w:t>has to</w:t>
      </w:r>
      <w:proofErr w:type="gramEnd"/>
      <w:r w:rsidRPr="39E70FB5">
        <w:t xml:space="preserve"> absorb both. The first task, however, is not positioning but reconstruction: the internal record of this relationship needs to be rebuilt before the plan below can be treated as anything other than a hypothesis.</w:t>
      </w:r>
    </w:p>
    <w:p w14:paraId="2F4B0D67" w14:textId="6786F101" w:rsidR="39E70FB5" w:rsidRDefault="39E70FB5" w:rsidP="39E70FB5">
      <w:pPr>
        <w:pStyle w:val="Heading1"/>
      </w:pPr>
      <w:r w:rsidRPr="39E70FB5">
        <w:rPr>
          <w:color w:val="5D361B"/>
        </w:rPr>
        <w:t>Relationship map</w:t>
      </w:r>
    </w:p>
    <w:p w14:paraId="5C30072B" w14:textId="57BCE9D4" w:rsidR="39E70FB5" w:rsidRDefault="39E70FB5">
      <w:r w:rsidRPr="39E70FB5">
        <w:t>The map below separates what is verifiable from what is not. Only two names have any internal basis, and one of them is yours; the U.S. Bank side is drawn entirely from public disclosure, which means these are targets for coverage rather than contacts you are known to hold. Every row marked as needing confirmation should be resolved from your own CRM or personal records before this plan is shared.</w:t>
      </w:r>
    </w:p>
    <w:tbl>
      <w:tblPr>
        <w:tblStyle w:val="TableGrid"/>
        <w:tblW w:w="0" w:type="auto"/>
        <w:tblLook w:val="0000" w:firstRow="0" w:lastRow="0" w:firstColumn="0" w:lastColumn="0" w:noHBand="0" w:noVBand="0"/>
      </w:tblPr>
      <w:tblGrid>
        <w:gridCol w:w="2340"/>
        <w:gridCol w:w="2340"/>
        <w:gridCol w:w="2340"/>
        <w:gridCol w:w="2340"/>
      </w:tblGrid>
      <w:tr w:rsidR="39E70FB5" w14:paraId="7F9DEBF6" w14:textId="77777777" w:rsidTr="39E70FB5">
        <w:tc>
          <w:tcPr>
            <w:tcW w:w="2340" w:type="dxa"/>
          </w:tcPr>
          <w:p w14:paraId="56578C6E" w14:textId="7DEB2507" w:rsidR="39E70FB5" w:rsidRDefault="39E70FB5">
            <w:r>
              <w:t>Name</w:t>
            </w:r>
          </w:p>
        </w:tc>
        <w:tc>
          <w:tcPr>
            <w:tcW w:w="2340" w:type="dxa"/>
          </w:tcPr>
          <w:p w14:paraId="7C5F6FCB" w14:textId="76C90BCB" w:rsidR="39E70FB5" w:rsidRDefault="39E70FB5">
            <w:r>
              <w:t>Role</w:t>
            </w:r>
          </w:p>
        </w:tc>
        <w:tc>
          <w:tcPr>
            <w:tcW w:w="2340" w:type="dxa"/>
          </w:tcPr>
          <w:p w14:paraId="70958D85" w14:textId="6FA6F28F" w:rsidR="39E70FB5" w:rsidRDefault="39E70FB5">
            <w:r>
              <w:t>Side</w:t>
            </w:r>
          </w:p>
        </w:tc>
        <w:tc>
          <w:tcPr>
            <w:tcW w:w="2340" w:type="dxa"/>
          </w:tcPr>
          <w:p w14:paraId="581B3A23" w14:textId="6884D953" w:rsidR="39E70FB5" w:rsidRDefault="39E70FB5">
            <w:r>
              <w:t>Basis and next step</w:t>
            </w:r>
          </w:p>
        </w:tc>
      </w:tr>
      <w:tr w:rsidR="39E70FB5" w14:paraId="64DD6314" w14:textId="77777777" w:rsidTr="39E70FB5">
        <w:tc>
          <w:tcPr>
            <w:tcW w:w="2340" w:type="dxa"/>
          </w:tcPr>
          <w:p w14:paraId="19046B2C" w14:textId="7F9A39C8" w:rsidR="39E70FB5" w:rsidRDefault="39E70FB5">
            <w:r>
              <w:t>Bojan Buhac</w:t>
            </w:r>
          </w:p>
        </w:tc>
        <w:tc>
          <w:tcPr>
            <w:tcW w:w="2340" w:type="dxa"/>
          </w:tcPr>
          <w:p w14:paraId="328AB74F" w14:textId="7878208C" w:rsidR="39E70FB5" w:rsidRDefault="39E70FB5">
            <w:r>
              <w:t>Consultant, External Consultant, Toronto</w:t>
            </w:r>
          </w:p>
        </w:tc>
        <w:tc>
          <w:tcPr>
            <w:tcW w:w="2340" w:type="dxa"/>
          </w:tcPr>
          <w:p w14:paraId="5219A256" w14:textId="71560750" w:rsidR="39E70FB5" w:rsidRDefault="39E70FB5">
            <w:r>
              <w:t>How2Demos</w:t>
            </w:r>
          </w:p>
        </w:tc>
        <w:tc>
          <w:tcPr>
            <w:tcW w:w="2340" w:type="dxa"/>
          </w:tcPr>
          <w:p w14:paraId="37A83729" w14:textId="6A33EE14" w:rsidR="39E70FB5" w:rsidRDefault="39E70FB5">
            <w:r>
              <w:t>Account owner for this plan. No U.S. Bank correspondence, meetings or files found in the quarter.</w:t>
            </w:r>
          </w:p>
        </w:tc>
      </w:tr>
      <w:tr w:rsidR="39E70FB5" w14:paraId="57CB8181" w14:textId="77777777" w:rsidTr="39E70FB5">
        <w:tc>
          <w:tcPr>
            <w:tcW w:w="2340" w:type="dxa"/>
          </w:tcPr>
          <w:p w14:paraId="621245F6" w14:textId="01494E89" w:rsidR="39E70FB5" w:rsidRDefault="39E70FB5">
            <w:r>
              <w:t>Valene Samuels</w:t>
            </w:r>
          </w:p>
        </w:tc>
        <w:tc>
          <w:tcPr>
            <w:tcW w:w="2340" w:type="dxa"/>
          </w:tcPr>
          <w:p w14:paraId="537914A5" w14:textId="7A27354D" w:rsidR="39E70FB5" w:rsidRDefault="39E70FB5">
            <w:r>
              <w:t>Consultant, Information Technology</w:t>
            </w:r>
          </w:p>
        </w:tc>
        <w:tc>
          <w:tcPr>
            <w:tcW w:w="2340" w:type="dxa"/>
          </w:tcPr>
          <w:p w14:paraId="13E53AF1" w14:textId="73051C11" w:rsidR="39E70FB5" w:rsidRDefault="39E70FB5">
            <w:r>
              <w:t>How2Demos</w:t>
            </w:r>
          </w:p>
        </w:tc>
        <w:tc>
          <w:tcPr>
            <w:tcW w:w="2340" w:type="dxa"/>
          </w:tcPr>
          <w:p w14:paraId="6433D0CB" w14:textId="6BE302D5" w:rsidR="39E70FB5" w:rsidRDefault="39E70FB5">
            <w:r>
              <w:t>Only internal trace of the account: activated the AI Administrator role on 2 June 2026 citing "Customer demo prep - US Bank". Debrief her first.</w:t>
            </w:r>
          </w:p>
        </w:tc>
      </w:tr>
      <w:tr w:rsidR="39E70FB5" w14:paraId="11950876" w14:textId="77777777" w:rsidTr="39E70FB5">
        <w:tc>
          <w:tcPr>
            <w:tcW w:w="2340" w:type="dxa"/>
          </w:tcPr>
          <w:p w14:paraId="34281624" w14:textId="02F8634A" w:rsidR="39E70FB5" w:rsidRDefault="39E70FB5">
            <w:r>
              <w:t>Gunjan Kedia</w:t>
            </w:r>
          </w:p>
        </w:tc>
        <w:tc>
          <w:tcPr>
            <w:tcW w:w="2340" w:type="dxa"/>
          </w:tcPr>
          <w:p w14:paraId="1A89CC23" w14:textId="7BD64A0E" w:rsidR="39E70FB5" w:rsidRDefault="39E70FB5">
            <w:r>
              <w:t>Chairman and Chief Executive Officer</w:t>
            </w:r>
          </w:p>
        </w:tc>
        <w:tc>
          <w:tcPr>
            <w:tcW w:w="2340" w:type="dxa"/>
          </w:tcPr>
          <w:p w14:paraId="48E73815" w14:textId="74B430D2" w:rsidR="39E70FB5" w:rsidRDefault="39E70FB5">
            <w:r>
              <w:t>U.S. Bancorp</w:t>
            </w:r>
          </w:p>
        </w:tc>
        <w:tc>
          <w:tcPr>
            <w:tcW w:w="2340" w:type="dxa"/>
          </w:tcPr>
          <w:p w14:paraId="78397DF1" w14:textId="6D921796" w:rsidR="39E70FB5" w:rsidRDefault="39E70FB5">
            <w:r>
              <w:t>Public. Sets the growth, returns and productivity agenda quoted in the Q2 release. Executive sponsor target; no known contact.</w:t>
            </w:r>
          </w:p>
        </w:tc>
      </w:tr>
      <w:tr w:rsidR="39E70FB5" w14:paraId="36FF7991" w14:textId="77777777" w:rsidTr="39E70FB5">
        <w:tc>
          <w:tcPr>
            <w:tcW w:w="2340" w:type="dxa"/>
          </w:tcPr>
          <w:p w14:paraId="76925047" w14:textId="04A7780B" w:rsidR="39E70FB5" w:rsidRDefault="39E70FB5">
            <w:r>
              <w:t>Andy Bingenheimer</w:t>
            </w:r>
          </w:p>
        </w:tc>
        <w:tc>
          <w:tcPr>
            <w:tcW w:w="2340" w:type="dxa"/>
          </w:tcPr>
          <w:p w14:paraId="37498DC4" w14:textId="7D855ECF" w:rsidR="39E70FB5" w:rsidRDefault="39E70FB5">
            <w:r>
              <w:t>CIO, Corporate Functions</w:t>
            </w:r>
          </w:p>
        </w:tc>
        <w:tc>
          <w:tcPr>
            <w:tcW w:w="2340" w:type="dxa"/>
          </w:tcPr>
          <w:p w14:paraId="3838C921" w14:textId="76634593" w:rsidR="39E70FB5" w:rsidRDefault="39E70FB5">
            <w:r>
              <w:t>U.S. Bancorp</w:t>
            </w:r>
          </w:p>
        </w:tc>
        <w:tc>
          <w:tcPr>
            <w:tcW w:w="2340" w:type="dxa"/>
          </w:tcPr>
          <w:p w14:paraId="655A7C64" w14:textId="6F412C57" w:rsidR="39E70FB5" w:rsidRDefault="39E70FB5">
            <w:r>
              <w:t xml:space="preserve">Public. Named spokesperson for the AWS </w:t>
            </w:r>
            <w:proofErr w:type="gramStart"/>
            <w:r>
              <w:t>contact-centre</w:t>
            </w:r>
            <w:proofErr w:type="gramEnd"/>
            <w:r>
              <w:t xml:space="preserve"> and agentic self-service programme. Primary technology buying centre; no known contact.</w:t>
            </w:r>
          </w:p>
        </w:tc>
      </w:tr>
      <w:tr w:rsidR="39E70FB5" w14:paraId="3B7F46C1" w14:textId="77777777" w:rsidTr="39E70FB5">
        <w:tc>
          <w:tcPr>
            <w:tcW w:w="2340" w:type="dxa"/>
          </w:tcPr>
          <w:p w14:paraId="7025F820" w14:textId="06568CCC" w:rsidR="39E70FB5" w:rsidRDefault="39E70FB5">
            <w:r>
              <w:t>Brian Mauney</w:t>
            </w:r>
          </w:p>
        </w:tc>
        <w:tc>
          <w:tcPr>
            <w:tcW w:w="2340" w:type="dxa"/>
          </w:tcPr>
          <w:p w14:paraId="5193914D" w14:textId="7F347390" w:rsidR="39E70FB5" w:rsidRDefault="39E70FB5">
            <w:r>
              <w:t>Investor Relations</w:t>
            </w:r>
          </w:p>
        </w:tc>
        <w:tc>
          <w:tcPr>
            <w:tcW w:w="2340" w:type="dxa"/>
          </w:tcPr>
          <w:p w14:paraId="4FB1DF2F" w14:textId="78125A54" w:rsidR="39E70FB5" w:rsidRDefault="39E70FB5">
            <w:r>
              <w:t>U.S. Bancorp</w:t>
            </w:r>
          </w:p>
        </w:tc>
        <w:tc>
          <w:tcPr>
            <w:tcW w:w="2340" w:type="dxa"/>
          </w:tcPr>
          <w:p w14:paraId="5864D6D1" w14:textId="70F04118" w:rsidR="39E70FB5" w:rsidRDefault="39E70FB5">
            <w:r>
              <w:t>Public IR contact. Use for results and disclosure timing only, not for commercial approach.</w:t>
            </w:r>
          </w:p>
        </w:tc>
      </w:tr>
      <w:tr w:rsidR="39E70FB5" w14:paraId="482D1D3E" w14:textId="77777777" w:rsidTr="39E70FB5">
        <w:tc>
          <w:tcPr>
            <w:tcW w:w="2340" w:type="dxa"/>
          </w:tcPr>
          <w:p w14:paraId="275107EF" w14:textId="0805A18D" w:rsidR="39E70FB5" w:rsidRDefault="39E70FB5">
            <w:r>
              <w:lastRenderedPageBreak/>
              <w:t>Jeff Shelman</w:t>
            </w:r>
          </w:p>
        </w:tc>
        <w:tc>
          <w:tcPr>
            <w:tcW w:w="2340" w:type="dxa"/>
          </w:tcPr>
          <w:p w14:paraId="578F11BF" w14:textId="00E38851" w:rsidR="39E70FB5" w:rsidRDefault="39E70FB5">
            <w:r>
              <w:t>Enterprise External Communications</w:t>
            </w:r>
          </w:p>
        </w:tc>
        <w:tc>
          <w:tcPr>
            <w:tcW w:w="2340" w:type="dxa"/>
          </w:tcPr>
          <w:p w14:paraId="7EF14306" w14:textId="79C16F15" w:rsidR="39E70FB5" w:rsidRDefault="39E70FB5">
            <w:r>
              <w:t>U.S. Bancorp</w:t>
            </w:r>
          </w:p>
        </w:tc>
        <w:tc>
          <w:tcPr>
            <w:tcW w:w="2340" w:type="dxa"/>
          </w:tcPr>
          <w:p w14:paraId="69656B56" w14:textId="729F55D9" w:rsidR="39E70FB5" w:rsidRDefault="39E70FB5">
            <w:r>
              <w:t>Public media contact named on both the Q2 release and the AWS announcement. Signal source, not a route to market.</w:t>
            </w:r>
          </w:p>
        </w:tc>
      </w:tr>
    </w:tbl>
    <w:p w14:paraId="746A20CB" w14:textId="20539268" w:rsidR="39E70FB5" w:rsidRDefault="39E70FB5" w:rsidP="39E70FB5">
      <w:pPr>
        <w:pStyle w:val="Heading1"/>
      </w:pPr>
      <w:r w:rsidRPr="39E70FB5">
        <w:rPr>
          <w:color w:val="5D361B"/>
        </w:rPr>
        <w:t>Open opportunities</w:t>
      </w:r>
    </w:p>
    <w:p w14:paraId="2B9F3CA3" w14:textId="28F66681" w:rsidR="39E70FB5" w:rsidRDefault="39E70FB5">
      <w:r w:rsidRPr="39E70FB5">
        <w:t>The opportunities below are inferred from what U.S. Bancorp has publicly committed to do, not from a pipeline record. No values, stages or decision dates could be sourced internally, so those columns are deliberately left as questions for you to answer from your own records rather than filled with numbers that would not survive scrutiny.</w:t>
      </w:r>
    </w:p>
    <w:tbl>
      <w:tblPr>
        <w:tblStyle w:val="TableGrid"/>
        <w:tblW w:w="0" w:type="auto"/>
        <w:tblLook w:val="0000" w:firstRow="0" w:lastRow="0" w:firstColumn="0" w:lastColumn="0" w:noHBand="0" w:noVBand="0"/>
      </w:tblPr>
      <w:tblGrid>
        <w:gridCol w:w="3120"/>
        <w:gridCol w:w="3120"/>
        <w:gridCol w:w="3120"/>
      </w:tblGrid>
      <w:tr w:rsidR="39E70FB5" w14:paraId="31ED0EBD" w14:textId="77777777" w:rsidTr="39E70FB5">
        <w:tc>
          <w:tcPr>
            <w:tcW w:w="3120" w:type="dxa"/>
          </w:tcPr>
          <w:p w14:paraId="1A0064AE" w14:textId="37DF7738" w:rsidR="39E70FB5" w:rsidRDefault="39E70FB5">
            <w:r>
              <w:t>Opportunity</w:t>
            </w:r>
          </w:p>
        </w:tc>
        <w:tc>
          <w:tcPr>
            <w:tcW w:w="3120" w:type="dxa"/>
          </w:tcPr>
          <w:p w14:paraId="114017ED" w14:textId="30BD5DFC" w:rsidR="39E70FB5" w:rsidRDefault="39E70FB5">
            <w:r>
              <w:t>Public trigger</w:t>
            </w:r>
          </w:p>
        </w:tc>
        <w:tc>
          <w:tcPr>
            <w:tcW w:w="3120" w:type="dxa"/>
          </w:tcPr>
          <w:p w14:paraId="72CFD91C" w14:textId="299B44C0" w:rsidR="39E70FB5" w:rsidRDefault="39E70FB5">
            <w:r>
              <w:t>Why it is credible now</w:t>
            </w:r>
          </w:p>
        </w:tc>
      </w:tr>
      <w:tr w:rsidR="39E70FB5" w14:paraId="782E311A" w14:textId="77777777" w:rsidTr="39E70FB5">
        <w:tc>
          <w:tcPr>
            <w:tcW w:w="3120" w:type="dxa"/>
          </w:tcPr>
          <w:p w14:paraId="648C6875" w14:textId="40B0A535" w:rsidR="39E70FB5" w:rsidRDefault="39E70FB5">
            <w:r>
              <w:t>BTIG integration and change management</w:t>
            </w:r>
          </w:p>
        </w:tc>
        <w:tc>
          <w:tcPr>
            <w:tcW w:w="3120" w:type="dxa"/>
          </w:tcPr>
          <w:p w14:paraId="7E7ACA39" w14:textId="398E8BF9" w:rsidR="39E70FB5" w:rsidRDefault="39E70FB5">
            <w:r>
              <w:t>Acquisition of Condor Trading LP and BTIG completed effective 1 June 2026</w:t>
            </w:r>
          </w:p>
        </w:tc>
        <w:tc>
          <w:tcPr>
            <w:tcW w:w="3120" w:type="dxa"/>
          </w:tcPr>
          <w:p w14:paraId="4655E451" w14:textId="326C72BD" w:rsidR="39E70FB5" w:rsidRDefault="39E70FB5">
            <w:r>
              <w:t xml:space="preserve">A broker-dealer with institutional equity sales and trading, ECM, electronic trading and M&amp;A advisory </w:t>
            </w:r>
            <w:proofErr w:type="gramStart"/>
            <w:r>
              <w:t>has to</w:t>
            </w:r>
            <w:proofErr w:type="gramEnd"/>
            <w:r>
              <w:t xml:space="preserve"> be folded into a diversified bank's operating model, controls and culture. Integration work is time-boxed and starts immediately.</w:t>
            </w:r>
          </w:p>
        </w:tc>
      </w:tr>
      <w:tr w:rsidR="39E70FB5" w14:paraId="5E27147B" w14:textId="77777777" w:rsidTr="39E70FB5">
        <w:tc>
          <w:tcPr>
            <w:tcW w:w="3120" w:type="dxa"/>
          </w:tcPr>
          <w:p w14:paraId="5B1133A9" w14:textId="4981D332" w:rsidR="39E70FB5" w:rsidRDefault="39E70FB5">
            <w:r>
              <w:t>AI governance and controls for the GenAI programme</w:t>
            </w:r>
          </w:p>
        </w:tc>
        <w:tc>
          <w:tcPr>
            <w:tcW w:w="3120" w:type="dxa"/>
          </w:tcPr>
          <w:p w14:paraId="4D1EF50E" w14:textId="425FB9F6" w:rsidR="39E70FB5" w:rsidRDefault="39E70FB5">
            <w:r>
              <w:t>Generative AI use cases across fraud detection, compliance automation, developer productivity and customer experience, on Amazon Bedrock and Nova Sonic</w:t>
            </w:r>
          </w:p>
        </w:tc>
        <w:tc>
          <w:tcPr>
            <w:tcW w:w="3120" w:type="dxa"/>
          </w:tcPr>
          <w:p w14:paraId="4F883283" w14:textId="3B3DA0BA" w:rsidR="39E70FB5" w:rsidRDefault="39E70FB5">
            <w:r>
              <w:t>Agentic self-service across mortgage, cards, wealth and commercial banking is regulated territory. Model risk, evidencing and approval gates scale with deployment, not with the pilot.</w:t>
            </w:r>
          </w:p>
        </w:tc>
      </w:tr>
      <w:tr w:rsidR="39E70FB5" w14:paraId="476CC455" w14:textId="77777777" w:rsidTr="39E70FB5">
        <w:tc>
          <w:tcPr>
            <w:tcW w:w="3120" w:type="dxa"/>
          </w:tcPr>
          <w:p w14:paraId="450D60F0" w14:textId="5253012F" w:rsidR="39E70FB5" w:rsidRDefault="39E70FB5">
            <w:r>
              <w:t>Cloud migration programme assurance</w:t>
            </w:r>
          </w:p>
        </w:tc>
        <w:tc>
          <w:tcPr>
            <w:tcW w:w="3120" w:type="dxa"/>
          </w:tcPr>
          <w:p w14:paraId="64E17816" w14:textId="4B30E7F3" w:rsidR="39E70FB5" w:rsidRDefault="39E70FB5">
            <w:r>
              <w:t>Migration of hundreds of mission-critical applications to AWS, described as one of the largest banking modernisation initiatives in the industry</w:t>
            </w:r>
          </w:p>
        </w:tc>
        <w:tc>
          <w:tcPr>
            <w:tcW w:w="3120" w:type="dxa"/>
          </w:tcPr>
          <w:p w14:paraId="798B3E4D" w14:textId="440ECEB7" w:rsidR="39E70FB5" w:rsidRDefault="39E70FB5">
            <w:r>
              <w:t>Multi-year, multi-platform migrations of payments, wealth and commercial banking applications fail on sequencing and dependency management long before they fail on technology.</w:t>
            </w:r>
          </w:p>
        </w:tc>
      </w:tr>
      <w:tr w:rsidR="39E70FB5" w14:paraId="3F9DB1C2" w14:textId="77777777" w:rsidTr="39E70FB5">
        <w:tc>
          <w:tcPr>
            <w:tcW w:w="3120" w:type="dxa"/>
          </w:tcPr>
          <w:p w14:paraId="44254C02" w14:textId="5B242F2C" w:rsidR="39E70FB5" w:rsidRDefault="39E70FB5">
            <w:r>
              <w:t>Contact centre and customer experience redesign</w:t>
            </w:r>
          </w:p>
        </w:tc>
        <w:tc>
          <w:tcPr>
            <w:tcW w:w="3120" w:type="dxa"/>
          </w:tcPr>
          <w:p w14:paraId="46EA39F9" w14:textId="540215F0" w:rsidR="39E70FB5" w:rsidRDefault="39E70FB5">
            <w:r>
              <w:t>Integration of hundreds of contact centres and thousands of toll-free lines onto Amazon Connect, per Andy Bingenheimer</w:t>
            </w:r>
          </w:p>
        </w:tc>
        <w:tc>
          <w:tcPr>
            <w:tcW w:w="3120" w:type="dxa"/>
          </w:tcPr>
          <w:p w14:paraId="58AF738A" w14:textId="4CDFFCB4" w:rsidR="39E70FB5" w:rsidRDefault="39E70FB5">
            <w:r>
              <w:t>The stated objective is 24/7 customer choice between self-service and human assistance across voice, chat and SMS. That is a service design and workforce problem as much as a platform one.</w:t>
            </w:r>
          </w:p>
        </w:tc>
      </w:tr>
      <w:tr w:rsidR="39E70FB5" w14:paraId="46E29A33" w14:textId="77777777" w:rsidTr="39E70FB5">
        <w:tc>
          <w:tcPr>
            <w:tcW w:w="3120" w:type="dxa"/>
          </w:tcPr>
          <w:p w14:paraId="4B8770A0" w14:textId="63F55D29" w:rsidR="39E70FB5" w:rsidRDefault="39E70FB5">
            <w:r>
              <w:t>Payments and merchant proposition</w:t>
            </w:r>
          </w:p>
        </w:tc>
        <w:tc>
          <w:tcPr>
            <w:tcW w:w="3120" w:type="dxa"/>
          </w:tcPr>
          <w:p w14:paraId="7D794BD5" w14:textId="5CD343ED" w:rsidR="39E70FB5" w:rsidRDefault="39E70FB5">
            <w:r>
              <w:t>Elavon expanded its All-In-One payments platform across North America, integrating payment acceptance, point-of-</w:t>
            </w:r>
            <w:r>
              <w:lastRenderedPageBreak/>
              <w:t>sale software and business operations for hospitality, healthcare and retail</w:t>
            </w:r>
          </w:p>
        </w:tc>
        <w:tc>
          <w:tcPr>
            <w:tcW w:w="3120" w:type="dxa"/>
          </w:tcPr>
          <w:p w14:paraId="40BEAD6A" w14:textId="55B12AB1" w:rsidR="39E70FB5" w:rsidRDefault="39E70FB5">
            <w:r>
              <w:lastRenderedPageBreak/>
              <w:t xml:space="preserve">Fee revenue grew 13.2 percent year over year. Platform expansion into named verticals creates </w:t>
            </w:r>
            <w:r>
              <w:lastRenderedPageBreak/>
              <w:t>demand for go-to-market and partner-ecosystem work.</w:t>
            </w:r>
          </w:p>
        </w:tc>
      </w:tr>
    </w:tbl>
    <w:p w14:paraId="196F7223" w14:textId="7F2A9E47" w:rsidR="39E70FB5" w:rsidRDefault="39E70FB5" w:rsidP="39E70FB5">
      <w:pPr>
        <w:pStyle w:val="Heading1"/>
      </w:pPr>
      <w:r w:rsidRPr="39E70FB5">
        <w:rPr>
          <w:color w:val="5D361B"/>
        </w:rPr>
        <w:lastRenderedPageBreak/>
        <w:t>Risks</w:t>
      </w:r>
    </w:p>
    <w:p w14:paraId="3ED45C01" w14:textId="4F9148A4" w:rsidR="39E70FB5" w:rsidRDefault="39E70FB5">
      <w:r w:rsidRPr="39E70FB5">
        <w:t xml:space="preserve">The largest risk on this account is not commercial. It is that the relationship has no institutional memory in your systems, which means continuity depends on individuals and nothing can be handed over, escalated or defended with evidence. The remaining risks </w:t>
      </w:r>
      <w:proofErr w:type="gramStart"/>
      <w:r w:rsidRPr="39E70FB5">
        <w:t>follow</w:t>
      </w:r>
      <w:proofErr w:type="gramEnd"/>
      <w:r w:rsidRPr="39E70FB5">
        <w:t xml:space="preserve"> from the customer's own agenda and from the competitive setting described in the next section.</w:t>
      </w:r>
    </w:p>
    <w:tbl>
      <w:tblPr>
        <w:tblStyle w:val="TableGrid"/>
        <w:tblW w:w="0" w:type="auto"/>
        <w:tblLook w:val="0000" w:firstRow="0" w:lastRow="0" w:firstColumn="0" w:lastColumn="0" w:noHBand="0" w:noVBand="0"/>
      </w:tblPr>
      <w:tblGrid>
        <w:gridCol w:w="3120"/>
        <w:gridCol w:w="3120"/>
        <w:gridCol w:w="3120"/>
      </w:tblGrid>
      <w:tr w:rsidR="39E70FB5" w14:paraId="5752D2A2" w14:textId="77777777" w:rsidTr="39E70FB5">
        <w:tc>
          <w:tcPr>
            <w:tcW w:w="3120" w:type="dxa"/>
          </w:tcPr>
          <w:p w14:paraId="20CD998E" w14:textId="1AF14C10" w:rsidR="39E70FB5" w:rsidRDefault="39E70FB5">
            <w:r>
              <w:t>Risk</w:t>
            </w:r>
          </w:p>
        </w:tc>
        <w:tc>
          <w:tcPr>
            <w:tcW w:w="3120" w:type="dxa"/>
          </w:tcPr>
          <w:p w14:paraId="64D5652F" w14:textId="13CF32D4" w:rsidR="39E70FB5" w:rsidRDefault="39E70FB5">
            <w:r>
              <w:t>Assessment</w:t>
            </w:r>
          </w:p>
        </w:tc>
        <w:tc>
          <w:tcPr>
            <w:tcW w:w="3120" w:type="dxa"/>
          </w:tcPr>
          <w:p w14:paraId="222F3379" w14:textId="0CAD1998" w:rsidR="39E70FB5" w:rsidRDefault="39E70FB5">
            <w:r>
              <w:t>Mitigation</w:t>
            </w:r>
          </w:p>
        </w:tc>
      </w:tr>
      <w:tr w:rsidR="39E70FB5" w14:paraId="648FEC01" w14:textId="77777777" w:rsidTr="39E70FB5">
        <w:tc>
          <w:tcPr>
            <w:tcW w:w="3120" w:type="dxa"/>
          </w:tcPr>
          <w:p w14:paraId="31066DD5" w14:textId="23C27A0D" w:rsidR="39E70FB5" w:rsidRDefault="39E70FB5">
            <w:r>
              <w:t>No internal record of the account</w:t>
            </w:r>
          </w:p>
        </w:tc>
        <w:tc>
          <w:tcPr>
            <w:tcW w:w="3120" w:type="dxa"/>
          </w:tcPr>
          <w:p w14:paraId="2194EAFE" w14:textId="1CA060D1" w:rsidR="39E70FB5" w:rsidRDefault="39E70FB5">
            <w:r>
              <w:t>High and immediate. Nothing in email, Teams, calendar or SharePoint evidences a live engagement this quarter; the only trace is a role-activation justification from 2 June 2026.</w:t>
            </w:r>
          </w:p>
        </w:tc>
        <w:tc>
          <w:tcPr>
            <w:tcW w:w="3120" w:type="dxa"/>
          </w:tcPr>
          <w:p w14:paraId="1413404F" w14:textId="157E4795" w:rsidR="39E70FB5" w:rsidRDefault="39E70FB5">
            <w:r>
              <w:t xml:space="preserve">Debrief Valene Samuels this week, reconstruct the contact and activity history from personal notes and CRM, and log it centrally so the next plan starts </w:t>
            </w:r>
            <w:proofErr w:type="gramStart"/>
            <w:r>
              <w:t>from</w:t>
            </w:r>
            <w:proofErr w:type="gramEnd"/>
            <w:r>
              <w:t xml:space="preserve"> evidence.</w:t>
            </w:r>
          </w:p>
        </w:tc>
      </w:tr>
      <w:tr w:rsidR="39E70FB5" w14:paraId="5B7DE4BD" w14:textId="77777777" w:rsidTr="39E70FB5">
        <w:tc>
          <w:tcPr>
            <w:tcW w:w="3120" w:type="dxa"/>
          </w:tcPr>
          <w:p w14:paraId="56A43600" w14:textId="2C93A80A" w:rsidR="39E70FB5" w:rsidRDefault="39E70FB5">
            <w:r>
              <w:t>Attention is consumed by the customer's own programmes</w:t>
            </w:r>
          </w:p>
        </w:tc>
        <w:tc>
          <w:tcPr>
            <w:tcW w:w="3120" w:type="dxa"/>
          </w:tcPr>
          <w:p w14:paraId="38B8CE3F" w14:textId="25718ECE" w:rsidR="39E70FB5" w:rsidRDefault="39E70FB5">
            <w:r>
              <w:t xml:space="preserve">High. BTIG integration and a multi-year AWS migration are running </w:t>
            </w:r>
            <w:proofErr w:type="gramStart"/>
            <w:r>
              <w:t>concurrently</w:t>
            </w:r>
            <w:proofErr w:type="gramEnd"/>
            <w:r>
              <w:t xml:space="preserve"> and both are executive-sponsored.</w:t>
            </w:r>
          </w:p>
        </w:tc>
        <w:tc>
          <w:tcPr>
            <w:tcW w:w="3120" w:type="dxa"/>
          </w:tcPr>
          <w:p w14:paraId="55E1C34F" w14:textId="1E4F7592" w:rsidR="39E70FB5" w:rsidRDefault="39E70FB5">
            <w:r>
              <w:t>Position offers as reducing execution load on those programmes rather than as a new initiative competing with them.</w:t>
            </w:r>
          </w:p>
        </w:tc>
      </w:tr>
      <w:tr w:rsidR="39E70FB5" w14:paraId="6965EEF0" w14:textId="77777777" w:rsidTr="39E70FB5">
        <w:tc>
          <w:tcPr>
            <w:tcW w:w="3120" w:type="dxa"/>
          </w:tcPr>
          <w:p w14:paraId="166AD5C3" w14:textId="3564D607" w:rsidR="39E70FB5" w:rsidRDefault="39E70FB5">
            <w:r>
              <w:t>Incumbent technology partner is entrenched</w:t>
            </w:r>
          </w:p>
        </w:tc>
        <w:tc>
          <w:tcPr>
            <w:tcW w:w="3120" w:type="dxa"/>
          </w:tcPr>
          <w:p w14:paraId="37422F46" w14:textId="2E42BCCB" w:rsidR="39E70FB5" w:rsidRDefault="39E70FB5">
            <w:r>
              <w:t>Medium to high. AWS is embedded across payments, wealth, commercial banking, contact centre and developer tooling, and is also delivering training and certification.</w:t>
            </w:r>
          </w:p>
        </w:tc>
        <w:tc>
          <w:tcPr>
            <w:tcW w:w="3120" w:type="dxa"/>
          </w:tcPr>
          <w:p w14:paraId="157C8623" w14:textId="2720A38F" w:rsidR="39E70FB5" w:rsidRDefault="39E70FB5">
            <w:proofErr w:type="gramStart"/>
            <w:r>
              <w:t>Compete</w:t>
            </w:r>
            <w:proofErr w:type="gramEnd"/>
            <w:r>
              <w:t xml:space="preserve"> on the layers AWS does not </w:t>
            </w:r>
            <w:proofErr w:type="gramStart"/>
            <w:r>
              <w:t>occupy:</w:t>
            </w:r>
            <w:proofErr w:type="gramEnd"/>
            <w:r>
              <w:t xml:space="preserve"> governance, controls, service design, change management and operating model.</w:t>
            </w:r>
          </w:p>
        </w:tc>
      </w:tr>
      <w:tr w:rsidR="39E70FB5" w14:paraId="74CE7561" w14:textId="77777777" w:rsidTr="39E70FB5">
        <w:tc>
          <w:tcPr>
            <w:tcW w:w="3120" w:type="dxa"/>
          </w:tcPr>
          <w:p w14:paraId="676556A9" w14:textId="3E360404" w:rsidR="39E70FB5" w:rsidRDefault="39E70FB5">
            <w:r>
              <w:t xml:space="preserve">Regulatory exposure </w:t>
            </w:r>
            <w:proofErr w:type="gramStart"/>
            <w:r>
              <w:t>of</w:t>
            </w:r>
            <w:proofErr w:type="gramEnd"/>
            <w:r>
              <w:t xml:space="preserve"> the AI programme</w:t>
            </w:r>
          </w:p>
        </w:tc>
        <w:tc>
          <w:tcPr>
            <w:tcW w:w="3120" w:type="dxa"/>
          </w:tcPr>
          <w:p w14:paraId="12574E39" w14:textId="3713EAC8" w:rsidR="39E70FB5" w:rsidRDefault="39E70FB5">
            <w:r>
              <w:t xml:space="preserve">Medium. Agentic self-service and compliance automation in a </w:t>
            </w:r>
            <w:proofErr w:type="gramStart"/>
            <w:r>
              <w:t>top-five</w:t>
            </w:r>
            <w:proofErr w:type="gramEnd"/>
            <w:r>
              <w:t xml:space="preserve"> commercial bank carry model-risk and supervisory scrutiny.</w:t>
            </w:r>
          </w:p>
        </w:tc>
        <w:tc>
          <w:tcPr>
            <w:tcW w:w="3120" w:type="dxa"/>
          </w:tcPr>
          <w:p w14:paraId="31A23895" w14:textId="2FF1D18C" w:rsidR="39E70FB5" w:rsidRDefault="39E70FB5">
            <w:r>
              <w:t xml:space="preserve">Lead with </w:t>
            </w:r>
            <w:proofErr w:type="gramStart"/>
            <w:r>
              <w:t>evidencing</w:t>
            </w:r>
            <w:proofErr w:type="gramEnd"/>
            <w:r>
              <w:t>, approval gates and auditability. This is a risk to the customer that converts into scope for you.</w:t>
            </w:r>
          </w:p>
        </w:tc>
      </w:tr>
      <w:tr w:rsidR="39E70FB5" w14:paraId="3437B671" w14:textId="77777777" w:rsidTr="39E70FB5">
        <w:tc>
          <w:tcPr>
            <w:tcW w:w="3120" w:type="dxa"/>
          </w:tcPr>
          <w:p w14:paraId="2ECD13C8" w14:textId="47073201" w:rsidR="39E70FB5" w:rsidRDefault="39E70FB5">
            <w:r>
              <w:t>Consolidation reshapes the peer set</w:t>
            </w:r>
          </w:p>
        </w:tc>
        <w:tc>
          <w:tcPr>
            <w:tcW w:w="3120" w:type="dxa"/>
          </w:tcPr>
          <w:p w14:paraId="24BE158C" w14:textId="3FE518C5" w:rsidR="39E70FB5" w:rsidRDefault="39E70FB5">
            <w:r>
              <w:t xml:space="preserve">Medium. Mid-tier regional banking is an active consolidation </w:t>
            </w:r>
            <w:proofErr w:type="gramStart"/>
            <w:r>
              <w:t>field</w:t>
            </w:r>
            <w:proofErr w:type="gramEnd"/>
            <w:r>
              <w:t xml:space="preserve"> and priorities can be redirected by a transaction at short notice.</w:t>
            </w:r>
          </w:p>
        </w:tc>
        <w:tc>
          <w:tcPr>
            <w:tcW w:w="3120" w:type="dxa"/>
          </w:tcPr>
          <w:p w14:paraId="2DE8E7FC" w14:textId="38C2FF89" w:rsidR="39E70FB5" w:rsidRDefault="39E70FB5">
            <w:r>
              <w:t>Track peer announcements monthly and keep proposals modular so scope can be re-cut rather than withdrawn.</w:t>
            </w:r>
          </w:p>
        </w:tc>
      </w:tr>
      <w:tr w:rsidR="39E70FB5" w14:paraId="6F9A3265" w14:textId="77777777" w:rsidTr="39E70FB5">
        <w:tc>
          <w:tcPr>
            <w:tcW w:w="3120" w:type="dxa"/>
          </w:tcPr>
          <w:p w14:paraId="1E071410" w14:textId="4FD85FFE" w:rsidR="39E70FB5" w:rsidRDefault="39E70FB5">
            <w:r>
              <w:t>Margin and rate sensitivity</w:t>
            </w:r>
          </w:p>
        </w:tc>
        <w:tc>
          <w:tcPr>
            <w:tcW w:w="3120" w:type="dxa"/>
          </w:tcPr>
          <w:p w14:paraId="6B3909CB" w14:textId="48B646C2" w:rsidR="39E70FB5" w:rsidRDefault="39E70FB5">
            <w:r>
              <w:t>Low to medium near term. Net interest margin was 2.79 percent at Q2 2026, up 13 basis points year over year, and credit quality was described as continuing to improve.</w:t>
            </w:r>
          </w:p>
        </w:tc>
        <w:tc>
          <w:tcPr>
            <w:tcW w:w="3120" w:type="dxa"/>
          </w:tcPr>
          <w:p w14:paraId="7543CA2C" w14:textId="41942D86" w:rsidR="39E70FB5" w:rsidRDefault="39E70FB5">
            <w:r>
              <w:t>Favourable now, but discretionary spend tightens quickly if the backdrop turns. Prefer outcome-linked, phased commercial structures.</w:t>
            </w:r>
          </w:p>
        </w:tc>
      </w:tr>
    </w:tbl>
    <w:p w14:paraId="2145CC03" w14:textId="1093A030" w:rsidR="39E70FB5" w:rsidRDefault="39E70FB5" w:rsidP="39E70FB5">
      <w:pPr>
        <w:pStyle w:val="Heading1"/>
      </w:pPr>
      <w:r w:rsidRPr="39E70FB5">
        <w:rPr>
          <w:color w:val="5D361B"/>
        </w:rPr>
        <w:lastRenderedPageBreak/>
        <w:t>Competitive landscape</w:t>
      </w:r>
    </w:p>
    <w:p w14:paraId="479BEE0E" w14:textId="43A1CCAB" w:rsidR="39E70FB5" w:rsidRDefault="39E70FB5">
      <w:r w:rsidRPr="39E70FB5">
        <w:t>U.S. Bancorp is the fifth-largest commercial bank in the United States, serving roughly 15 million clients across the U.S., Canada and Europe with nearly 70,000 employees, and ranks 105th on the Fortune 500 (AWS press release, 7 May 2026). Its nationwide network serves approximately 13 million consumers and 1.4 million businesses. That places it in a distinct competitive band: too large to compete as a regional, not large enough to match the technology budgets of the money-centre banks.</w:t>
      </w:r>
    </w:p>
    <w:p w14:paraId="1329D1A8" w14:textId="7C9D1F11" w:rsidR="39E70FB5" w:rsidRDefault="39E70FB5">
      <w:r w:rsidRPr="39E70FB5">
        <w:t xml:space="preserve">Two peer sets matter. Against the national banks — JPMorgan Chase, Bank of America and Wells Fargo — U.S. Bancorp cannot win on absolute scale of investment, which is a plausible reason it has chosen a deep single-hyperscaler partnership rather than building broad in-house platform capability. Against the mid-tier regionals — PNC, Truist, Fifth Third and Regions — the </w:t>
      </w:r>
      <w:proofErr w:type="gramStart"/>
      <w:r w:rsidRPr="39E70FB5">
        <w:t>differentiator it</w:t>
      </w:r>
      <w:proofErr w:type="gramEnd"/>
      <w:r w:rsidRPr="39E70FB5">
        <w:t xml:space="preserve"> markets is business mix: a distinct payment services segment, and now capital markets through BTIG, where PNC by contrast is organised around three core segments and relationship banking. Deposit beta, commercial real estate exposure and net interest margin dynamics are the metrics on which this cohort is compared.</w:t>
      </w:r>
    </w:p>
    <w:p w14:paraId="22EF4FDF" w14:textId="2ACABB79" w:rsidR="39E70FB5" w:rsidRDefault="39E70FB5">
      <w:r w:rsidRPr="39E70FB5">
        <w:t xml:space="preserve">The competitive picture that matters for your own positioning is narrower than the banking league table. The incumbent on this account is AWS, and its footprint is unusually broad: platform, generative AI services, contact centre, migration tooling through AWS Transform and Amazon Kiro, and workforce training and certification. Displacement is not a realistic strategy. The defensible space is the work a hyperscaler does not sell — AI governance and model risk, regulatory evidencing, service and channel design, integration change management, and the operating model that </w:t>
      </w:r>
      <w:proofErr w:type="gramStart"/>
      <w:r w:rsidRPr="39E70FB5">
        <w:t>has to</w:t>
      </w:r>
      <w:proofErr w:type="gramEnd"/>
      <w:r w:rsidRPr="39E70FB5">
        <w:t xml:space="preserve"> hold a broker-dealer acquisition and </w:t>
      </w:r>
      <w:proofErr w:type="gramStart"/>
      <w:r w:rsidRPr="39E70FB5">
        <w:t>a platform</w:t>
      </w:r>
      <w:proofErr w:type="gramEnd"/>
      <w:r w:rsidRPr="39E70FB5">
        <w:t xml:space="preserve"> migration at the same time. Position adjacent to the incumbent, on the risk side of the ledger.</w:t>
      </w:r>
    </w:p>
    <w:p w14:paraId="5202BEB9" w14:textId="1F9F3717" w:rsidR="39E70FB5" w:rsidRDefault="39E70FB5" w:rsidP="39E70FB5">
      <w:pPr>
        <w:pStyle w:val="Heading1"/>
      </w:pPr>
      <w:r w:rsidRPr="39E70FB5">
        <w:rPr>
          <w:color w:val="5D361B"/>
        </w:rPr>
        <w:t>90-day action plan</w:t>
      </w:r>
    </w:p>
    <w:p w14:paraId="7B2533BF" w14:textId="7C0E2228" w:rsidR="39E70FB5" w:rsidRDefault="39E70FB5">
      <w:r w:rsidRPr="39E70FB5">
        <w:t xml:space="preserve">The plan runs from 3 September to 2 December 2026 and is deliberately front-loaded with reconstruction. Nothing external should be attempted until the internal record exists, because a proposal built on an unverified relationship history is the fastest way to lose credibility with a customer of this size. Owners are named where they can be; where an owner is </w:t>
      </w:r>
      <w:proofErr w:type="gramStart"/>
      <w:r w:rsidRPr="39E70FB5">
        <w:t>unresolved</w:t>
      </w:r>
      <w:proofErr w:type="gramEnd"/>
      <w:r w:rsidRPr="39E70FB5">
        <w:t xml:space="preserve"> the row says so rather than assigning work to a placeholder.</w:t>
      </w:r>
    </w:p>
    <w:tbl>
      <w:tblPr>
        <w:tblStyle w:val="TableGrid"/>
        <w:tblW w:w="0" w:type="auto"/>
        <w:tblLook w:val="0000" w:firstRow="0" w:lastRow="0" w:firstColumn="0" w:lastColumn="0" w:noHBand="0" w:noVBand="0"/>
      </w:tblPr>
      <w:tblGrid>
        <w:gridCol w:w="2340"/>
        <w:gridCol w:w="2340"/>
        <w:gridCol w:w="2340"/>
        <w:gridCol w:w="2340"/>
      </w:tblGrid>
      <w:tr w:rsidR="39E70FB5" w14:paraId="7E025A43" w14:textId="77777777" w:rsidTr="39E70FB5">
        <w:tc>
          <w:tcPr>
            <w:tcW w:w="2340" w:type="dxa"/>
          </w:tcPr>
          <w:p w14:paraId="5AC94073" w14:textId="6A4BE9F5" w:rsidR="39E70FB5" w:rsidRDefault="39E70FB5">
            <w:r>
              <w:t>Window</w:t>
            </w:r>
          </w:p>
        </w:tc>
        <w:tc>
          <w:tcPr>
            <w:tcW w:w="2340" w:type="dxa"/>
          </w:tcPr>
          <w:p w14:paraId="73BC70B6" w14:textId="6329D0B9" w:rsidR="39E70FB5" w:rsidRDefault="39E70FB5">
            <w:r>
              <w:t>Action</w:t>
            </w:r>
          </w:p>
        </w:tc>
        <w:tc>
          <w:tcPr>
            <w:tcW w:w="2340" w:type="dxa"/>
          </w:tcPr>
          <w:p w14:paraId="14C3AAC9" w14:textId="5C07B77D" w:rsidR="39E70FB5" w:rsidRDefault="39E70FB5">
            <w:r>
              <w:t>Owner</w:t>
            </w:r>
          </w:p>
        </w:tc>
        <w:tc>
          <w:tcPr>
            <w:tcW w:w="2340" w:type="dxa"/>
          </w:tcPr>
          <w:p w14:paraId="76737F63" w14:textId="54E59E41" w:rsidR="39E70FB5" w:rsidRDefault="39E70FB5">
            <w:r>
              <w:t>Outcome that proves it worked</w:t>
            </w:r>
          </w:p>
        </w:tc>
      </w:tr>
      <w:tr w:rsidR="39E70FB5" w14:paraId="74E46F13" w14:textId="77777777" w:rsidTr="39E70FB5">
        <w:tc>
          <w:tcPr>
            <w:tcW w:w="2340" w:type="dxa"/>
          </w:tcPr>
          <w:p w14:paraId="434FE510" w14:textId="6BFAFEB6" w:rsidR="39E70FB5" w:rsidRDefault="39E70FB5">
            <w:r>
              <w:t>Days 1–14 (3–16 Sep)</w:t>
            </w:r>
          </w:p>
        </w:tc>
        <w:tc>
          <w:tcPr>
            <w:tcW w:w="2340" w:type="dxa"/>
          </w:tcPr>
          <w:p w14:paraId="758C8405" w14:textId="64D8E57A" w:rsidR="39E70FB5" w:rsidRDefault="39E70FB5">
            <w:r>
              <w:t>Debrief Valene Samuels on the June demo preparation: what was demonstrated, to whom, and what followed.</w:t>
            </w:r>
          </w:p>
        </w:tc>
        <w:tc>
          <w:tcPr>
            <w:tcW w:w="2340" w:type="dxa"/>
          </w:tcPr>
          <w:p w14:paraId="3AD6ECFD" w14:textId="5DB6CC3E" w:rsidR="39E70FB5" w:rsidRDefault="39E70FB5">
            <w:r>
              <w:t>Bojan Buhac</w:t>
            </w:r>
          </w:p>
        </w:tc>
        <w:tc>
          <w:tcPr>
            <w:tcW w:w="2340" w:type="dxa"/>
          </w:tcPr>
          <w:p w14:paraId="13F28B7E" w14:textId="5694B302" w:rsidR="39E70FB5" w:rsidRDefault="39E70FB5">
            <w:r>
              <w:t>A written account of the June activity, with names, exists where it can be found again.</w:t>
            </w:r>
          </w:p>
        </w:tc>
      </w:tr>
      <w:tr w:rsidR="39E70FB5" w14:paraId="41E05C02" w14:textId="77777777" w:rsidTr="39E70FB5">
        <w:tc>
          <w:tcPr>
            <w:tcW w:w="2340" w:type="dxa"/>
          </w:tcPr>
          <w:p w14:paraId="519F38E8" w14:textId="6DAA1377" w:rsidR="39E70FB5" w:rsidRDefault="39E70FB5">
            <w:r>
              <w:t>Days 1–14</w:t>
            </w:r>
          </w:p>
        </w:tc>
        <w:tc>
          <w:tcPr>
            <w:tcW w:w="2340" w:type="dxa"/>
          </w:tcPr>
          <w:p w14:paraId="50AE29FA" w14:textId="6687FA3B" w:rsidR="39E70FB5" w:rsidRDefault="39E70FB5">
            <w:r>
              <w:t xml:space="preserve">Reconstruct the contact and activity </w:t>
            </w:r>
            <w:r>
              <w:lastRenderedPageBreak/>
              <w:t>history from personal notes, CRM and any offline records, and log it centrally.</w:t>
            </w:r>
          </w:p>
        </w:tc>
        <w:tc>
          <w:tcPr>
            <w:tcW w:w="2340" w:type="dxa"/>
          </w:tcPr>
          <w:p w14:paraId="70AA3BEA" w14:textId="5F65E0FF" w:rsidR="39E70FB5" w:rsidRDefault="39E70FB5">
            <w:r>
              <w:lastRenderedPageBreak/>
              <w:t>Bojan Buhac</w:t>
            </w:r>
          </w:p>
        </w:tc>
        <w:tc>
          <w:tcPr>
            <w:tcW w:w="2340" w:type="dxa"/>
          </w:tcPr>
          <w:p w14:paraId="76C05D99" w14:textId="5843C7C3" w:rsidR="39E70FB5" w:rsidRDefault="39E70FB5">
            <w:r>
              <w:t xml:space="preserve">The account has a searchable internal </w:t>
            </w:r>
            <w:r>
              <w:lastRenderedPageBreak/>
              <w:t>record for the first time.</w:t>
            </w:r>
          </w:p>
        </w:tc>
      </w:tr>
      <w:tr w:rsidR="39E70FB5" w14:paraId="14A95CBC" w14:textId="77777777" w:rsidTr="39E70FB5">
        <w:tc>
          <w:tcPr>
            <w:tcW w:w="2340" w:type="dxa"/>
          </w:tcPr>
          <w:p w14:paraId="5ACBBEAB" w14:textId="6F592838" w:rsidR="39E70FB5" w:rsidRDefault="39E70FB5">
            <w:r>
              <w:lastRenderedPageBreak/>
              <w:t>Days 1–14</w:t>
            </w:r>
          </w:p>
        </w:tc>
        <w:tc>
          <w:tcPr>
            <w:tcW w:w="2340" w:type="dxa"/>
          </w:tcPr>
          <w:p w14:paraId="686BFC08" w14:textId="68370EFC" w:rsidR="39E70FB5" w:rsidRDefault="39E70FB5">
            <w:r>
              <w:t>Confirm internally who owns the U.S. Bank relationship commercially and whether an agreement or prior statement of work exists.</w:t>
            </w:r>
          </w:p>
        </w:tc>
        <w:tc>
          <w:tcPr>
            <w:tcW w:w="2340" w:type="dxa"/>
          </w:tcPr>
          <w:p w14:paraId="38F9F252" w14:textId="6114F5C0" w:rsidR="39E70FB5" w:rsidRDefault="39E70FB5">
            <w:r>
              <w:t>Bojan Buhac with Lisa Taylor</w:t>
            </w:r>
          </w:p>
        </w:tc>
        <w:tc>
          <w:tcPr>
            <w:tcW w:w="2340" w:type="dxa"/>
          </w:tcPr>
          <w:p w14:paraId="502A9576" w14:textId="59F2DC84" w:rsidR="39E70FB5" w:rsidRDefault="39E70FB5">
            <w:r>
              <w:t>Ownership is unambiguous and any contractual footing is known.</w:t>
            </w:r>
          </w:p>
        </w:tc>
      </w:tr>
      <w:tr w:rsidR="39E70FB5" w14:paraId="3BE27DFE" w14:textId="77777777" w:rsidTr="39E70FB5">
        <w:tc>
          <w:tcPr>
            <w:tcW w:w="2340" w:type="dxa"/>
          </w:tcPr>
          <w:p w14:paraId="2A9E148A" w14:textId="71083CF9" w:rsidR="39E70FB5" w:rsidRDefault="39E70FB5">
            <w:r>
              <w:t>Days 15–30 (17–30 Sep)</w:t>
            </w:r>
          </w:p>
        </w:tc>
        <w:tc>
          <w:tcPr>
            <w:tcW w:w="2340" w:type="dxa"/>
          </w:tcPr>
          <w:p w14:paraId="3ECFB7DD" w14:textId="69E623BD" w:rsidR="39E70FB5" w:rsidRDefault="39E70FB5">
            <w:r>
              <w:t>Build the coverage target list across the CIO organisation, the BTIG integration team and procurement, and identify introduction routes.</w:t>
            </w:r>
          </w:p>
        </w:tc>
        <w:tc>
          <w:tcPr>
            <w:tcW w:w="2340" w:type="dxa"/>
          </w:tcPr>
          <w:p w14:paraId="6F0629E8" w14:textId="62C40A81" w:rsidR="39E70FB5" w:rsidRDefault="39E70FB5">
            <w:r>
              <w:t>Bojan Buhac</w:t>
            </w:r>
          </w:p>
        </w:tc>
        <w:tc>
          <w:tcPr>
            <w:tcW w:w="2340" w:type="dxa"/>
          </w:tcPr>
          <w:p w14:paraId="3387615D" w14:textId="5BA1F145" w:rsidR="39E70FB5" w:rsidRDefault="39E70FB5">
            <w:r>
              <w:t>At least three named targets with a stated route to each.</w:t>
            </w:r>
          </w:p>
        </w:tc>
      </w:tr>
      <w:tr w:rsidR="39E70FB5" w14:paraId="34DD3E94" w14:textId="77777777" w:rsidTr="39E70FB5">
        <w:tc>
          <w:tcPr>
            <w:tcW w:w="2340" w:type="dxa"/>
          </w:tcPr>
          <w:p w14:paraId="608AE9D0" w14:textId="72B751BA" w:rsidR="39E70FB5" w:rsidRDefault="39E70FB5">
            <w:r>
              <w:t>Days 15–30</w:t>
            </w:r>
          </w:p>
        </w:tc>
        <w:tc>
          <w:tcPr>
            <w:tcW w:w="2340" w:type="dxa"/>
          </w:tcPr>
          <w:p w14:paraId="7EA62EDC" w14:textId="6B95387E" w:rsidR="39E70FB5" w:rsidRDefault="39E70FB5">
            <w:r>
              <w:t>Read the Q2 2026 earnings supplement and slide presentation in full and extract the operating-leverage and productivity language the bank uses about itself.</w:t>
            </w:r>
          </w:p>
        </w:tc>
        <w:tc>
          <w:tcPr>
            <w:tcW w:w="2340" w:type="dxa"/>
          </w:tcPr>
          <w:p w14:paraId="116DCBCD" w14:textId="64731F42" w:rsidR="39E70FB5" w:rsidRDefault="39E70FB5">
            <w:r>
              <w:t>Bojan Buhac</w:t>
            </w:r>
          </w:p>
        </w:tc>
        <w:tc>
          <w:tcPr>
            <w:tcW w:w="2340" w:type="dxa"/>
          </w:tcPr>
          <w:p w14:paraId="5591DD9D" w14:textId="5D510606" w:rsidR="39E70FB5" w:rsidRDefault="39E70FB5">
            <w:r>
              <w:t>Proposals speak the customer's own vocabulary rather than generic transformation language.</w:t>
            </w:r>
          </w:p>
        </w:tc>
      </w:tr>
      <w:tr w:rsidR="39E70FB5" w14:paraId="477DA4B5" w14:textId="77777777" w:rsidTr="39E70FB5">
        <w:tc>
          <w:tcPr>
            <w:tcW w:w="2340" w:type="dxa"/>
          </w:tcPr>
          <w:p w14:paraId="35B470D9" w14:textId="7466667B" w:rsidR="39E70FB5" w:rsidRDefault="39E70FB5">
            <w:r>
              <w:t>Days 31–45 (1–15 Oct)</w:t>
            </w:r>
          </w:p>
        </w:tc>
        <w:tc>
          <w:tcPr>
            <w:tcW w:w="2340" w:type="dxa"/>
          </w:tcPr>
          <w:p w14:paraId="7865355F" w14:textId="6D444D3F" w:rsidR="39E70FB5" w:rsidRDefault="39E70FB5">
            <w:r>
              <w:t>Draft two point-of-view papers: AI governance for agentic banking self-service, and integration change management for a broker-dealer acquisition.</w:t>
            </w:r>
          </w:p>
        </w:tc>
        <w:tc>
          <w:tcPr>
            <w:tcW w:w="2340" w:type="dxa"/>
          </w:tcPr>
          <w:p w14:paraId="68C63636" w14:textId="66223403" w:rsidR="39E70FB5" w:rsidRDefault="39E70FB5">
            <w:r>
              <w:t>Bojan Buhac</w:t>
            </w:r>
          </w:p>
        </w:tc>
        <w:tc>
          <w:tcPr>
            <w:tcW w:w="2340" w:type="dxa"/>
          </w:tcPr>
          <w:p w14:paraId="122BF240" w14:textId="5F001AC7" w:rsidR="39E70FB5" w:rsidRDefault="39E70FB5">
            <w:r>
              <w:t xml:space="preserve">Two documents </w:t>
            </w:r>
            <w:proofErr w:type="gramStart"/>
            <w:r>
              <w:t>fit</w:t>
            </w:r>
            <w:proofErr w:type="gramEnd"/>
            <w:r>
              <w:t xml:space="preserve"> to </w:t>
            </w:r>
            <w:proofErr w:type="gramStart"/>
            <w:r>
              <w:t>send</w:t>
            </w:r>
            <w:proofErr w:type="gramEnd"/>
            <w:r>
              <w:t xml:space="preserve"> without further editing.</w:t>
            </w:r>
          </w:p>
        </w:tc>
      </w:tr>
      <w:tr w:rsidR="39E70FB5" w14:paraId="13D42C65" w14:textId="77777777" w:rsidTr="39E70FB5">
        <w:tc>
          <w:tcPr>
            <w:tcW w:w="2340" w:type="dxa"/>
          </w:tcPr>
          <w:p w14:paraId="3574D838" w14:textId="76157B3C" w:rsidR="39E70FB5" w:rsidRDefault="39E70FB5">
            <w:r>
              <w:t>Days 31–60 (1–31 Oct)</w:t>
            </w:r>
          </w:p>
        </w:tc>
        <w:tc>
          <w:tcPr>
            <w:tcW w:w="2340" w:type="dxa"/>
          </w:tcPr>
          <w:p w14:paraId="5D9AA8C2" w14:textId="6EF36200" w:rsidR="39E70FB5" w:rsidRDefault="39E70FB5">
            <w:r>
              <w:t>Secure a first exploratory conversation in the CIO Corporate Functions organisation, using the AI governance paper as the reason to meet.</w:t>
            </w:r>
          </w:p>
        </w:tc>
        <w:tc>
          <w:tcPr>
            <w:tcW w:w="2340" w:type="dxa"/>
          </w:tcPr>
          <w:p w14:paraId="2BC525DB" w14:textId="67D148C4" w:rsidR="39E70FB5" w:rsidRDefault="39E70FB5">
            <w:r>
              <w:t>Bojan Buhac</w:t>
            </w:r>
          </w:p>
        </w:tc>
        <w:tc>
          <w:tcPr>
            <w:tcW w:w="2340" w:type="dxa"/>
          </w:tcPr>
          <w:p w14:paraId="13D493B7" w14:textId="60AF2F88" w:rsidR="39E70FB5" w:rsidRDefault="39E70FB5">
            <w:r>
              <w:t xml:space="preserve">A meeting </w:t>
            </w:r>
            <w:proofErr w:type="gramStart"/>
            <w:r>
              <w:t>held</w:t>
            </w:r>
            <w:proofErr w:type="gramEnd"/>
            <w:r>
              <w:t>, with a follow-up agreed.</w:t>
            </w:r>
          </w:p>
        </w:tc>
      </w:tr>
      <w:tr w:rsidR="39E70FB5" w14:paraId="6C15277E" w14:textId="77777777" w:rsidTr="39E70FB5">
        <w:tc>
          <w:tcPr>
            <w:tcW w:w="2340" w:type="dxa"/>
          </w:tcPr>
          <w:p w14:paraId="2135EDA0" w14:textId="77C48FFD" w:rsidR="39E70FB5" w:rsidRDefault="39E70FB5">
            <w:r>
              <w:t>Days 46–60 (16–31 Oct)</w:t>
            </w:r>
          </w:p>
        </w:tc>
        <w:tc>
          <w:tcPr>
            <w:tcW w:w="2340" w:type="dxa"/>
          </w:tcPr>
          <w:p w14:paraId="33670AEF" w14:textId="70A276C1" w:rsidR="39E70FB5" w:rsidRDefault="39E70FB5">
            <w:r>
              <w:t xml:space="preserve">Monitor Q3 2026 results, expected mid-October, and update this plan against what </w:t>
            </w:r>
            <w:r>
              <w:lastRenderedPageBreak/>
              <w:t>changes in guidance, mix and integration commentary.</w:t>
            </w:r>
          </w:p>
        </w:tc>
        <w:tc>
          <w:tcPr>
            <w:tcW w:w="2340" w:type="dxa"/>
          </w:tcPr>
          <w:p w14:paraId="7E43CBB7" w14:textId="69805D85" w:rsidR="39E70FB5" w:rsidRDefault="39E70FB5">
            <w:r>
              <w:lastRenderedPageBreak/>
              <w:t>Bojan Buhac</w:t>
            </w:r>
          </w:p>
        </w:tc>
        <w:tc>
          <w:tcPr>
            <w:tcW w:w="2340" w:type="dxa"/>
          </w:tcPr>
          <w:p w14:paraId="26567B80" w14:textId="625E4449" w:rsidR="39E70FB5" w:rsidRDefault="39E70FB5">
            <w:r>
              <w:t>The plan is revised within a week of the release.</w:t>
            </w:r>
          </w:p>
        </w:tc>
      </w:tr>
      <w:tr w:rsidR="39E70FB5" w14:paraId="6399D22B" w14:textId="77777777" w:rsidTr="39E70FB5">
        <w:tc>
          <w:tcPr>
            <w:tcW w:w="2340" w:type="dxa"/>
          </w:tcPr>
          <w:p w14:paraId="4CD45A39" w14:textId="7973A4BE" w:rsidR="39E70FB5" w:rsidRDefault="39E70FB5">
            <w:r>
              <w:t>Days 61–75 (1–15 Nov)</w:t>
            </w:r>
          </w:p>
        </w:tc>
        <w:tc>
          <w:tcPr>
            <w:tcW w:w="2340" w:type="dxa"/>
          </w:tcPr>
          <w:p w14:paraId="338D78F6" w14:textId="72518B82" w:rsidR="39E70FB5" w:rsidRDefault="39E70FB5">
            <w:r>
              <w:t>Shape one scoped, phased proposal from whichever opportunity the exploratory conversations validated. Do not propose against an unvalidated hypothesis.</w:t>
            </w:r>
          </w:p>
        </w:tc>
        <w:tc>
          <w:tcPr>
            <w:tcW w:w="2340" w:type="dxa"/>
          </w:tcPr>
          <w:p w14:paraId="7BDB432C" w14:textId="6B2F7246" w:rsidR="39E70FB5" w:rsidRDefault="39E70FB5">
            <w:r>
              <w:t>Bojan Buhac</w:t>
            </w:r>
          </w:p>
        </w:tc>
        <w:tc>
          <w:tcPr>
            <w:tcW w:w="2340" w:type="dxa"/>
          </w:tcPr>
          <w:p w14:paraId="18325567" w14:textId="640D590A" w:rsidR="39E70FB5" w:rsidRDefault="39E70FB5">
            <w:r>
              <w:t>A proposal with defined phases, decision points and commercial structure.</w:t>
            </w:r>
          </w:p>
        </w:tc>
      </w:tr>
      <w:tr w:rsidR="39E70FB5" w14:paraId="4524DF54" w14:textId="77777777" w:rsidTr="39E70FB5">
        <w:tc>
          <w:tcPr>
            <w:tcW w:w="2340" w:type="dxa"/>
          </w:tcPr>
          <w:p w14:paraId="4CC0AE13" w14:textId="7B22B97F" w:rsidR="39E70FB5" w:rsidRDefault="39E70FB5">
            <w:r>
              <w:t>Days 76–90 (16 Nov–2 Dec)</w:t>
            </w:r>
          </w:p>
        </w:tc>
        <w:tc>
          <w:tcPr>
            <w:tcW w:w="2340" w:type="dxa"/>
          </w:tcPr>
          <w:p w14:paraId="183665D2" w14:textId="7400A043" w:rsidR="39E70FB5" w:rsidRDefault="39E70FB5">
            <w:r>
              <w:t xml:space="preserve">Review the account with your manager, including whether it justifies continued investment </w:t>
            </w:r>
            <w:proofErr w:type="gramStart"/>
            <w:r>
              <w:t>on</w:t>
            </w:r>
            <w:proofErr w:type="gramEnd"/>
            <w:r>
              <w:t xml:space="preserve"> the evidence gathered.</w:t>
            </w:r>
          </w:p>
        </w:tc>
        <w:tc>
          <w:tcPr>
            <w:tcW w:w="2340" w:type="dxa"/>
          </w:tcPr>
          <w:p w14:paraId="6B9F02E5" w14:textId="6CDE8707" w:rsidR="39E70FB5" w:rsidRDefault="39E70FB5">
            <w:r>
              <w:t>Bojan Buhac with Lisa Taylor</w:t>
            </w:r>
          </w:p>
        </w:tc>
        <w:tc>
          <w:tcPr>
            <w:tcW w:w="2340" w:type="dxa"/>
          </w:tcPr>
          <w:p w14:paraId="1A1F7DDC" w14:textId="65BC6DCB" w:rsidR="39E70FB5" w:rsidRDefault="39E70FB5">
            <w:r>
              <w:t>A documented decision to invest, hold or release the account.</w:t>
            </w:r>
          </w:p>
        </w:tc>
      </w:tr>
    </w:tbl>
    <w:p w14:paraId="3C94D88F" w14:textId="75D343D3" w:rsidR="39E70FB5" w:rsidRDefault="39E70FB5" w:rsidP="39E70FB5">
      <w:pPr>
        <w:pStyle w:val="Heading1"/>
      </w:pPr>
      <w:r w:rsidRPr="39E70FB5">
        <w:rPr>
          <w:color w:val="5D361B"/>
        </w:rPr>
        <w:t>Sources</w:t>
      </w:r>
    </w:p>
    <w:p w14:paraId="7483CAA8" w14:textId="57FF867A" w:rsidR="39E70FB5" w:rsidRDefault="39E70FB5" w:rsidP="39E70FB5">
      <w:pPr>
        <w:pStyle w:val="Heading2"/>
      </w:pPr>
      <w:r w:rsidRPr="39E70FB5">
        <w:rPr>
          <w:color w:val="5D361B"/>
        </w:rPr>
        <w:t>Internal (Microsoft 365)</w:t>
      </w:r>
    </w:p>
    <w:p w14:paraId="599991D1" w14:textId="4C5ACBE3" w:rsidR="39E70FB5" w:rsidRDefault="39E70FB5">
      <w:r w:rsidRPr="39E70FB5">
        <w:t>Mailbox, Teams chats, calendar and SharePoint/OneDrive were searched for the period 1 July to 3 September 2026, and more broadly for the 2026 calendar year, for U.S. Bank, U.S. Bancorp and general banking terms. The searches returned no engagement material. The single relevant item is a Privileged Identity Management notification from Microsoft Security dated 2 June 2026, recording that Valene Samuels activated the AI Administrator role with the justification "Customer demo prep - US Bank". Directory lookup confirms Valene Samuels as a Consultant in Information Technology at How2Demos.</w:t>
      </w:r>
    </w:p>
    <w:p w14:paraId="6DEA1B2A" w14:textId="258107FE" w:rsidR="39E70FB5" w:rsidRDefault="39E70FB5" w:rsidP="39E70FB5">
      <w:pPr>
        <w:pStyle w:val="Heading2"/>
      </w:pPr>
      <w:r w:rsidRPr="39E70FB5">
        <w:rPr>
          <w:color w:val="5D361B"/>
        </w:rPr>
        <w:t>Public (web)</w:t>
      </w:r>
    </w:p>
    <w:p w14:paraId="4CFA172D" w14:textId="6DD7AD20" w:rsidR="39E70FB5" w:rsidRDefault="39E70FB5">
      <w:r w:rsidRPr="39E70FB5">
        <w:rPr>
          <w:sz w:val="20"/>
          <w:szCs w:val="20"/>
        </w:rPr>
        <w:t>U.S. Bancorp, "U.S. Bancorp reports second quarter 2026 results", 16 July 2026. Source of all Q2 2026 financial figures, the CEO commentary, the BTIG completion detail and the Elavon All-In-One platform expansion. https://www.usbank.com/about-us-bank/news-and-stories/article-library/us-bancorp-reports-second-quarter-2026-results.html</w:t>
      </w:r>
    </w:p>
    <w:p w14:paraId="14C66662" w14:textId="3BE1CA33" w:rsidR="39E70FB5" w:rsidRDefault="39E70FB5">
      <w:r w:rsidRPr="39E70FB5">
        <w:rPr>
          <w:sz w:val="20"/>
          <w:szCs w:val="20"/>
        </w:rPr>
        <w:t>Amazon Web Services, "U.S. Bank Expands Collaboration with AWS to Accelerate Progressive Technology Transformation and AI-Driven Customer Experience Innovation", 7 May 2026. Source of the migration scope, the generative-AI use cases, the Bingenheimer and Mullins quotations, the training programmes and the company profile figures. https://press.aboutamazon.com/aws/2026/5/u-s-bank-expands-collaboration-with-aws-to-accelerate-progressive-technology-transformation-and-ai-driven-customer-experience-innovation</w:t>
      </w:r>
    </w:p>
    <w:p w14:paraId="6D00BF82" w14:textId="42BB15BB" w:rsidR="39E70FB5" w:rsidRDefault="39E70FB5">
      <w:r w:rsidRPr="39E70FB5">
        <w:rPr>
          <w:sz w:val="20"/>
          <w:szCs w:val="20"/>
        </w:rPr>
        <w:t xml:space="preserve">Hudson Labs, "PNC Competitors: PNC Top Peers in 2026", and "U.S. Bancorp Competitors: USB Peer Comparison 2026". Source of the business-mix contrast between U.S. Bancorp's multi-segment model with a </w:t>
      </w:r>
      <w:r w:rsidRPr="39E70FB5">
        <w:rPr>
          <w:sz w:val="20"/>
          <w:szCs w:val="20"/>
        </w:rPr>
        <w:lastRenderedPageBreak/>
        <w:t>distinct payment services segment and PNC's three-segment relationship-banking structure. https://www.hudson-labs.com/research/us-bancorp-competitors-usb-peer-comparison-2026</w:t>
      </w:r>
    </w:p>
    <w:p w14:paraId="1938FA82" w14:textId="397E6BD0" w:rsidR="39E70FB5" w:rsidRDefault="39E70FB5">
      <w:r w:rsidRPr="39E70FB5">
        <w:rPr>
          <w:sz w:val="20"/>
          <w:szCs w:val="20"/>
        </w:rPr>
        <w:t>13F Insight, "Regional Bank 13F: USB, PNC, TFC, FITB". Source of the mid-tier regional peer set and the comparison metrics of deposit beta, commercial real estate exposure and net interest margin dynamics. https://13finsight.com/learn/regional-bank-mid-tier-13f-decoder</w:t>
      </w:r>
    </w:p>
    <w:p w14:paraId="65607316" w14:textId="5E67EA42" w:rsidR="39E70FB5" w:rsidRDefault="39E70FB5">
      <w:r w:rsidRPr="39E70FB5">
        <w:rPr>
          <w:sz w:val="20"/>
          <w:szCs w:val="20"/>
        </w:rPr>
        <w:t>Banking Dive, "U.S. Bank shifts critical apps to AWS for AI push", 2026, corroborating the multi-year modernisation initiative and the migration of mission-critical applications. https://www.bankingdive.com/news/us-bank-shifts-critical-apps-aws-ai-push/819964/</w:t>
      </w:r>
    </w:p>
    <w:sectPr w:rsidR="39E70FB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3669534">
    <w:abstractNumId w:val="8"/>
  </w:num>
  <w:num w:numId="2" w16cid:durableId="1386218058">
    <w:abstractNumId w:val="6"/>
  </w:num>
  <w:num w:numId="3" w16cid:durableId="1267930900">
    <w:abstractNumId w:val="5"/>
  </w:num>
  <w:num w:numId="4" w16cid:durableId="1494838512">
    <w:abstractNumId w:val="4"/>
  </w:num>
  <w:num w:numId="5" w16cid:durableId="1025137273">
    <w:abstractNumId w:val="7"/>
  </w:num>
  <w:num w:numId="6" w16cid:durableId="1016269203">
    <w:abstractNumId w:val="3"/>
  </w:num>
  <w:num w:numId="7" w16cid:durableId="1833326146">
    <w:abstractNumId w:val="2"/>
  </w:num>
  <w:num w:numId="8" w16cid:durableId="1861967884">
    <w:abstractNumId w:val="1"/>
  </w:num>
  <w:num w:numId="9" w16cid:durableId="531572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B2FF5"/>
    <w:rsid w:val="00702F32"/>
    <w:rsid w:val="00AA1D8D"/>
    <w:rsid w:val="00B31850"/>
    <w:rsid w:val="00B47730"/>
    <w:rsid w:val="00CB0664"/>
    <w:rsid w:val="00CB2268"/>
    <w:rsid w:val="00FC693F"/>
    <w:rsid w:val="026A2FA3"/>
    <w:rsid w:val="054183EA"/>
    <w:rsid w:val="0C2E0AAA"/>
    <w:rsid w:val="0C798B89"/>
    <w:rsid w:val="0D8FB95D"/>
    <w:rsid w:val="0F1D29C2"/>
    <w:rsid w:val="0F40AE82"/>
    <w:rsid w:val="11E988E9"/>
    <w:rsid w:val="15DDA912"/>
    <w:rsid w:val="1A91B6D6"/>
    <w:rsid w:val="1D51769D"/>
    <w:rsid w:val="2389C7F3"/>
    <w:rsid w:val="2AAD11AB"/>
    <w:rsid w:val="2B065AC3"/>
    <w:rsid w:val="2F786028"/>
    <w:rsid w:val="340EA5BC"/>
    <w:rsid w:val="35021F67"/>
    <w:rsid w:val="37BFDD65"/>
    <w:rsid w:val="3996E072"/>
    <w:rsid w:val="39E70FB5"/>
    <w:rsid w:val="42B06FE7"/>
    <w:rsid w:val="45C3ED85"/>
    <w:rsid w:val="4612E9AE"/>
    <w:rsid w:val="53652EDF"/>
    <w:rsid w:val="5C54792F"/>
    <w:rsid w:val="5CD4C0A1"/>
    <w:rsid w:val="5E7BC4A7"/>
    <w:rsid w:val="6A2E33B6"/>
    <w:rsid w:val="6CC4AB4F"/>
    <w:rsid w:val="6EE6481B"/>
    <w:rsid w:val="6F6BD098"/>
    <w:rsid w:val="701B3614"/>
    <w:rsid w:val="76FA5C91"/>
    <w:rsid w:val="7E5C4F0B"/>
    <w:rsid w:val="7FE0F196"/>
    <w:rsid w:val="7FED0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CF076AA-1E7C-482C-8E3E-52D5D405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54E1DA-86D3-4190-A831-BA8808B07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739A2B6-4E2B-48FA-B201-4D04AE476C9B}">
  <ds:schemaRefs>
    <ds:schemaRef ds:uri="http://schemas.microsoft.com/sharepoint/v3/contenttype/forms"/>
  </ds:schemaRefs>
</ds:datastoreItem>
</file>

<file path=customXml/itemProps4.xml><?xml version="1.0" encoding="utf-8"?>
<ds:datastoreItem xmlns:ds="http://schemas.openxmlformats.org/officeDocument/2006/customXml" ds:itemID="{80067D83-B4C5-4C08-A6F7-C9A72342FE17}">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2500</Words>
  <Characters>14254</Characters>
  <Application>Microsoft Office Word</Application>
  <DocSecurity>0</DocSecurity>
  <Lines>118</Lines>
  <Paragraphs>33</Paragraphs>
  <ScaleCrop>false</ScaleCrop>
  <Manager/>
  <Company/>
  <LinksUpToDate>false</LinksUpToDate>
  <CharactersWithSpaces>16721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2026-09-03T14:33:00Z</dcterms:created>
  <dcterms:modified xsi:type="dcterms:W3CDTF">2026-09-03T19:58:00Z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