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356935" w:rsidRDefault="00356935"/>
    <w:p w14:paraId="529A3C62" w14:textId="61EFDE50" w:rsidR="17910DAB" w:rsidRDefault="17910DAB" w:rsidP="17910DAB">
      <w:pPr>
        <w:pStyle w:val="Title"/>
      </w:pPr>
      <w:r>
        <w:t>Compliance Readiness Brief</w:t>
      </w:r>
    </w:p>
    <w:p w14:paraId="32EC3D1E" w14:textId="2A2F798A" w:rsidR="17910DAB" w:rsidRDefault="17910DAB">
      <w:r w:rsidRPr="17910DAB">
        <w:rPr>
          <w:i/>
          <w:iCs/>
          <w:color w:val="595959" w:themeColor="text1" w:themeTint="A6"/>
          <w:sz w:val="20"/>
          <w:szCs w:val="20"/>
        </w:rPr>
        <w:t>AI Governance, Data Protection and Regulatory Alignment — prepared for Corey Gray, Marketing (Paris), 7 September 2026</w:t>
      </w:r>
    </w:p>
    <w:p w14:paraId="354CCB08" w14:textId="15527C4F" w:rsidR="17910DAB" w:rsidRDefault="17910DAB" w:rsidP="17910DAB">
      <w:pPr>
        <w:pStyle w:val="Heading1"/>
      </w:pPr>
      <w:r w:rsidRPr="17910DAB">
        <w:rPr>
          <w:color w:val="794E1F"/>
        </w:rPr>
        <w:t>1. Scope and Method</w:t>
      </w:r>
    </w:p>
    <w:p w14:paraId="70D7F763" w14:textId="44021D4B" w:rsidR="17910DAB" w:rsidRDefault="17910DAB">
      <w:r>
        <w:t>This brief assesses readiness against AI and data-protection obligations that apply to the organisation's Copilot Studio, Azure AI Foundry and custom-agent estate. Internal evidence was drawn from a review of Microsoft 365 content: SharePoint and OneDrive documents, Outlook mail, Teams chats and calendar. The document set that carried substantive material comprised the AI Governance Policy Book, the AI Governance Quick-Start Checklist, the AI Governance Actionable Strategy Plan with RACI, the Pillar Five: Security &amp; Governance template, and reference frameworks held on the TIGRES site, principally the NIST Artificial Intelligence Risk Management Framework (AI RMF 1.0) and its companion playbook workbook.</w:t>
      </w:r>
    </w:p>
    <w:p w14:paraId="5622B25C" w14:textId="6F7077D6" w:rsidR="17910DAB" w:rsidRDefault="17910DAB">
      <w:r>
        <w:t>A coverage limitation should be read alongside the findings. Keyword searches of Outlook mail, Teams chats and calendar for policy, audit, privacy, compliance and regulatory terms over the six months to 7 September 2026 returned no substantive discussion; the only mail hit was an automated Microsoft 365 message-centre digest dated 26 January 2026. The internal findings below therefore rest on the governance document set rather than on live correspondence, and the absence of recorded discussion is itself treated as a finding.</w:t>
      </w:r>
    </w:p>
    <w:p w14:paraId="2AD6AC0F" w14:textId="23C39E24" w:rsidR="17910DAB" w:rsidRDefault="17910DAB">
      <w:r>
        <w:t>External context was gathered by web search and is cited inline with the publisher and URL. Where a regulatory position is still provisional, that status is stated rather than smoothed over.</w:t>
      </w:r>
    </w:p>
    <w:p w14:paraId="6F0C6252" w14:textId="4C7EFF2C" w:rsidR="17910DAB" w:rsidRDefault="17910DAB" w:rsidP="17910DAB">
      <w:pPr>
        <w:pStyle w:val="Heading1"/>
      </w:pPr>
      <w:r w:rsidRPr="17910DAB">
        <w:rPr>
          <w:color w:val="794E1F"/>
        </w:rPr>
        <w:t>2. Internal Findings</w:t>
      </w:r>
    </w:p>
    <w:p w14:paraId="5DF428F7" w14:textId="50D55C73" w:rsidR="17910DAB" w:rsidRDefault="17910DAB" w:rsidP="17910DAB">
      <w:pPr>
        <w:pStyle w:val="Heading2"/>
      </w:pPr>
      <w:r w:rsidRPr="17910DAB">
        <w:rPr>
          <w:color w:val="794E1F"/>
        </w:rPr>
        <w:t>A control framework exists on paper</w:t>
      </w:r>
    </w:p>
    <w:p w14:paraId="22709034" w14:textId="1605B486" w:rsidR="17910DAB" w:rsidRDefault="17910DAB">
      <w:r>
        <w:t>The AI Governance Policy Book is structured across the domains an assessor would expect: an executive summary and governance framework overview, compliance and privacy policies, security and identity management, reliability and quality assurance, financial governance, platform-specific chapters for Copilot Studio, Azure AI Foundry, the M365 Agent SDK and custom agents, operational best practices, and incident response and risk management. The Quick-Start Checklist restates the same structure as concrete controls, and the RACI plan assigns each of them an owner. The design intent is sound; the gap is evidence of operation.</w:t>
      </w:r>
    </w:p>
    <w:p w14:paraId="41AFB857" w14:textId="4F040D5E" w:rsidR="17910DAB" w:rsidRDefault="17910DAB" w:rsidP="17910DAB">
      <w:pPr>
        <w:pStyle w:val="Heading2"/>
      </w:pPr>
      <w:r w:rsidRPr="17910DAB">
        <w:rPr>
          <w:color w:val="794E1F"/>
        </w:rPr>
        <w:lastRenderedPageBreak/>
        <w:t>Privacy and data-residency controls are specified but unevidenced</w:t>
      </w:r>
    </w:p>
    <w:p w14:paraId="46B3FEFC" w14:textId="1DECAA04" w:rsidR="17910DAB" w:rsidRDefault="17910DAB">
      <w:r>
        <w:t>Section 1 of the Quick-Start Checklist commits the organisation to enabling Data Loss Prevention policies in Copilot Studio, implementing PII redaction for all AI outputs, and ensuring data residency compliance, citing the EU Data Boundary for EU customers. These are the right three controls for a Paris-based operation processing personal data. Nothing in the reviewed material records that any of them has been deployed, tested or attested, and the RACI plan lists 'Apply DLP policies' as an action still to be performed rather than a control in service.</w:t>
      </w:r>
    </w:p>
    <w:p w14:paraId="29C4BDC4" w14:textId="210479BD" w:rsidR="17910DAB" w:rsidRDefault="17910DAB" w:rsidP="17910DAB">
      <w:pPr>
        <w:pStyle w:val="Heading2"/>
      </w:pPr>
      <w:r w:rsidRPr="17910DAB">
        <w:rPr>
          <w:color w:val="794E1F"/>
        </w:rPr>
        <w:t>Accountability is defined by role, not by named person</w:t>
      </w:r>
    </w:p>
    <w:p w14:paraId="6711F235" w14:textId="2ED11478" w:rsidR="17910DAB" w:rsidRDefault="17910DAB">
      <w:r>
        <w:t>The RACI matrix in the strategy plan assigns DLP policy application to the Security Officer as responsible with the Compliance Officer accountable, governance principles to the AI Governance Lead under the CIO, content-safety filter configuration to an AI Engineer under the AI Governance Lead, and monitoring to the Platform Admin under the IT Director. Every entry is a role title. No individual is named against any of them in the reviewed documents, and the accompanying twelve-week timeline carries no start date, so the phases cannot be tested against a calendar.</w:t>
      </w:r>
    </w:p>
    <w:p w14:paraId="3B673398" w14:textId="43DB257C" w:rsidR="17910DAB" w:rsidRDefault="17910DAB" w:rsidP="17910DAB">
      <w:pPr>
        <w:pStyle w:val="Heading2"/>
      </w:pPr>
      <w:r w:rsidRPr="17910DAB">
        <w:rPr>
          <w:color w:val="794E1F"/>
        </w:rPr>
        <w:t>Risk-classification and transparency work is absent</w:t>
      </w:r>
    </w:p>
    <w:p w14:paraId="166D09B9" w14:textId="7A5B81CC" w:rsidR="17910DAB" w:rsidRDefault="17910DAB">
      <w:r>
        <w:t xml:space="preserve">The checklist addresses evaluation metrics of faithfulness, relevance and toxicity, human-in-the-loop review for high-risk decisions, and version control for prompts and models. What it does not contain is an inventory of AI systems classified by risk tier, a record of which systems interact with users or generate synthetic content, or any deployer-side transparency obligation. Those are the elements the EU AI Act turns on, and the organisation already holds the NIST AI Risk Management Framework and its playbook on the TIGRES site without any reviewed evidence that </w:t>
      </w:r>
      <w:proofErr w:type="gramStart"/>
      <w:r>
        <w:t>either has</w:t>
      </w:r>
      <w:proofErr w:type="gramEnd"/>
      <w:r>
        <w:t xml:space="preserve"> been mapped onto the internal control set.</w:t>
      </w:r>
    </w:p>
    <w:p w14:paraId="4903D088" w14:textId="6716256D" w:rsidR="17910DAB" w:rsidRDefault="17910DAB" w:rsidP="17910DAB">
      <w:pPr>
        <w:pStyle w:val="Heading2"/>
      </w:pPr>
      <w:r w:rsidRPr="17910DAB">
        <w:rPr>
          <w:color w:val="794E1F"/>
        </w:rPr>
        <w:t>No audit trail of compliance discussion</w:t>
      </w:r>
    </w:p>
    <w:p w14:paraId="71CD931F" w14:textId="520F3B08" w:rsidR="17910DAB" w:rsidRDefault="17910DAB">
      <w:r>
        <w:t>Six months of mail, chat and calendar produced no compliance, audit or privacy discussion, no governance forum in the calendar, and no minuted decision. Regulators assess governance partly through evidence of deliberation, so a well-drafted policy set with no accompanying record of review is a weak position to be in during an inquiry. This is the finding with the lowest remediation cost and one of the highest evidential values.</w:t>
      </w:r>
    </w:p>
    <w:p w14:paraId="68C1E516" w14:textId="19BD2469" w:rsidR="17910DAB" w:rsidRDefault="17910DAB" w:rsidP="17910DAB">
      <w:pPr>
        <w:pStyle w:val="Heading1"/>
      </w:pPr>
      <w:r w:rsidRPr="17910DAB">
        <w:rPr>
          <w:color w:val="794E1F"/>
        </w:rPr>
        <w:t>3. Regulatory Landscape</w:t>
      </w:r>
    </w:p>
    <w:p w14:paraId="52E03EB8" w14:textId="762CF9DF" w:rsidR="17910DAB" w:rsidRDefault="17910DAB" w:rsidP="17910DAB">
      <w:pPr>
        <w:pStyle w:val="Heading2"/>
      </w:pPr>
      <w:r w:rsidRPr="17910DAB">
        <w:rPr>
          <w:color w:val="794E1F"/>
        </w:rPr>
        <w:t>EU AI Act — in force, with the 2026 milestone partly unsettled</w:t>
      </w:r>
    </w:p>
    <w:p w14:paraId="5950052C" w14:textId="531AAC79" w:rsidR="17910DAB" w:rsidRDefault="17910DAB">
      <w:r>
        <w:t xml:space="preserve">Regulation (EU) 2024/1689 is applying in stages. The European Commission's AI Act Service Desk, run by DG CNECT and the EU AI Office, confirms 2 August 2026 as the general applicability milestone (alicelabs.ai, EU AI Act Timeline 2026, https://alicelabs.ai/en/insights/eu-ai-act-timeline-2026). For general-purpose AI the 2026 date is not a standing start: core provider duties have applied since 2 August 2025, and the </w:t>
      </w:r>
      <w:r>
        <w:lastRenderedPageBreak/>
        <w:t>2026 milestone adds enforceable oversight and the Article 50 transparency rules (currentaffair.today, EU AI Act GPAI: 2026 Rules and Current Timeline).</w:t>
      </w:r>
    </w:p>
    <w:p w14:paraId="7F8E8BD6" w14:textId="50EED1FB" w:rsidR="17910DAB" w:rsidRDefault="17910DAB">
      <w:r>
        <w:t xml:space="preserve">The timeline is moving. A political agreement on the Digital Omnibus was reached on 7 May 2026 and would shift several applicability dates (nicfab.eu, AI Act Timeline post-Omnibus, https://www.nicfab.eu/en/pages/ai-act-timeline/). As of </w:t>
      </w:r>
      <w:proofErr w:type="gramStart"/>
      <w:r>
        <w:t>9 June 2026</w:t>
      </w:r>
      <w:proofErr w:type="gramEnd"/>
      <w:r>
        <w:t xml:space="preserve"> that agreement remained a provisional political agreement only, still requiring a Parliament plenary vote, formal Council adoption and publication in the Official Journal (aiact-navigator.com, EU AI Act timeline &amp; deadlines, https://aiact-navigator.com/timeline). </w:t>
      </w:r>
      <w:proofErr w:type="gramStart"/>
      <w:r>
        <w:t>Planning to</w:t>
      </w:r>
      <w:proofErr w:type="gramEnd"/>
      <w:r>
        <w:t xml:space="preserve"> the unamended dates and treating any relief as upside is the defensible posture.</w:t>
      </w:r>
    </w:p>
    <w:p w14:paraId="360C0AE5" w14:textId="1305BD5D" w:rsidR="17910DAB" w:rsidRDefault="17910DAB" w:rsidP="17910DAB">
      <w:pPr>
        <w:pStyle w:val="Heading2"/>
      </w:pPr>
      <w:r w:rsidRPr="17910DAB">
        <w:rPr>
          <w:color w:val="794E1F"/>
        </w:rPr>
        <w:t>GDPR — enforcement rising and turning towards AI</w:t>
      </w:r>
    </w:p>
    <w:p w14:paraId="2D157CB7" w14:textId="70EAE653" w:rsidR="17910DAB" w:rsidRDefault="17910DAB">
      <w:r>
        <w:t>Cumulative GDPR fines passed four billion euro during 2025 (anonym.community, GDPR Enforcement Fines 2026 Tracker, https://anonym.community/blog/gdpr-enforcement-fines-2026-tracker), and the public enforcement tracker maintained at enforcementtracker.com lists 3,215 enforcement actions across the EU and EEA. Analysis of the trend places supervisory focus on the lawfulness of processing and on transparency, with AI systems and automated decision-making emerging as primary enforcement targets (gdpr-law.eu, GDPR Enforcement Trends 2026).</w:t>
      </w:r>
    </w:p>
    <w:p w14:paraId="623F435A" w14:textId="51CEE644" w:rsidR="17910DAB" w:rsidRDefault="17910DAB">
      <w:r>
        <w:t>The two regimes interact rather than run in parallel: the AI Act creates obligations that bear directly on AI systems already processing personal data under the GDPR (gdpr.news, Latest GDPR News). For cross-border processing, cases are handled through the cooperation mechanism coordinated by the European Data Protection Board (edpb.europa.eu, GDPR enforcement, https://www.edpb.europa.eu/topics/cooperation-enforcement/gdpr-enforcement_en), which matters here because a Paris-based operation on a multinational tenant will not be dealing with a single national authority in isolation.</w:t>
      </w:r>
    </w:p>
    <w:p w14:paraId="2EE45D83" w14:textId="14F4C126" w:rsidR="17910DAB" w:rsidRDefault="17910DAB" w:rsidP="17910DAB">
      <w:pPr>
        <w:pStyle w:val="Heading1"/>
      </w:pPr>
      <w:r w:rsidRPr="17910DAB">
        <w:rPr>
          <w:color w:val="794E1F"/>
        </w:rPr>
        <w:t>4. Gap Analysis</w:t>
      </w:r>
    </w:p>
    <w:p w14:paraId="3FFF4624" w14:textId="155DBB93" w:rsidR="17910DAB" w:rsidRDefault="17910DAB">
      <w:r>
        <w:t>Severity reflects both regulatory exposure and the distance between the documented control and evidence of its operation.</w:t>
      </w:r>
    </w:p>
    <w:tbl>
      <w:tblPr>
        <w:tblStyle w:val="TableGrid"/>
        <w:tblW w:w="0" w:type="auto"/>
        <w:tblLook w:val="0000" w:firstRow="0" w:lastRow="0" w:firstColumn="0" w:lastColumn="0" w:noHBand="0" w:noVBand="0"/>
      </w:tblPr>
      <w:tblGrid>
        <w:gridCol w:w="1578"/>
        <w:gridCol w:w="1872"/>
        <w:gridCol w:w="1872"/>
        <w:gridCol w:w="1872"/>
        <w:gridCol w:w="1048"/>
      </w:tblGrid>
      <w:tr w:rsidR="17910DAB" w14:paraId="3AE3E9B3" w14:textId="77777777" w:rsidTr="17910DAB">
        <w:tc>
          <w:tcPr>
            <w:tcW w:w="1500" w:type="dxa"/>
          </w:tcPr>
          <w:p w14:paraId="20308263" w14:textId="64C0E999" w:rsidR="17910DAB" w:rsidRDefault="17910DAB">
            <w:r>
              <w:t>Area</w:t>
            </w:r>
          </w:p>
        </w:tc>
        <w:tc>
          <w:tcPr>
            <w:tcW w:w="1872" w:type="dxa"/>
          </w:tcPr>
          <w:p w14:paraId="64948371" w14:textId="5D9ED05D" w:rsidR="17910DAB" w:rsidRDefault="17910DAB">
            <w:r w:rsidRPr="17910DAB">
              <w:rPr>
                <w:b/>
                <w:bCs/>
                <w:color w:val="794E1F"/>
              </w:rPr>
              <w:t>Obligation or control</w:t>
            </w:r>
          </w:p>
        </w:tc>
        <w:tc>
          <w:tcPr>
            <w:tcW w:w="1872" w:type="dxa"/>
          </w:tcPr>
          <w:p w14:paraId="35CB230B" w14:textId="567CB721" w:rsidR="17910DAB" w:rsidRDefault="17910DAB">
            <w:r w:rsidRPr="17910DAB">
              <w:rPr>
                <w:b/>
                <w:bCs/>
                <w:color w:val="794E1F"/>
              </w:rPr>
              <w:t>Current state</w:t>
            </w:r>
          </w:p>
        </w:tc>
        <w:tc>
          <w:tcPr>
            <w:tcW w:w="1872" w:type="dxa"/>
          </w:tcPr>
          <w:p w14:paraId="224EC025" w14:textId="4F5A9DE5" w:rsidR="17910DAB" w:rsidRDefault="17910DAB">
            <w:r>
              <w:t>Gap</w:t>
            </w:r>
          </w:p>
        </w:tc>
        <w:tc>
          <w:tcPr>
            <w:tcW w:w="1000" w:type="dxa"/>
          </w:tcPr>
          <w:p w14:paraId="697E58CF" w14:textId="483884A9" w:rsidR="17910DAB" w:rsidRDefault="17910DAB">
            <w:r w:rsidRPr="17910DAB">
              <w:rPr>
                <w:b/>
                <w:bCs/>
                <w:color w:val="794E1F"/>
              </w:rPr>
              <w:t>Severity</w:t>
            </w:r>
          </w:p>
        </w:tc>
      </w:tr>
      <w:tr w:rsidR="17910DAB" w14:paraId="2E41FB6B" w14:textId="77777777" w:rsidTr="17910DAB">
        <w:tc>
          <w:tcPr>
            <w:tcW w:w="1500" w:type="dxa"/>
          </w:tcPr>
          <w:p w14:paraId="7000CFC1" w14:textId="5F4DE51E" w:rsidR="17910DAB" w:rsidRDefault="17910DAB">
            <w:r>
              <w:t>AI system inventory</w:t>
            </w:r>
          </w:p>
        </w:tc>
        <w:tc>
          <w:tcPr>
            <w:tcW w:w="1872" w:type="dxa"/>
          </w:tcPr>
          <w:p w14:paraId="5EF471A9" w14:textId="582BCBE2" w:rsidR="17910DAB" w:rsidRDefault="17910DAB">
            <w:r>
              <w:t>AI Act risk classification of each deployed system</w:t>
            </w:r>
          </w:p>
        </w:tc>
        <w:tc>
          <w:tcPr>
            <w:tcW w:w="1872" w:type="dxa"/>
          </w:tcPr>
          <w:p w14:paraId="5B304F19" w14:textId="5109B2A6" w:rsidR="17910DAB" w:rsidRDefault="17910DAB">
            <w:r>
              <w:t>No inventory found in reviewed material</w:t>
            </w:r>
          </w:p>
        </w:tc>
        <w:tc>
          <w:tcPr>
            <w:tcW w:w="1872" w:type="dxa"/>
          </w:tcPr>
          <w:p w14:paraId="245F844B" w14:textId="49E7996A" w:rsidR="17910DAB" w:rsidRDefault="17910DAB">
            <w:r>
              <w:t>Obligations cannot be scoped without a classified register</w:t>
            </w:r>
          </w:p>
        </w:tc>
        <w:tc>
          <w:tcPr>
            <w:tcW w:w="1000" w:type="dxa"/>
          </w:tcPr>
          <w:p w14:paraId="5F958615" w14:textId="42C5802E" w:rsidR="17910DAB" w:rsidRDefault="17910DAB">
            <w:r>
              <w:t>High</w:t>
            </w:r>
          </w:p>
        </w:tc>
      </w:tr>
      <w:tr w:rsidR="17910DAB" w14:paraId="6EA5F563" w14:textId="77777777" w:rsidTr="17910DAB">
        <w:tc>
          <w:tcPr>
            <w:tcW w:w="1500" w:type="dxa"/>
          </w:tcPr>
          <w:p w14:paraId="79DEDF86" w14:textId="59DAE0A3" w:rsidR="17910DAB" w:rsidRDefault="17910DAB">
            <w:r>
              <w:t>Transparency</w:t>
            </w:r>
          </w:p>
        </w:tc>
        <w:tc>
          <w:tcPr>
            <w:tcW w:w="1872" w:type="dxa"/>
          </w:tcPr>
          <w:p w14:paraId="514E7520" w14:textId="52B8C767" w:rsidR="17910DAB" w:rsidRDefault="17910DAB">
            <w:r>
              <w:t>Article 50 disclosure for user-facing and synthetic content, enforceable from 2 Aug 2026</w:t>
            </w:r>
          </w:p>
        </w:tc>
        <w:tc>
          <w:tcPr>
            <w:tcW w:w="1872" w:type="dxa"/>
          </w:tcPr>
          <w:p w14:paraId="6326C59C" w14:textId="4B96AE2B" w:rsidR="17910DAB" w:rsidRDefault="17910DAB">
            <w:r>
              <w:t>Not addressed in the policy book or checklist</w:t>
            </w:r>
          </w:p>
        </w:tc>
        <w:tc>
          <w:tcPr>
            <w:tcW w:w="1872" w:type="dxa"/>
          </w:tcPr>
          <w:p w14:paraId="61093805" w14:textId="447494EF" w:rsidR="17910DAB" w:rsidRDefault="17910DAB">
            <w:r>
              <w:t>No disclosure standard for agent outputs</w:t>
            </w:r>
          </w:p>
        </w:tc>
        <w:tc>
          <w:tcPr>
            <w:tcW w:w="1000" w:type="dxa"/>
          </w:tcPr>
          <w:p w14:paraId="1555BD1F" w14:textId="3D527BB3" w:rsidR="17910DAB" w:rsidRDefault="17910DAB">
            <w:r>
              <w:t>High</w:t>
            </w:r>
          </w:p>
        </w:tc>
      </w:tr>
      <w:tr w:rsidR="17910DAB" w14:paraId="18B382C4" w14:textId="77777777" w:rsidTr="17910DAB">
        <w:tc>
          <w:tcPr>
            <w:tcW w:w="1500" w:type="dxa"/>
          </w:tcPr>
          <w:p w14:paraId="754E5CCA" w14:textId="5467DC28" w:rsidR="17910DAB" w:rsidRDefault="17910DAB">
            <w:r>
              <w:lastRenderedPageBreak/>
              <w:t>Data loss prevention</w:t>
            </w:r>
          </w:p>
        </w:tc>
        <w:tc>
          <w:tcPr>
            <w:tcW w:w="1872" w:type="dxa"/>
          </w:tcPr>
          <w:p w14:paraId="28C114E1" w14:textId="4D45C2EC" w:rsidR="17910DAB" w:rsidRDefault="17910DAB">
            <w:r>
              <w:t>DLP policies enabled in Copilot Studio per checklist section 1</w:t>
            </w:r>
          </w:p>
        </w:tc>
        <w:tc>
          <w:tcPr>
            <w:tcW w:w="1872" w:type="dxa"/>
          </w:tcPr>
          <w:p w14:paraId="2D040AF6" w14:textId="4623A9B0" w:rsidR="17910DAB" w:rsidRDefault="17910DAB">
            <w:r>
              <w:t>Documented as a planned action in the RACI plan</w:t>
            </w:r>
          </w:p>
        </w:tc>
        <w:tc>
          <w:tcPr>
            <w:tcW w:w="1872" w:type="dxa"/>
          </w:tcPr>
          <w:p w14:paraId="13B3F690" w14:textId="3F019074" w:rsidR="17910DAB" w:rsidRDefault="17910DAB">
            <w:r>
              <w:t>No evidence of deployment or testing</w:t>
            </w:r>
          </w:p>
        </w:tc>
        <w:tc>
          <w:tcPr>
            <w:tcW w:w="1000" w:type="dxa"/>
          </w:tcPr>
          <w:p w14:paraId="1668916F" w14:textId="37DF7738" w:rsidR="17910DAB" w:rsidRDefault="17910DAB">
            <w:r>
              <w:t>High</w:t>
            </w:r>
          </w:p>
        </w:tc>
      </w:tr>
      <w:tr w:rsidR="17910DAB" w14:paraId="33205800" w14:textId="77777777" w:rsidTr="17910DAB">
        <w:tc>
          <w:tcPr>
            <w:tcW w:w="1500" w:type="dxa"/>
          </w:tcPr>
          <w:p w14:paraId="66BFE6AB" w14:textId="4EF4D7AD" w:rsidR="17910DAB" w:rsidRDefault="17910DAB">
            <w:r>
              <w:t>Personal data in AI outputs</w:t>
            </w:r>
          </w:p>
        </w:tc>
        <w:tc>
          <w:tcPr>
            <w:tcW w:w="1872" w:type="dxa"/>
          </w:tcPr>
          <w:p w14:paraId="4F5A52F9" w14:textId="47D2BE71" w:rsidR="17910DAB" w:rsidRDefault="17910DAB">
            <w:r>
              <w:t>PII redaction for all AI outputs per checklist section 1</w:t>
            </w:r>
          </w:p>
        </w:tc>
        <w:tc>
          <w:tcPr>
            <w:tcW w:w="1872" w:type="dxa"/>
          </w:tcPr>
          <w:p w14:paraId="723BF141" w14:textId="40B0A535" w:rsidR="17910DAB" w:rsidRDefault="17910DAB">
            <w:r>
              <w:t>Specified, no implementation record</w:t>
            </w:r>
          </w:p>
        </w:tc>
        <w:tc>
          <w:tcPr>
            <w:tcW w:w="1872" w:type="dxa"/>
          </w:tcPr>
          <w:p w14:paraId="7D1DD66B" w14:textId="398E8BF9" w:rsidR="17910DAB" w:rsidRDefault="17910DAB">
            <w:r>
              <w:t>Exposure on lawfulness and transparency, the current enforcement focus</w:t>
            </w:r>
          </w:p>
        </w:tc>
        <w:tc>
          <w:tcPr>
            <w:tcW w:w="1000" w:type="dxa"/>
          </w:tcPr>
          <w:p w14:paraId="7479A4F7" w14:textId="326C72BD" w:rsidR="17910DAB" w:rsidRDefault="17910DAB">
            <w:r>
              <w:t>High</w:t>
            </w:r>
          </w:p>
        </w:tc>
      </w:tr>
      <w:tr w:rsidR="17910DAB" w14:paraId="2E1A8044" w14:textId="77777777" w:rsidTr="17910DAB">
        <w:tc>
          <w:tcPr>
            <w:tcW w:w="1500" w:type="dxa"/>
          </w:tcPr>
          <w:p w14:paraId="5E1EE817" w14:textId="4981D332" w:rsidR="17910DAB" w:rsidRDefault="17910DAB">
            <w:r>
              <w:t>Data residency</w:t>
            </w:r>
          </w:p>
        </w:tc>
        <w:tc>
          <w:tcPr>
            <w:tcW w:w="1872" w:type="dxa"/>
          </w:tcPr>
          <w:p w14:paraId="5F3AC956" w14:textId="425FB9F6" w:rsidR="17910DAB" w:rsidRDefault="17910DAB">
            <w:r>
              <w:t>EU Data Boundary for EU customers per checklist section 1</w:t>
            </w:r>
          </w:p>
        </w:tc>
        <w:tc>
          <w:tcPr>
            <w:tcW w:w="1872" w:type="dxa"/>
          </w:tcPr>
          <w:p w14:paraId="15A0B011" w14:textId="3B3DA0BA" w:rsidR="17910DAB" w:rsidRDefault="17910DAB">
            <w:r>
              <w:t>Stated as a requirement only</w:t>
            </w:r>
          </w:p>
        </w:tc>
        <w:tc>
          <w:tcPr>
            <w:tcW w:w="1872" w:type="dxa"/>
          </w:tcPr>
          <w:p w14:paraId="7D59ADA9" w14:textId="341B877E" w:rsidR="17910DAB" w:rsidRDefault="17910DAB">
            <w:r>
              <w:t>No configuration attestation for the Paris operation</w:t>
            </w:r>
          </w:p>
        </w:tc>
        <w:tc>
          <w:tcPr>
            <w:tcW w:w="1000" w:type="dxa"/>
          </w:tcPr>
          <w:p w14:paraId="5629C093" w14:textId="2CF96E42" w:rsidR="17910DAB" w:rsidRDefault="17910DAB">
            <w:r>
              <w:t>Medium</w:t>
            </w:r>
          </w:p>
        </w:tc>
      </w:tr>
      <w:tr w:rsidR="17910DAB" w14:paraId="107B1543" w14:textId="77777777" w:rsidTr="17910DAB">
        <w:tc>
          <w:tcPr>
            <w:tcW w:w="1500" w:type="dxa"/>
          </w:tcPr>
          <w:p w14:paraId="334D5332" w14:textId="440ECEB7" w:rsidR="17910DAB" w:rsidRDefault="17910DAB">
            <w:r>
              <w:t>Human oversight</w:t>
            </w:r>
          </w:p>
        </w:tc>
        <w:tc>
          <w:tcPr>
            <w:tcW w:w="1872" w:type="dxa"/>
          </w:tcPr>
          <w:p w14:paraId="3BFDFF8A" w14:textId="3CECB57B" w:rsidR="17910DAB" w:rsidRDefault="17910DAB">
            <w:r>
              <w:t>Human-in-the-loop for high-risk decisions per checklist section 3</w:t>
            </w:r>
          </w:p>
        </w:tc>
        <w:tc>
          <w:tcPr>
            <w:tcW w:w="1872" w:type="dxa"/>
          </w:tcPr>
          <w:p w14:paraId="50E775F7" w14:textId="35CA9C3F" w:rsidR="17910DAB" w:rsidRDefault="17910DAB">
            <w:r>
              <w:t>Principle stated, no defined trigger</w:t>
            </w:r>
          </w:p>
        </w:tc>
        <w:tc>
          <w:tcPr>
            <w:tcW w:w="1872" w:type="dxa"/>
          </w:tcPr>
          <w:p w14:paraId="6F608E17" w14:textId="2EA88303" w:rsidR="17910DAB" w:rsidRDefault="17910DAB">
            <w:r>
              <w:t>'High-risk' is undefined internally, so the control cannot be applied consistently</w:t>
            </w:r>
          </w:p>
        </w:tc>
        <w:tc>
          <w:tcPr>
            <w:tcW w:w="1000" w:type="dxa"/>
          </w:tcPr>
          <w:p w14:paraId="11228AFB" w14:textId="278669C7" w:rsidR="17910DAB" w:rsidRDefault="17910DAB">
            <w:r>
              <w:t>Medium</w:t>
            </w:r>
          </w:p>
        </w:tc>
      </w:tr>
      <w:tr w:rsidR="17910DAB" w14:paraId="32242951" w14:textId="77777777" w:rsidTr="17910DAB">
        <w:tc>
          <w:tcPr>
            <w:tcW w:w="1500" w:type="dxa"/>
          </w:tcPr>
          <w:p w14:paraId="470CE1F6" w14:textId="3E9BCA3C" w:rsidR="17910DAB" w:rsidRDefault="17910DAB">
            <w:r>
              <w:t>Accountability</w:t>
            </w:r>
          </w:p>
        </w:tc>
        <w:tc>
          <w:tcPr>
            <w:tcW w:w="1872" w:type="dxa"/>
          </w:tcPr>
          <w:p w14:paraId="398A8FC6" w14:textId="3779B100" w:rsidR="17910DAB" w:rsidRDefault="17910DAB">
            <w:r>
              <w:t>Named owner for each governance control</w:t>
            </w:r>
          </w:p>
        </w:tc>
        <w:tc>
          <w:tcPr>
            <w:tcW w:w="1872" w:type="dxa"/>
          </w:tcPr>
          <w:p w14:paraId="59BAC75B" w14:textId="305797C4" w:rsidR="17910DAB" w:rsidRDefault="17910DAB">
            <w:r>
              <w:t>RACI assigns role titles only</w:t>
            </w:r>
          </w:p>
        </w:tc>
        <w:tc>
          <w:tcPr>
            <w:tcW w:w="1872" w:type="dxa"/>
          </w:tcPr>
          <w:p w14:paraId="7B04AA57" w14:textId="29357E88" w:rsidR="17910DAB" w:rsidRDefault="17910DAB">
            <w:r>
              <w:t>No individual accountable; timeline has no start date</w:t>
            </w:r>
          </w:p>
        </w:tc>
        <w:tc>
          <w:tcPr>
            <w:tcW w:w="1000" w:type="dxa"/>
          </w:tcPr>
          <w:p w14:paraId="7677079B" w14:textId="2213654C" w:rsidR="17910DAB" w:rsidRDefault="17910DAB">
            <w:r>
              <w:t>Medium</w:t>
            </w:r>
          </w:p>
        </w:tc>
      </w:tr>
      <w:tr w:rsidR="17910DAB" w14:paraId="3ED43E4C" w14:textId="77777777" w:rsidTr="17910DAB">
        <w:tc>
          <w:tcPr>
            <w:tcW w:w="1500" w:type="dxa"/>
          </w:tcPr>
          <w:p w14:paraId="550A8B2A" w14:textId="3928C5C1" w:rsidR="17910DAB" w:rsidRDefault="17910DAB">
            <w:r>
              <w:t>Governance record</w:t>
            </w:r>
          </w:p>
        </w:tc>
        <w:tc>
          <w:tcPr>
            <w:tcW w:w="1872" w:type="dxa"/>
          </w:tcPr>
          <w:p w14:paraId="481E4D8F" w14:textId="3206AC85" w:rsidR="17910DAB" w:rsidRDefault="17910DAB">
            <w:r>
              <w:t xml:space="preserve">Evidence of periodic </w:t>
            </w:r>
            <w:proofErr w:type="gramStart"/>
            <w:r>
              <w:t>review</w:t>
            </w:r>
            <w:proofErr w:type="gramEnd"/>
            <w:r>
              <w:t xml:space="preserve"> and decisions</w:t>
            </w:r>
          </w:p>
        </w:tc>
        <w:tc>
          <w:tcPr>
            <w:tcW w:w="1872" w:type="dxa"/>
          </w:tcPr>
          <w:p w14:paraId="6223E144" w14:textId="2AE49349" w:rsidR="17910DAB" w:rsidRDefault="17910DAB">
            <w:r>
              <w:t>No compliance discussion in six months of mail, chat or calendar</w:t>
            </w:r>
          </w:p>
        </w:tc>
        <w:tc>
          <w:tcPr>
            <w:tcW w:w="1872" w:type="dxa"/>
          </w:tcPr>
          <w:p w14:paraId="5FE056D8" w14:textId="23C27A0D" w:rsidR="17910DAB" w:rsidRDefault="17910DAB">
            <w:r>
              <w:t>No audit trail to produce on request</w:t>
            </w:r>
          </w:p>
        </w:tc>
        <w:tc>
          <w:tcPr>
            <w:tcW w:w="1000" w:type="dxa"/>
          </w:tcPr>
          <w:p w14:paraId="4CA6CBA0" w14:textId="1CA060D1" w:rsidR="17910DAB" w:rsidRDefault="17910DAB">
            <w:r>
              <w:t>Medium</w:t>
            </w:r>
          </w:p>
        </w:tc>
      </w:tr>
    </w:tbl>
    <w:p w14:paraId="208D6592" w14:textId="5C7E5BE7" w:rsidR="17910DAB" w:rsidRDefault="17910DAB" w:rsidP="17910DAB">
      <w:pPr>
        <w:pStyle w:val="Heading1"/>
      </w:pPr>
      <w:r w:rsidRPr="17910DAB">
        <w:rPr>
          <w:color w:val="794E1F"/>
        </w:rPr>
        <w:t>5. Prioritised Remediation Actions</w:t>
      </w:r>
    </w:p>
    <w:p w14:paraId="5808C86F" w14:textId="134136D1" w:rsidR="17910DAB" w:rsidRDefault="17910DAB">
      <w:r>
        <w:t>Owners are carried across from the RACI matrix in the AI Governance Actionable Strategy Plan, which assigns roles rather than individuals. Each role should be resolved to a named person before this plan is adopted; the accountable column is the escalation point, not the doer.</w:t>
      </w:r>
    </w:p>
    <w:tbl>
      <w:tblPr>
        <w:tblStyle w:val="TableGrid"/>
        <w:tblW w:w="0" w:type="auto"/>
        <w:tblLook w:val="0000" w:firstRow="0" w:lastRow="0" w:firstColumn="0" w:lastColumn="0" w:noHBand="0" w:noVBand="0"/>
      </w:tblPr>
      <w:tblGrid>
        <w:gridCol w:w="1733"/>
        <w:gridCol w:w="1809"/>
        <w:gridCol w:w="1804"/>
        <w:gridCol w:w="1806"/>
        <w:gridCol w:w="1704"/>
      </w:tblGrid>
      <w:tr w:rsidR="17910DAB" w14:paraId="11C117A0" w14:textId="77777777" w:rsidTr="17910DAB">
        <w:tc>
          <w:tcPr>
            <w:tcW w:w="1872" w:type="dxa"/>
          </w:tcPr>
          <w:p w14:paraId="4EF450F3" w14:textId="1E4F7592" w:rsidR="17910DAB" w:rsidRDefault="17910DAB">
            <w:r w:rsidRPr="17910DAB">
              <w:rPr>
                <w:b/>
                <w:bCs/>
                <w:color w:val="794E1F"/>
              </w:rPr>
              <w:t>Priority</w:t>
            </w:r>
          </w:p>
        </w:tc>
        <w:tc>
          <w:tcPr>
            <w:tcW w:w="1872" w:type="dxa"/>
          </w:tcPr>
          <w:p w14:paraId="6A2419D4" w14:textId="172D5C56" w:rsidR="17910DAB" w:rsidRDefault="17910DAB">
            <w:r>
              <w:t>Action</w:t>
            </w:r>
          </w:p>
        </w:tc>
        <w:tc>
          <w:tcPr>
            <w:tcW w:w="1872" w:type="dxa"/>
          </w:tcPr>
          <w:p w14:paraId="7EEB76A8" w14:textId="100B431A" w:rsidR="17910DAB" w:rsidRDefault="17910DAB">
            <w:r w:rsidRPr="17910DAB">
              <w:rPr>
                <w:b/>
                <w:bCs/>
                <w:color w:val="794E1F"/>
              </w:rPr>
              <w:t>Responsible</w:t>
            </w:r>
          </w:p>
        </w:tc>
        <w:tc>
          <w:tcPr>
            <w:tcW w:w="1872" w:type="dxa"/>
          </w:tcPr>
          <w:p w14:paraId="72236874" w14:textId="08E929DE" w:rsidR="17910DAB" w:rsidRDefault="17910DAB">
            <w:r w:rsidRPr="17910DAB">
              <w:rPr>
                <w:b/>
                <w:bCs/>
                <w:color w:val="794E1F"/>
              </w:rPr>
              <w:t>Accountable</w:t>
            </w:r>
          </w:p>
        </w:tc>
        <w:tc>
          <w:tcPr>
            <w:tcW w:w="1872" w:type="dxa"/>
          </w:tcPr>
          <w:p w14:paraId="73E9BAB1" w14:textId="01C710A2" w:rsidR="17910DAB" w:rsidRDefault="17910DAB">
            <w:r>
              <w:t>Target</w:t>
            </w:r>
          </w:p>
        </w:tc>
      </w:tr>
      <w:tr w:rsidR="17910DAB" w14:paraId="14299194" w14:textId="77777777" w:rsidTr="17910DAB">
        <w:tc>
          <w:tcPr>
            <w:tcW w:w="1872" w:type="dxa"/>
          </w:tcPr>
          <w:p w14:paraId="7A1BD3F0" w14:textId="18DC7117" w:rsidR="17910DAB" w:rsidRDefault="17910DAB">
            <w:r>
              <w:t>P1</w:t>
            </w:r>
          </w:p>
        </w:tc>
        <w:tc>
          <w:tcPr>
            <w:tcW w:w="1872" w:type="dxa"/>
          </w:tcPr>
          <w:p w14:paraId="47C5ACA9" w14:textId="11BA57DB" w:rsidR="17910DAB" w:rsidRDefault="17910DAB">
            <w:r>
              <w:t xml:space="preserve">Build a register of every deployed AI system across Copilot Studio, Azure AI Foundry, the M365 Agent SDK and custom agents, classified </w:t>
            </w:r>
            <w:r>
              <w:lastRenderedPageBreak/>
              <w:t>by AI Act risk tier</w:t>
            </w:r>
          </w:p>
        </w:tc>
        <w:tc>
          <w:tcPr>
            <w:tcW w:w="1872" w:type="dxa"/>
          </w:tcPr>
          <w:p w14:paraId="5D68E1CD" w14:textId="0A983E9F" w:rsidR="17910DAB" w:rsidRDefault="17910DAB">
            <w:r>
              <w:lastRenderedPageBreak/>
              <w:t>AI Governance Lead</w:t>
            </w:r>
          </w:p>
        </w:tc>
        <w:tc>
          <w:tcPr>
            <w:tcW w:w="1872" w:type="dxa"/>
          </w:tcPr>
          <w:p w14:paraId="7B2713CC" w14:textId="03762563" w:rsidR="17910DAB" w:rsidRDefault="17910DAB">
            <w:r>
              <w:t>CIO</w:t>
            </w:r>
          </w:p>
        </w:tc>
        <w:tc>
          <w:tcPr>
            <w:tcW w:w="1872" w:type="dxa"/>
          </w:tcPr>
          <w:p w14:paraId="3C9A32F1" w14:textId="7C540C27" w:rsidR="17910DAB" w:rsidRDefault="17910DAB">
            <w:r>
              <w:t>4 weeks</w:t>
            </w:r>
          </w:p>
        </w:tc>
      </w:tr>
      <w:tr w:rsidR="17910DAB" w14:paraId="1FB9E3B1" w14:textId="77777777" w:rsidTr="17910DAB">
        <w:tc>
          <w:tcPr>
            <w:tcW w:w="1872" w:type="dxa"/>
          </w:tcPr>
          <w:p w14:paraId="54D61AFF" w14:textId="13696C9C" w:rsidR="17910DAB" w:rsidRDefault="17910DAB">
            <w:r>
              <w:t>P1</w:t>
            </w:r>
          </w:p>
        </w:tc>
        <w:tc>
          <w:tcPr>
            <w:tcW w:w="1872" w:type="dxa"/>
          </w:tcPr>
          <w:p w14:paraId="594887BE" w14:textId="0C475360" w:rsidR="17910DAB" w:rsidRDefault="17910DAB">
            <w:r>
              <w:t>Deploy and test DLP policies in Copilot Studio and attest the result, closing the checklist section 1 commitment</w:t>
            </w:r>
          </w:p>
        </w:tc>
        <w:tc>
          <w:tcPr>
            <w:tcW w:w="1872" w:type="dxa"/>
          </w:tcPr>
          <w:p w14:paraId="49057576" w14:textId="05253A24" w:rsidR="17910DAB" w:rsidRDefault="17910DAB">
            <w:r>
              <w:t>Security Officer</w:t>
            </w:r>
          </w:p>
        </w:tc>
        <w:tc>
          <w:tcPr>
            <w:tcW w:w="1872" w:type="dxa"/>
          </w:tcPr>
          <w:p w14:paraId="77F9EDD4" w14:textId="7E0320E8" w:rsidR="17910DAB" w:rsidRDefault="17910DAB">
            <w:r>
              <w:t>Compliance Officer</w:t>
            </w:r>
          </w:p>
        </w:tc>
        <w:tc>
          <w:tcPr>
            <w:tcW w:w="1872" w:type="dxa"/>
          </w:tcPr>
          <w:p w14:paraId="27AAA99A" w14:textId="76E107AC" w:rsidR="17910DAB" w:rsidRDefault="17910DAB">
            <w:r>
              <w:t>4 weeks</w:t>
            </w:r>
          </w:p>
        </w:tc>
      </w:tr>
      <w:tr w:rsidR="17910DAB" w14:paraId="5DDA6D19" w14:textId="77777777" w:rsidTr="17910DAB">
        <w:tc>
          <w:tcPr>
            <w:tcW w:w="1872" w:type="dxa"/>
          </w:tcPr>
          <w:p w14:paraId="5DA93278" w14:textId="0DF66821" w:rsidR="17910DAB" w:rsidRDefault="17910DAB">
            <w:r>
              <w:t>P1</w:t>
            </w:r>
          </w:p>
        </w:tc>
        <w:tc>
          <w:tcPr>
            <w:tcW w:w="1872" w:type="dxa"/>
          </w:tcPr>
          <w:p w14:paraId="763BCE7D" w14:textId="06D44EE5" w:rsidR="17910DAB" w:rsidRDefault="17910DAB">
            <w:r>
              <w:t>Implement and evidence PII redaction on AI outputs, with a sampling test recorded</w:t>
            </w:r>
          </w:p>
        </w:tc>
        <w:tc>
          <w:tcPr>
            <w:tcW w:w="1872" w:type="dxa"/>
          </w:tcPr>
          <w:p w14:paraId="12110CC5" w14:textId="7FB235A9" w:rsidR="17910DAB" w:rsidRDefault="17910DAB">
            <w:r>
              <w:t>AI Engineer</w:t>
            </w:r>
          </w:p>
        </w:tc>
        <w:tc>
          <w:tcPr>
            <w:tcW w:w="1872" w:type="dxa"/>
          </w:tcPr>
          <w:p w14:paraId="1D546E04" w14:textId="78901C6D" w:rsidR="17910DAB" w:rsidRDefault="17910DAB">
            <w:r>
              <w:t>Compliance Officer</w:t>
            </w:r>
          </w:p>
        </w:tc>
        <w:tc>
          <w:tcPr>
            <w:tcW w:w="1872" w:type="dxa"/>
          </w:tcPr>
          <w:p w14:paraId="30ADD97F" w14:textId="716E0331" w:rsidR="17910DAB" w:rsidRDefault="17910DAB">
            <w:r>
              <w:t>6 weeks</w:t>
            </w:r>
          </w:p>
        </w:tc>
      </w:tr>
      <w:tr w:rsidR="17910DAB" w14:paraId="3596B27B" w14:textId="77777777" w:rsidTr="17910DAB">
        <w:tc>
          <w:tcPr>
            <w:tcW w:w="1872" w:type="dxa"/>
          </w:tcPr>
          <w:p w14:paraId="14D6AD55" w14:textId="088363A6" w:rsidR="17910DAB" w:rsidRDefault="17910DAB">
            <w:r>
              <w:t>P1</w:t>
            </w:r>
          </w:p>
        </w:tc>
        <w:tc>
          <w:tcPr>
            <w:tcW w:w="1872" w:type="dxa"/>
          </w:tcPr>
          <w:p w14:paraId="598F9CE5" w14:textId="01614A6A" w:rsidR="17910DAB" w:rsidRDefault="17910DAB">
            <w:r>
              <w:t>Define an Article 50 transparency standard for agent outputs and user-facing disclosure, ahead of the 2 August 2026 milestone</w:t>
            </w:r>
          </w:p>
        </w:tc>
        <w:tc>
          <w:tcPr>
            <w:tcW w:w="1872" w:type="dxa"/>
          </w:tcPr>
          <w:p w14:paraId="72E606CC" w14:textId="7A3F312E" w:rsidR="17910DAB" w:rsidRDefault="17910DAB">
            <w:r>
              <w:t>AI Governance Lead</w:t>
            </w:r>
          </w:p>
        </w:tc>
        <w:tc>
          <w:tcPr>
            <w:tcW w:w="1872" w:type="dxa"/>
          </w:tcPr>
          <w:p w14:paraId="6F6D7319" w14:textId="731D17F2" w:rsidR="17910DAB" w:rsidRDefault="17910DAB">
            <w:r>
              <w:t>Compliance Officer</w:t>
            </w:r>
          </w:p>
        </w:tc>
        <w:tc>
          <w:tcPr>
            <w:tcW w:w="1872" w:type="dxa"/>
          </w:tcPr>
          <w:p w14:paraId="2A18F46E" w14:textId="6BFAFEB6" w:rsidR="17910DAB" w:rsidRDefault="17910DAB">
            <w:r>
              <w:t>6 weeks</w:t>
            </w:r>
          </w:p>
        </w:tc>
      </w:tr>
      <w:tr w:rsidR="17910DAB" w14:paraId="46745507" w14:textId="77777777" w:rsidTr="17910DAB">
        <w:tc>
          <w:tcPr>
            <w:tcW w:w="1872" w:type="dxa"/>
          </w:tcPr>
          <w:p w14:paraId="2504D1E0" w14:textId="03105F2B" w:rsidR="17910DAB" w:rsidRDefault="17910DAB">
            <w:r>
              <w:t>P2</w:t>
            </w:r>
          </w:p>
        </w:tc>
        <w:tc>
          <w:tcPr>
            <w:tcW w:w="1872" w:type="dxa"/>
          </w:tcPr>
          <w:p w14:paraId="41A1AC16" w14:textId="7BEE45EF" w:rsidR="17910DAB" w:rsidRDefault="17910DAB">
            <w:r>
              <w:t>Attest EU Data Boundary configuration for the Paris operation and record the evidence</w:t>
            </w:r>
          </w:p>
        </w:tc>
        <w:tc>
          <w:tcPr>
            <w:tcW w:w="1872" w:type="dxa"/>
          </w:tcPr>
          <w:p w14:paraId="5969E965" w14:textId="74CC2CB3" w:rsidR="17910DAB" w:rsidRDefault="17910DAB">
            <w:r>
              <w:t>Platform Admin</w:t>
            </w:r>
          </w:p>
        </w:tc>
        <w:tc>
          <w:tcPr>
            <w:tcW w:w="1872" w:type="dxa"/>
          </w:tcPr>
          <w:p w14:paraId="50861B7E" w14:textId="6DAA1377" w:rsidR="17910DAB" w:rsidRDefault="17910DAB">
            <w:r>
              <w:t>IT Director</w:t>
            </w:r>
          </w:p>
        </w:tc>
        <w:tc>
          <w:tcPr>
            <w:tcW w:w="1872" w:type="dxa"/>
          </w:tcPr>
          <w:p w14:paraId="2E820AD9" w14:textId="6687FA3B" w:rsidR="17910DAB" w:rsidRDefault="17910DAB">
            <w:r>
              <w:t>8 weeks</w:t>
            </w:r>
          </w:p>
        </w:tc>
      </w:tr>
      <w:tr w:rsidR="17910DAB" w14:paraId="4729D564" w14:textId="77777777" w:rsidTr="17910DAB">
        <w:tc>
          <w:tcPr>
            <w:tcW w:w="1872" w:type="dxa"/>
          </w:tcPr>
          <w:p w14:paraId="7B0C90FF" w14:textId="7D9D5AB0" w:rsidR="17910DAB" w:rsidRDefault="17910DAB">
            <w:r>
              <w:t>P2</w:t>
            </w:r>
          </w:p>
        </w:tc>
        <w:tc>
          <w:tcPr>
            <w:tcW w:w="1872" w:type="dxa"/>
          </w:tcPr>
          <w:p w14:paraId="3EA72AF1" w14:textId="767B4174" w:rsidR="17910DAB" w:rsidRDefault="17910DAB">
            <w:r>
              <w:t xml:space="preserve">Define the internal threshold for a high-risk decision and the human-in-the-loop </w:t>
            </w:r>
            <w:proofErr w:type="gramStart"/>
            <w:r>
              <w:t>trigger</w:t>
            </w:r>
            <w:proofErr w:type="gramEnd"/>
            <w:r>
              <w:t xml:space="preserve"> it invokes</w:t>
            </w:r>
          </w:p>
        </w:tc>
        <w:tc>
          <w:tcPr>
            <w:tcW w:w="1872" w:type="dxa"/>
          </w:tcPr>
          <w:p w14:paraId="79D3EBBF" w14:textId="6F592838" w:rsidR="17910DAB" w:rsidRDefault="17910DAB">
            <w:r>
              <w:t>AI Governance Lead</w:t>
            </w:r>
          </w:p>
        </w:tc>
        <w:tc>
          <w:tcPr>
            <w:tcW w:w="1872" w:type="dxa"/>
          </w:tcPr>
          <w:p w14:paraId="4EF9717A" w14:textId="68370EFC" w:rsidR="17910DAB" w:rsidRDefault="17910DAB">
            <w:r>
              <w:t>CIO</w:t>
            </w:r>
          </w:p>
        </w:tc>
        <w:tc>
          <w:tcPr>
            <w:tcW w:w="1872" w:type="dxa"/>
          </w:tcPr>
          <w:p w14:paraId="5AB4E505" w14:textId="6114F5C0" w:rsidR="17910DAB" w:rsidRDefault="17910DAB">
            <w:r>
              <w:t>8 weeks</w:t>
            </w:r>
          </w:p>
        </w:tc>
      </w:tr>
      <w:tr w:rsidR="17910DAB" w14:paraId="22F8FDCC" w14:textId="77777777" w:rsidTr="17910DAB">
        <w:tc>
          <w:tcPr>
            <w:tcW w:w="1872" w:type="dxa"/>
          </w:tcPr>
          <w:p w14:paraId="4028991A" w14:textId="782A5635" w:rsidR="17910DAB" w:rsidRDefault="17910DAB">
            <w:r>
              <w:t>P2</w:t>
            </w:r>
          </w:p>
        </w:tc>
        <w:tc>
          <w:tcPr>
            <w:tcW w:w="1872" w:type="dxa"/>
          </w:tcPr>
          <w:p w14:paraId="55714C64" w14:textId="71083CF9" w:rsidR="17910DAB" w:rsidRDefault="17910DAB">
            <w:r>
              <w:t xml:space="preserve">Map the NIST AI Risk Management Framework controls already held on the TIGRES site onto the internal control set to </w:t>
            </w:r>
            <w:r>
              <w:lastRenderedPageBreak/>
              <w:t>close coverage gaps</w:t>
            </w:r>
          </w:p>
        </w:tc>
        <w:tc>
          <w:tcPr>
            <w:tcW w:w="1872" w:type="dxa"/>
          </w:tcPr>
          <w:p w14:paraId="61A4D158" w14:textId="69E623BD" w:rsidR="17910DAB" w:rsidRDefault="17910DAB">
            <w:r>
              <w:lastRenderedPageBreak/>
              <w:t>AI Governance Lead</w:t>
            </w:r>
          </w:p>
        </w:tc>
        <w:tc>
          <w:tcPr>
            <w:tcW w:w="1872" w:type="dxa"/>
          </w:tcPr>
          <w:p w14:paraId="54D10D93" w14:textId="62C40A81" w:rsidR="17910DAB" w:rsidRDefault="17910DAB">
            <w:r>
              <w:t>Compliance Officer</w:t>
            </w:r>
          </w:p>
        </w:tc>
        <w:tc>
          <w:tcPr>
            <w:tcW w:w="1872" w:type="dxa"/>
          </w:tcPr>
          <w:p w14:paraId="4C0D38E6" w14:textId="5BA1F145" w:rsidR="17910DAB" w:rsidRDefault="17910DAB">
            <w:r>
              <w:t>10 weeks</w:t>
            </w:r>
          </w:p>
        </w:tc>
      </w:tr>
      <w:tr w:rsidR="17910DAB" w14:paraId="5A7C6F4C" w14:textId="77777777" w:rsidTr="17910DAB">
        <w:tc>
          <w:tcPr>
            <w:tcW w:w="1872" w:type="dxa"/>
          </w:tcPr>
          <w:p w14:paraId="23F57A68" w14:textId="72B751BA" w:rsidR="17910DAB" w:rsidRDefault="17910DAB">
            <w:r>
              <w:t>P3</w:t>
            </w:r>
          </w:p>
        </w:tc>
        <w:tc>
          <w:tcPr>
            <w:tcW w:w="1872" w:type="dxa"/>
          </w:tcPr>
          <w:p w14:paraId="265AF345" w14:textId="6B95387E" w:rsidR="17910DAB" w:rsidRDefault="17910DAB">
            <w:r>
              <w:t>Stand up a recurring governance review with a minuted decision record, and name an individual against every RACI role</w:t>
            </w:r>
          </w:p>
        </w:tc>
        <w:tc>
          <w:tcPr>
            <w:tcW w:w="1872" w:type="dxa"/>
          </w:tcPr>
          <w:p w14:paraId="23F1BA23" w14:textId="64731F42" w:rsidR="17910DAB" w:rsidRDefault="17910DAB">
            <w:r>
              <w:t>AI Governance Lead</w:t>
            </w:r>
          </w:p>
        </w:tc>
        <w:tc>
          <w:tcPr>
            <w:tcW w:w="1872" w:type="dxa"/>
          </w:tcPr>
          <w:p w14:paraId="3626BAB8" w14:textId="5D510606" w:rsidR="17910DAB" w:rsidRDefault="17910DAB">
            <w:r>
              <w:t>CIO</w:t>
            </w:r>
          </w:p>
        </w:tc>
        <w:tc>
          <w:tcPr>
            <w:tcW w:w="1872" w:type="dxa"/>
          </w:tcPr>
          <w:p w14:paraId="7F7FA6ED" w14:textId="562EECCA" w:rsidR="17910DAB" w:rsidRDefault="17910DAB">
            <w:r>
              <w:t>12 weeks</w:t>
            </w:r>
          </w:p>
        </w:tc>
      </w:tr>
    </w:tbl>
    <w:p w14:paraId="5CC595E0" w14:textId="5B3014B5" w:rsidR="17910DAB" w:rsidRDefault="17910DAB" w:rsidP="17910DAB">
      <w:pPr>
        <w:pStyle w:val="Heading1"/>
      </w:pPr>
      <w:r w:rsidRPr="17910DAB">
        <w:rPr>
          <w:color w:val="794E1F"/>
        </w:rPr>
        <w:t>Sources</w:t>
      </w:r>
    </w:p>
    <w:p w14:paraId="247F822D" w14:textId="1B63EB58" w:rsidR="17910DAB" w:rsidRDefault="17910DAB">
      <w:r>
        <w:t>Internal (Microsoft 365): AI Governance Policy Book; AI Governance Quick-Start Checklist; AI Governance Actionable Strategy Plan with RACI; Pillar Five: Security &amp; Governance; NIST AI RMF 100-1 and NIST_playbook, TIGRES site, AI Frameworks library. Mail, Teams and calendar searched for the six months to 7 September 2026 with no substantive result.</w:t>
      </w:r>
    </w:p>
    <w:p w14:paraId="1C54855A" w14:textId="5E753D5C" w:rsidR="17910DAB" w:rsidRDefault="17910DAB">
      <w:r w:rsidRPr="17910DAB">
        <w:rPr>
          <w:color w:val="595959" w:themeColor="text1" w:themeTint="A6"/>
          <w:sz w:val="18"/>
          <w:szCs w:val="18"/>
        </w:rPr>
        <w:t>External: European Commission AI Act Service Desk timeline via alicelabs.ai (https://alicelabs.ai/en/insights/eu-ai-act-timeline-2026); AI Act post-Omnibus timeline, nicfab.eu (https://www.nicfab.eu/en/pages/ai-act-timeline/); AI Act Navigator timeline (https://aiact-navigator.com/timeline); EU AI Act GPAI reality check, currentaffair.today; GDPR Enforcement Trends 2026, gdpr-law.eu; GDPR Enforcement Fines 2026 Tracker, anonym.community; GDPR Enforcement Tracker (https://www.enforcementtracker.com/); EDPB GDPR enforcement (https://www.edpb.europa.eu/topics/cooperation-enforcement/gdpr-enforcement_en). Accessed 7 September 2026.</w:t>
      </w:r>
    </w:p>
    <w:sectPr w:rsidR="17910DA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6083927">
    <w:abstractNumId w:val="8"/>
  </w:num>
  <w:num w:numId="2" w16cid:durableId="847523439">
    <w:abstractNumId w:val="6"/>
  </w:num>
  <w:num w:numId="3" w16cid:durableId="1117917413">
    <w:abstractNumId w:val="5"/>
  </w:num>
  <w:num w:numId="4" w16cid:durableId="562301103">
    <w:abstractNumId w:val="4"/>
  </w:num>
  <w:num w:numId="5" w16cid:durableId="1082800877">
    <w:abstractNumId w:val="7"/>
  </w:num>
  <w:num w:numId="6" w16cid:durableId="856432548">
    <w:abstractNumId w:val="3"/>
  </w:num>
  <w:num w:numId="7" w16cid:durableId="1619726349">
    <w:abstractNumId w:val="2"/>
  </w:num>
  <w:num w:numId="8" w16cid:durableId="1242836891">
    <w:abstractNumId w:val="1"/>
  </w:num>
  <w:num w:numId="9" w16cid:durableId="431320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6935"/>
    <w:rsid w:val="005561D3"/>
    <w:rsid w:val="009F4D85"/>
    <w:rsid w:val="00AA1D8D"/>
    <w:rsid w:val="00B47730"/>
    <w:rsid w:val="00CB0664"/>
    <w:rsid w:val="00EB5511"/>
    <w:rsid w:val="00FC2FAD"/>
    <w:rsid w:val="00FC693F"/>
    <w:rsid w:val="12BBD1EB"/>
    <w:rsid w:val="17910DAB"/>
    <w:rsid w:val="1FB5B48F"/>
    <w:rsid w:val="21A4EE01"/>
    <w:rsid w:val="21A900AB"/>
    <w:rsid w:val="23D08D64"/>
    <w:rsid w:val="2539D818"/>
    <w:rsid w:val="2549C58E"/>
    <w:rsid w:val="34D3BB05"/>
    <w:rsid w:val="35515623"/>
    <w:rsid w:val="35C046F6"/>
    <w:rsid w:val="3A9616AE"/>
    <w:rsid w:val="446D06E1"/>
    <w:rsid w:val="5AFB1205"/>
    <w:rsid w:val="5D74E618"/>
    <w:rsid w:val="5E88723E"/>
    <w:rsid w:val="6518B2C8"/>
    <w:rsid w:val="675A3055"/>
    <w:rsid w:val="6AE0E3C4"/>
    <w:rsid w:val="6F2C868E"/>
    <w:rsid w:val="70A0370A"/>
    <w:rsid w:val="72054973"/>
    <w:rsid w:val="74EFF078"/>
    <w:rsid w:val="757A5127"/>
    <w:rsid w:val="79C8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B4D2A6B-2A9B-4845-B5E7-ADE48AAB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10C10365B41458A488A2E06A7CDDA" ma:contentTypeVersion="16" ma:contentTypeDescription="Create a new document." ma:contentTypeScope="" ma:versionID="8fc8c9c986ff763fb0d30ebcc45645fb">
  <xsd:schema xmlns:xsd="http://www.w3.org/2001/XMLSchema" xmlns:xs="http://www.w3.org/2001/XMLSchema" xmlns:p="http://schemas.microsoft.com/office/2006/metadata/properties" xmlns:ns1="http://schemas.microsoft.com/sharepoint/v3" xmlns:ns2="debf2d1a-3119-443f-9311-2f3fb0fd7de8" xmlns:ns3="9ece1660-89e4-4efe-8613-f619625afc8d" targetNamespace="http://schemas.microsoft.com/office/2006/metadata/properties" ma:root="true" ma:fieldsID="8a6a739d9051ad82eb6b3b4cb1429ef8" ns1:_="" ns2:_="" ns3:_="">
    <xsd:import namespace="http://schemas.microsoft.com/sharepoint/v3"/>
    <xsd:import namespace="debf2d1a-3119-443f-9311-2f3fb0fd7de8"/>
    <xsd:import namespace="9ece1660-89e4-4efe-8613-f619625afc8d"/>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HasDigitalSignature" minOccurs="0"/>
                <xsd:element ref="ns2:DigitalSignatureProvid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bf2d1a-3119-443f-9311-2f3fb0fd7de8"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HasDigitalSignature" ma:index="14" nillable="true" ma:displayName="Signed electronically" ma:internalName="HasDigitalSignature" ma:readOnly="true">
      <xsd:simpleType>
        <xsd:restriction base="dms:Boolean"/>
      </xsd:simpleType>
    </xsd:element>
    <xsd:element name="DigitalSignatureProvider" ma:index="15" nillable="true" ma:displayName="Signature provider" ma:internalName="DigitalSignatureProvider"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ce1660-89e4-4efe-8613-f619625afc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f42c6ae-3fbc-4b15-b29b-26f803fb8319}" ma:internalName="TaxCatchAll" ma:showField="CatchAllData" ma:web="9ece1660-89e4-4efe-8613-f619625afc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ece1660-89e4-4efe-8613-f619625afc8d" xsi:nil="true"/>
    <_ip_UnifiedCompliancePolicyProperties xmlns="http://schemas.microsoft.com/sharepoint/v3" xsi:nil="true"/>
    <lcf76f155ced4ddcb4097134ff3c332f xmlns="debf2d1a-3119-443f-9311-2f3fb0fd7de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A4965-5021-4CAD-A580-075872F5C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bf2d1a-3119-443f-9311-2f3fb0fd7de8"/>
    <ds:schemaRef ds:uri="9ece1660-89e4-4efe-8613-f619625af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A3C05E6-5861-452E-A82F-4657536BB383}">
  <ds:schemaRefs>
    <ds:schemaRef ds:uri="http://schemas.microsoft.com/office/2006/metadata/properties"/>
    <ds:schemaRef ds:uri="http://schemas.microsoft.com/office/infopath/2007/PartnerControls"/>
    <ds:schemaRef ds:uri="http://schemas.microsoft.com/sharepoint/v3"/>
    <ds:schemaRef ds:uri="9ece1660-89e4-4efe-8613-f619625afc8d"/>
    <ds:schemaRef ds:uri="debf2d1a-3119-443f-9311-2f3fb0fd7de8"/>
  </ds:schemaRefs>
</ds:datastoreItem>
</file>

<file path=customXml/itemProps4.xml><?xml version="1.0" encoding="utf-8"?>
<ds:datastoreItem xmlns:ds="http://schemas.openxmlformats.org/officeDocument/2006/customXml" ds:itemID="{2E119D21-DB7B-4D2F-849F-610525C0EEE3}">
  <ds:schemaRefs>
    <ds:schemaRef ds:uri="http://schemas.microsoft.com/sharepoint/v3/contenttype/forms"/>
  </ds:schemaRefs>
</ds:datastoreItem>
</file>

<file path=docMetadata/LabelInfo.xml><?xml version="1.0" encoding="utf-8"?>
<clbl:labelList xmlns:clbl="http://schemas.microsoft.com/office/2020/mipLabelMetadata">
  <clbl:label id="{87867195-f2b8-4ac2-b0b6-6bb73cb33afc}" enabled="1" method="Privileged" siteId="{72f988bf-86f1-41af-91ab-2d7cd011db47}" removed="0"/>
  <clbl:label id="{defa4170-0d19-0005-0004-bc88714345d2}" enabled="1" method="Standard" siteId="{3b9917a3-e84c-4503-9de4-49e31e5f2dc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1696</Words>
  <Characters>9669</Characters>
  <Application>Microsoft Office Word</Application>
  <DocSecurity>0</DocSecurity>
  <Lines>80</Lines>
  <Paragraphs>22</Paragraphs>
  <ScaleCrop>false</ScaleCrop>
  <Manager/>
  <Company/>
  <LinksUpToDate>false</LinksUpToDate>
  <CharactersWithSpaces>11343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Corey Gray</cp:lastModifiedBy>
  <cp:revision>4</cp:revision>
  <dcterms:created xsi:type="dcterms:W3CDTF">2026-09-07T07:30:00Z</dcterms:created>
  <dcterms:modified xsi:type="dcterms:W3CDTF">2026-09-07T07:36:00Z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0x01010042410C10365B41458A488A2E06A7CDDA</vt:lpwstr>
  </property>
  <property fmtid="{D5CDD505-2E9C-101B-9397-08002B2CF9AE}" pid="3" name="MediaServiceImageTags">
    <vt:lpwstr/>
  </property>
  <property fmtid="{D5CDD505-2E9C-101B-9397-08002B2CF9AE}" pid="5" name="docLang">
    <vt:lpwstr>en</vt:lpwstr>
  </property>
</Properties>
</file>