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8309E" w14:textId="59CA684D" w:rsidR="1B80813B" w:rsidRDefault="1B80813B" w:rsidP="1B80813B">
      <w:pPr>
        <w:pStyle w:val="Title"/>
      </w:pPr>
      <w:r w:rsidRPr="1B80813B">
        <w:rPr>
          <w:b/>
          <w:bCs/>
          <w:color w:val="794E1F"/>
        </w:rPr>
        <w:t>Compliance Readiness Brief</w:t>
      </w:r>
    </w:p>
    <w:p w14:paraId="10E3DCB3" w14:textId="7ADD62B7" w:rsidR="1B80813B" w:rsidRDefault="1B80813B">
      <w:r w:rsidRPr="1B80813B">
        <w:rPr>
          <w:i/>
          <w:iCs/>
          <w:color w:val="595959" w:themeColor="text1" w:themeTint="A6"/>
          <w:sz w:val="26"/>
          <w:szCs w:val="26"/>
        </w:rPr>
        <w:t>AI governance, data protection and third-party assurance</w:t>
      </w:r>
    </w:p>
    <w:p w14:paraId="7B319DC2" w14:textId="40C8ACCA" w:rsidR="1B80813B" w:rsidRDefault="1B80813B">
      <w:r w:rsidRPr="1B80813B">
        <w:rPr>
          <w:color w:val="595959" w:themeColor="text1" w:themeTint="A6"/>
          <w:sz w:val="19"/>
          <w:szCs w:val="19"/>
        </w:rPr>
        <w:t>Prepared for Corey Gray, Marketing (Paris)  |  7 September 2026  |  Evidence window: 7 March – 7 September 2026</w:t>
      </w:r>
    </w:p>
    <w:p w14:paraId="2F88695C" w14:textId="5B93A2F0" w:rsidR="1B80813B" w:rsidRDefault="1B80813B" w:rsidP="1B80813B">
      <w:pPr>
        <w:pStyle w:val="Heading1"/>
      </w:pPr>
      <w:r w:rsidRPr="1B80813B">
        <w:rPr>
          <w:color w:val="794E1F"/>
        </w:rPr>
        <w:t>Executive Summary</w:t>
      </w:r>
    </w:p>
    <w:p w14:paraId="6D0315B7" w14:textId="5F182812" w:rsidR="1B80813B" w:rsidRDefault="1B80813B">
      <w:r>
        <w:t>Contoso's AI governance intent is documented but not yet operational. The AI Governance Policy Book (4 February 2026), the AI Governance Quick-Start Checklist and the AI Governance Strategy RACI together set out a four-pillar model covering Compliance &amp; Privacy, Security &amp; Identity, Reliability &amp; Quality and Financial Governance, with named accountable roles and a twelve-week delivery plan. What the internal record does not show is execution. The Pillar 5 Security &amp; Governance workbook remains an unpopulated template, and the two Jira items in the ZAVA AI Governance project that would convert policy into controls, ZAG-4 (identify scope of governance) and ZAG-5 (draft compliance criteria for agent behaviour), are still open. ZAG-5 has been reported overdue continuously from June 2026 through the most recent daily digest of 6 September 2026.</w:t>
      </w:r>
    </w:p>
    <w:p w14:paraId="30BB546E" w14:textId="5E0A4F39" w:rsidR="1B80813B" w:rsidRDefault="1B80813B">
      <w:r>
        <w:t xml:space="preserve">The external clock has moved faster than the internal one. Regulation (EU) 2026/1744 of 8 July 2026, the Digital Omnibus on AI, deferred the AI Act's Annex III high-risk obligations to 2 December 2027 and Annex I obligations to 2 August 2028. It did not move the Article 50 transparency duties, which applied from 2 August 2026, with only a four-month grace period to 2 December 2026 for watermarking systems already on the market. Those transparency duties are </w:t>
      </w:r>
      <w:proofErr w:type="gramStart"/>
      <w:r>
        <w:t>live</w:t>
      </w:r>
      <w:proofErr w:type="gramEnd"/>
      <w:r>
        <w:t xml:space="preserve"> today, and they are precisely the ones no internal control has been mapped against.</w:t>
      </w:r>
    </w:p>
    <w:p w14:paraId="7EE06810" w14:textId="36BB1370" w:rsidR="1B80813B" w:rsidRDefault="1B80813B">
      <w:r>
        <w:t>Two further exposures are concrete rather than theoretical. The European Data Protection Board launched its 2026 coordinated enforcement action on GDPR transparency and information obligations on 19 March 2026, with 25 data protection authorities contacting controllers across sectors during the year. Separately, the Cloud ERP procurement RFP-2026-001 recorded GDPR and EMEA data-residency evidence as missing for all three bidders while treating that same evidence as a mandatory pre-award gate. Nine gaps are set out in Section 4. The three rated critical, each tied to a date inside the next ninety days, should be closed first.</w:t>
      </w:r>
    </w:p>
    <w:p w14:paraId="2FE59233" w14:textId="5CE06FF6" w:rsidR="1B80813B" w:rsidRDefault="1B80813B" w:rsidP="1B80813B">
      <w:pPr>
        <w:pStyle w:val="Heading1"/>
      </w:pPr>
      <w:r w:rsidRPr="1B80813B">
        <w:rPr>
          <w:color w:val="794E1F"/>
        </w:rPr>
        <w:t>1. Scope</w:t>
      </w:r>
    </w:p>
    <w:p w14:paraId="61CCEA64" w14:textId="38BFFC4E" w:rsidR="1B80813B" w:rsidRDefault="1B80813B">
      <w:r>
        <w:t>This brief assesses Contoso's readiness against the AI and data protection obligations binding on an EU-established organisation. The internal evidence base is the compliance signal present in Corey Gray's Microsoft 365 estate between 7 March and 7 September 2026; the external benchmark is public regulatory and enforcement material published up to 7 September 2026.</w:t>
      </w:r>
    </w:p>
    <w:p w14:paraId="4C0B3D00" w14:textId="4498F054" w:rsidR="1B80813B" w:rsidRDefault="1B80813B" w:rsidP="1B80813B">
      <w:pPr>
        <w:pStyle w:val="Heading2"/>
      </w:pPr>
      <w:r w:rsidRPr="1B80813B">
        <w:rPr>
          <w:color w:val="794E1F"/>
        </w:rPr>
        <w:t>In scope</w:t>
      </w:r>
    </w:p>
    <w:p w14:paraId="3E8E029A" w14:textId="4F7D9F31" w:rsidR="1B80813B" w:rsidRDefault="1B80813B">
      <w:r>
        <w:t xml:space="preserve">Three domains carry live obligations and visible internal activity. The first is AI system governance across Microsoft Copilot Studio, Azure AI Foundry, the M365 Agent SDK and custom agents, as scoped by the AI Governance Policy Book. The second is personal data handling under </w:t>
      </w:r>
      <w:r>
        <w:lastRenderedPageBreak/>
        <w:t>the GDPR, covering transparency, lawful basis, data residency and audit evidence. The third is third-party assurance in the Cloud ERP procurement RFP-2026-001, where compliance evidence forms a contractual pre-award gate.</w:t>
      </w:r>
    </w:p>
    <w:p w14:paraId="58BE189A" w14:textId="16E5178B" w:rsidR="1B80813B" w:rsidRDefault="1B80813B" w:rsidP="1B80813B">
      <w:pPr>
        <w:pStyle w:val="Heading2"/>
      </w:pPr>
      <w:r w:rsidRPr="1B80813B">
        <w:rPr>
          <w:color w:val="794E1F"/>
        </w:rPr>
        <w:t>Out of scope</w:t>
      </w:r>
    </w:p>
    <w:p w14:paraId="5E47326F" w14:textId="771242BD" w:rsidR="1B80813B" w:rsidRDefault="1B80813B">
      <w:r>
        <w:t>Financial reporting, sustainability and corporate governance disclosure are excluded. The competitor filings held in the TIGRES site, including the CRH 2025 Annual Report, the Holcim 2025 sustainability statement, the Sika corporate governance report and the Atos 2024 universal registration document, are market reference material rather than obligations on Contoso, and no internal workstream on those regimes appeared in the evidence window. Assessment of individual conduct or performance is also out of scope.</w:t>
      </w:r>
    </w:p>
    <w:p w14:paraId="75C109E6" w14:textId="7B59F572" w:rsidR="1B80813B" w:rsidRDefault="1B80813B" w:rsidP="1B80813B">
      <w:pPr>
        <w:pStyle w:val="Heading2"/>
      </w:pPr>
      <w:r w:rsidRPr="1B80813B">
        <w:rPr>
          <w:color w:val="794E1F"/>
        </w:rPr>
        <w:t>Evidence base</w:t>
      </w:r>
    </w:p>
    <w:p w14:paraId="779DD94E" w14:textId="1C2CB8DD" w:rsidR="1B80813B" w:rsidRDefault="1B80813B">
      <w:r>
        <w:t xml:space="preserve">Internal findings draw on four governance documents held in OneDrive and the TIGRES and AI Strategy SharePoint sites, the Contoso S2P procurement thread in Microsoft Teams dated 26 February 2026, and the daily task digests and system notifications received in Outlook between March and September 2026. External findings </w:t>
      </w:r>
      <w:proofErr w:type="gramStart"/>
      <w:r>
        <w:t>draw</w:t>
      </w:r>
      <w:proofErr w:type="gramEnd"/>
      <w:r>
        <w:t xml:space="preserve"> on the Official Journal record for Regulation (EU) 2026/1744, the EDPB's own announcements, the consolidated AI Act implementation timeline and published supervisory decisions. Every claim below is attributed in Section 6.</w:t>
      </w:r>
    </w:p>
    <w:p w14:paraId="62B6AB34" w14:textId="2F5F2C4F" w:rsidR="1B80813B" w:rsidRDefault="1B80813B" w:rsidP="1B80813B">
      <w:pPr>
        <w:pStyle w:val="Heading1"/>
      </w:pPr>
      <w:r w:rsidRPr="1B80813B">
        <w:rPr>
          <w:color w:val="794E1F"/>
        </w:rPr>
        <w:t>2. Internal Findings</w:t>
      </w:r>
    </w:p>
    <w:p w14:paraId="1E10CEB3" w14:textId="2734FD6A" w:rsidR="1B80813B" w:rsidRDefault="1B80813B" w:rsidP="1B80813B">
      <w:pPr>
        <w:pStyle w:val="Heading2"/>
      </w:pPr>
      <w:r w:rsidRPr="1B80813B">
        <w:rPr>
          <w:color w:val="794E1F"/>
        </w:rPr>
        <w:t>2.1  Governance is written down but not stood up</w:t>
      </w:r>
    </w:p>
    <w:p w14:paraId="14A59D88" w14:textId="1D40628A" w:rsidR="1B80813B" w:rsidRDefault="1B80813B">
      <w:r>
        <w:t xml:space="preserve">The AI Governance Policy Book, authored by Corey Gray and dated 4 February 2026, establishes a governance model on four pillars: Compliance &amp; Privacy, Security &amp; Identity, Reliability &amp; Quality, and Financial Governance. Its Compliance &amp; Privacy Policies section commits to data residency enforcement covering the EU Data Boundary, GDPR and HIPAA, to PII detection and redaction, and to regulatory alignment with the EU AI Act. Those three lines are the entirety of the regulatory content. They name obligations without specifying a control, an owner, an evidence artefact or a review cadence, and the document's own appendix records that architecture diagrams remain </w:t>
      </w:r>
      <w:proofErr w:type="gramStart"/>
      <w:r>
        <w:t>to be embedded</w:t>
      </w:r>
      <w:proofErr w:type="gramEnd"/>
      <w:r>
        <w:t xml:space="preserve"> in the final version.</w:t>
      </w:r>
    </w:p>
    <w:p w14:paraId="4785373E" w14:textId="772E8FA0" w:rsidR="1B80813B" w:rsidRDefault="1B80813B">
      <w:r>
        <w:t>The AI Governance Quick-Start Checklist is more operational, requiring Data Loss Prevention policies in Copilot Studio, PII redaction for all AI outputs, EU Data Boundary residency for EU customers, human-in-the-loop review for high-risk decisions, and evaluation metrics for faithfulness, relevance and toxicity. The AI Governance Strategy RACI then assigns those tasks: the Security Officer is responsible for applying DLP policies with the Compliance Officer accountable, and the AI Governance Lead is responsible for defining governance principles with the CIO accountable. The plan is credible and the ownership is clear. The gap is that neither the checklist's first-thirty-days plan nor the RACI's three-phase twelve-week timeline shows any completion evidence anywhere in the evidence window.</w:t>
      </w:r>
    </w:p>
    <w:p w14:paraId="2D35F682" w14:textId="71FE2CC0" w:rsidR="1B80813B" w:rsidRDefault="1B80813B">
      <w:r>
        <w:t xml:space="preserve">The clearest measure of that gap is the Pillar 5 Security &amp; Governance workbook from the Agent Readiness Framework. It is held in the estate as a blank template. The organisation, document owner and version fields are empty. The workbook defines four agent autonomy tiers, from Tier 1 assistive through Tier 4 autonomous multi-step cross-system execution, but the required safeguards column is unfilled for every tier. Its Section 5 questions on applicable regulations, </w:t>
      </w:r>
      <w:r>
        <w:lastRenderedPageBreak/>
        <w:t>compliance monitoring process, audit mechanisms, log retention and the date of the next compliance review are all unanswered, and every one of the eight capability ratings in the governance readiness scorecard is blank. The template's own guidance notes that only around one in four organisations conduct performance and security tests before deployment</w:t>
      </w:r>
      <w:proofErr w:type="gramStart"/>
      <w:r>
        <w:t>; on this evidence</w:t>
      </w:r>
      <w:proofErr w:type="gramEnd"/>
      <w:r>
        <w:t xml:space="preserve"> Contoso cannot yet demonstrate that it is in the other three quarters.</w:t>
      </w:r>
    </w:p>
    <w:p w14:paraId="13843159" w14:textId="318F8797" w:rsidR="1B80813B" w:rsidRDefault="1B80813B" w:rsidP="1B80813B">
      <w:pPr>
        <w:pStyle w:val="Heading2"/>
      </w:pPr>
      <w:r w:rsidRPr="1B80813B">
        <w:rPr>
          <w:color w:val="794E1F"/>
        </w:rPr>
        <w:t>2.2  The two items that would operationalise policy are overdue</w:t>
      </w:r>
    </w:p>
    <w:p w14:paraId="27A99A53" w14:textId="12190AE3" w:rsidR="1B80813B" w:rsidRDefault="1B80813B">
      <w:r>
        <w:t>Five Jira work items, ZAG-1 through ZAG-5, sit in the ZAVA AI Governance project assigned to Corey Gray. Two of them are the bridge between the policy documents and an auditable control set: ZAG-4, identify scope of governance, and ZAG-5, draft compliance criteria for agent behaviour. ZAG-5 first appears as overdue in the daily digest of 21 July 2026, is repeated as overdue on 1, 3, 7 and 17 August, and is still listed as open and overdue in the digest of 6 September 2026, which counts eleven open tasks of which five are high priority. An overdue item is not itself a compliance failure. An overdue item whose deliverable is the compliance criteria for autonomous agent behaviour, held open across a full quarter while the Article 50 transparency deadline passed, is the single most material internal finding in this brief.</w:t>
      </w:r>
    </w:p>
    <w:p w14:paraId="457A25AA" w14:textId="3C1146BC" w:rsidR="1B80813B" w:rsidRDefault="1B80813B" w:rsidP="1B80813B">
      <w:pPr>
        <w:pStyle w:val="Heading2"/>
      </w:pPr>
      <w:r w:rsidRPr="1B80813B">
        <w:rPr>
          <w:color w:val="794E1F"/>
        </w:rPr>
        <w:t xml:space="preserve">2.3  Third-party compliance evidence is </w:t>
      </w:r>
      <w:proofErr w:type="gramStart"/>
      <w:r w:rsidRPr="1B80813B">
        <w:rPr>
          <w:color w:val="794E1F"/>
        </w:rPr>
        <w:t>missing</w:t>
      </w:r>
      <w:proofErr w:type="gramEnd"/>
      <w:r w:rsidRPr="1B80813B">
        <w:rPr>
          <w:color w:val="794E1F"/>
        </w:rPr>
        <w:t xml:space="preserve"> and the award gate is still open</w:t>
      </w:r>
    </w:p>
    <w:p w14:paraId="1CE91345" w14:textId="2B2CADD5" w:rsidR="1B80813B" w:rsidRDefault="1B80813B">
      <w:r>
        <w:t>The Cloud ERP procurement RFP-2026-001, documented in the Contoso S2P Teams thread of 26 February 2026, covers Finance, HR and CRM modules for 350 users across EMEA on a 24-month timeline against a not-to-exceed budget of 250,000 euro. Its design is sound: a uniform mandatory compliance gate requires SaaS delivery, all three modules, GDPR and EMEA data residency, SLA acceptance and security certifications, and only vendors meeting one hundred per cent of the mandatory criteria proceed to scoring, where compliance and CSR carry fifteen per cent alongside technical fit at forty, commercial terms at twenty-five and risk at twenty.</w:t>
      </w:r>
    </w:p>
    <w:p w14:paraId="7CDAAF07" w14:textId="27086782" w:rsidR="1B80813B" w:rsidRDefault="1B80813B">
      <w:r>
        <w:t xml:space="preserve">The gate did not hold </w:t>
      </w:r>
      <w:proofErr w:type="gramStart"/>
      <w:r>
        <w:t>on</w:t>
      </w:r>
      <w:proofErr w:type="gramEnd"/>
      <w:r>
        <w:t xml:space="preserve"> evidence. The offer analysis records GDPR and EMEA residency as missing for all three bidders, notes that pricing, SLA and compliance sheets were not retrievable for any of them, and states plainly that no compliance certifications </w:t>
      </w:r>
      <w:proofErr w:type="gramStart"/>
      <w:r>
        <w:t>means</w:t>
      </w:r>
      <w:proofErr w:type="gramEnd"/>
      <w:r>
        <w:t xml:space="preserve"> legal risk unresolved. Its own conclusion is that final award must not proceed until commercial, SLA and compliance gaps are closed contractually, with clarification letters required to collect GDPR, ISO 27001 and SOC 2 Type II evidence and confirm EMEA data centre locations. Approval was to come from Corey Gray as procurement lead together with the Finance Director, Legal Counsel, CISO and Executive Sponsor.</w:t>
      </w:r>
    </w:p>
    <w:p w14:paraId="63FF0E62" w14:textId="4EB805D7" w:rsidR="1B80813B" w:rsidRDefault="1B80813B">
      <w:r>
        <w:t>Six months later the closure is not visible. The digest of 13 July 2026 still carries the instruction to validate SLA commitments, collect GDPR, ISO 27001 and SOC 2 evidence and confirm EMEA data residency. The digest of 13 August 2026 still lists all four internal briefings, to the Finance Director, Legal team, CISO and Compliance Officer, as outstanding, and still carries the instruction to align with the Compliance Officer on GDPR validation. The procurement remains an active item on the 6 September digest. A vendor selection that would put EU personal data into a third party's platform is therefore sitting at the point where its own controls say it must not advance.</w:t>
      </w:r>
    </w:p>
    <w:p w14:paraId="3D319E5F" w14:textId="6F7E8008" w:rsidR="1B80813B" w:rsidRDefault="1B80813B" w:rsidP="1B80813B">
      <w:pPr>
        <w:pStyle w:val="Heading2"/>
      </w:pPr>
      <w:r w:rsidRPr="1B80813B">
        <w:rPr>
          <w:color w:val="794E1F"/>
        </w:rPr>
        <w:t>2.4  Data integrity and identity hygiene signals</w:t>
      </w:r>
    </w:p>
    <w:p w14:paraId="4C15C7B0" w14:textId="319A83C3" w:rsidR="1B80813B" w:rsidRDefault="1B80813B">
      <w:r>
        <w:t xml:space="preserve">Two connector faults are </w:t>
      </w:r>
      <w:proofErr w:type="gramStart"/>
      <w:r>
        <w:t>open</w:t>
      </w:r>
      <w:proofErr w:type="gramEnd"/>
      <w:r>
        <w:t xml:space="preserve"> and both are labelled as risk in the internal record rather than as routine maintenance. The ServiceNow connector was flagged on 21 August 2026 as a compliance risk and the Jira connector on 12 August 2026 as a data integrity risk; both remain </w:t>
      </w:r>
      <w:r>
        <w:lastRenderedPageBreak/>
        <w:t>unremediated in the digest of 6 September 2026. A separate Microsoft 365 notice of 22 August 2026 advised that the ServiceNowTickets2607141032 connection needed immediate attention. An Azure security advisory concerning email recipients in Azure Monitor action groups, identified on 18 August 2026 with a deadline of 26 August, is recorded as still requiring verification of whether it was handled by the Azure or IT team. Weekly Microsoft Entra ID Protection and Privileged Identity Management digests for the Contoso tenant arrive throughout the window, but no review or sign-off against them appears anywhere in the material searched.</w:t>
      </w:r>
    </w:p>
    <w:p w14:paraId="6B8FC1E0" w14:textId="6E067A2D" w:rsidR="1B80813B" w:rsidRDefault="1B80813B">
      <w:r>
        <w:t>These are individually small. Collectively they describe an environment where regulated data flows through connectors of unverified integrity, and where identity-governance reporting is generated but not demonstrably consumed. Under Article 5(1)(d) and Article 5(2) of the GDPR, accuracy and accountability are obligations rather than aspirations, and unremediated data-integrity faults in the systems of record are the kind of finding that a supervisory authority reads as an absence of process.</w:t>
      </w:r>
    </w:p>
    <w:p w14:paraId="38105C1C" w14:textId="253C7ED1" w:rsidR="1B80813B" w:rsidRDefault="1B80813B" w:rsidP="1B80813B">
      <w:pPr>
        <w:pStyle w:val="Heading1"/>
      </w:pPr>
      <w:r w:rsidRPr="1B80813B">
        <w:rPr>
          <w:color w:val="794E1F"/>
        </w:rPr>
        <w:t>3. Regulatory Landscape</w:t>
      </w:r>
    </w:p>
    <w:p w14:paraId="1CA037C1" w14:textId="736E630F" w:rsidR="1B80813B" w:rsidRDefault="1B80813B" w:rsidP="1B80813B">
      <w:pPr>
        <w:pStyle w:val="Heading2"/>
      </w:pPr>
      <w:r w:rsidRPr="1B80813B">
        <w:rPr>
          <w:color w:val="794E1F"/>
        </w:rPr>
        <w:t>3.1  EU AI Act: the deadline moved, but not the one that binds Contoso now</w:t>
      </w:r>
    </w:p>
    <w:p w14:paraId="653B68CA" w14:textId="4B80F2F3" w:rsidR="1B80813B" w:rsidRDefault="1B80813B">
      <w:r>
        <w:t>The AI Act, Regulation (EU) 2024/1689, entered into force on 1 August 2024 and applies in stages. The prohibitions in Article 5 and the AI literacy duty in Article 4 have applied since 2 February 2025. Obligations for general-purpose AI models under Articles 51 to 56, the governance chapter and the first penalty provisions have applied since 2 August 2025, the date the AI Office became operational. Providers of GPAI models placed on the market before that date have until 2 August 2027 to comply.</w:t>
      </w:r>
    </w:p>
    <w:p w14:paraId="3B7AC36D" w14:textId="2954A85D" w:rsidR="1B80813B" w:rsidRDefault="1B80813B">
      <w:r>
        <w:t xml:space="preserve">The timeline then changed. The Commission tabled the Digital Omnibus on AI on 19 November 2025, the institutions reached provisional political agreement on 6 May </w:t>
      </w:r>
      <w:proofErr w:type="gramStart"/>
      <w:r>
        <w:t>2026</w:t>
      </w:r>
      <w:proofErr w:type="gramEnd"/>
      <w:r>
        <w:t xml:space="preserve"> and Member State representatives confirmed it in Council on 13 May. The Council gave final approval on 29 June </w:t>
      </w:r>
      <w:proofErr w:type="gramStart"/>
      <w:r>
        <w:t>2026</w:t>
      </w:r>
      <w:proofErr w:type="gramEnd"/>
      <w:r>
        <w:t xml:space="preserve"> and the amending act was adopted as Regulation (EU) 2026/1744 of 8 July 2026, amending Regulations (EU) 2024/1689, (EU) 2018/1139 and (EU) 2023/1230. High-risk obligations for stand-alone Annex III systems, which cover recruitment, credit scoring, education and similar uses, now apply from 2 December 2027 rather than 2 August 2026. High-risk obligations for AI embedded in regulated products under Annex I move to 2 August 2028, and the deadline for Member States to establish national regulatory sandboxes moves to 2 August 2027.</w:t>
      </w:r>
    </w:p>
    <w:p w14:paraId="2C7C8886" w14:textId="3B8E8391" w:rsidR="1B80813B" w:rsidRDefault="1B80813B">
      <w:r>
        <w:t xml:space="preserve">What did not move is the part that applies to Contoso today. </w:t>
      </w:r>
      <w:proofErr w:type="gramStart"/>
      <w:r>
        <w:t>The Article</w:t>
      </w:r>
      <w:proofErr w:type="gramEnd"/>
      <w:r>
        <w:t xml:space="preserve"> 50 transparency obligations, including the duty to disclose to a person that they are interacting with an AI system and to mark AI-generated content, took effect on 2 August 2026 as originally scheduled. The only concession is a four-month grace period to 2 December 2026 for the Article 50(2) machine-readable marking duty as it applies to systems already on the market before 2 August 2026. A new Article 5 prohibition on AI systems generating non-consensual intimate imagery or child sexual abuse material was also introduced, with its own transitional period ending 2 December 2026, and it reaches any system where such generation is a reasonably foreseeable and reproducible outcome absent adequate safeguards, not only systems intended for that purpose.</w:t>
      </w:r>
    </w:p>
    <w:p w14:paraId="7659C8F1" w14:textId="498AEF1B" w:rsidR="1B80813B" w:rsidRDefault="1B80813B">
      <w:r>
        <w:lastRenderedPageBreak/>
        <w:t>Two further changes bear directly on the internal findings above. The legal basis for processing special-category personal data for bias detection and correction, previously available only to providers of high-risk systems, now extends to all AI systems and general-purpose AI models under a strict necessity standard, following the approach recommended by the EDPB and EDPS in Joint Opinion 1/2026. And the AI Office gains exclusive competence over AI systems built on general-purpose models where the model and the system come from the same provider, together with powers to open investigations, conduct on-site inspections, accept binding commitments and impose fines. The consistent legal reading of the Omnibus is that it is a deferral rather than a dismantling, and that the additional headroom on high-risk obligations is time to build a framework rather than a reason to postpone starting one.</w:t>
      </w:r>
    </w:p>
    <w:p w14:paraId="106A2498" w14:textId="1D97070B" w:rsidR="1B80813B" w:rsidRDefault="1B80813B" w:rsidP="1B80813B">
      <w:pPr>
        <w:pStyle w:val="Heading2"/>
      </w:pPr>
      <w:r w:rsidRPr="1B80813B">
        <w:rPr>
          <w:color w:val="794E1F"/>
        </w:rPr>
        <w:t>3.2  GDPR: transparency is the 2026 supervisory priority</w:t>
      </w:r>
    </w:p>
    <w:p w14:paraId="262A7FD3" w14:textId="37491CCC" w:rsidR="1B80813B" w:rsidRDefault="1B80813B">
      <w:r>
        <w:t>On 19 March 2026 the European Data Protection Board launched its Coordinated Enforcement Framework action for the year, and the topic it selected is compliance with the transparency and information obligations in Articles 12, 13 and 14 of the GDPR. Twenty-five data protection authorities are participating. They are contacting controllers across different sectors either through enforcement actions or through fact-finding exercises, with follow-up where warranted; findings are being shared and discussed among the authorities in the second half of 2026, and a consolidated report will be submitted for adoption by the Board, enabling targeted follow-up at both national and EU level. The action succeeds coordinated actions on the right to erasure in 2025, the designation of data protection officers in 2024 and public-sector cloud use in 2023, each of which produced a published report.</w:t>
      </w:r>
    </w:p>
    <w:p w14:paraId="67FADAEF" w14:textId="74CEB3CA" w:rsidR="1B80813B" w:rsidRDefault="1B80813B">
      <w:r>
        <w:t>For Contoso the significance is one of timing rather than novelty. Articles 12 to 14 have been in force since 2018. What changed in March 2026 is the probability of being asked to evidence them, in a year when the organisation is simultaneously deploying AI agents whose processing has not been described in any notice found in the evidence base and selecting an ERP processor whose GDPR position is recorded as unknown.</w:t>
      </w:r>
    </w:p>
    <w:p w14:paraId="22DA5FAD" w14:textId="23004CF7" w:rsidR="1B80813B" w:rsidRDefault="1B80813B" w:rsidP="1B80813B">
      <w:pPr>
        <w:pStyle w:val="Heading2"/>
      </w:pPr>
      <w:r w:rsidRPr="1B80813B">
        <w:rPr>
          <w:color w:val="794E1F"/>
        </w:rPr>
        <w:t>3.3  Enforcement signals</w:t>
      </w:r>
    </w:p>
    <w:p w14:paraId="7B0A6DD3" w14:textId="7571B835" w:rsidR="1B80813B" w:rsidRDefault="1B80813B">
      <w:r>
        <w:t>The two most instructive recent decisions both concern conversational AI and both turn on transparency and lawful basis rather than on a breach. The Italian Garante fined Luka Inc., the United States developer of the Replika companion chatbot, five million euro by decision of 10 April 2025, and opened a further investigation into the underlying model. The same authority fined OpenAI fifteen million euro over multiple GDPR violations connected to ChatGPT. Neither case required a security incident; in both, the deficiency was in how the processing was explained and justified to the people whose data was used.</w:t>
      </w:r>
    </w:p>
    <w:p w14:paraId="6D2A8D2B" w14:textId="390C8174" w:rsidR="1B80813B" w:rsidRDefault="1B80813B">
      <w:r>
        <w:t>The wider volume is consistent with that emphasis. Public enforcement trackers aggregating published supervisory decisions record on the order of 279 GDPR enforcement decisions during 2026 totalling roughly 1.1 billion euro in fines. That figure comes from a third-party aggregator rather than from an official EU register and should be read as an order of magnitude rather than an audited total, but the direction is unambiguous, and it now sits alongside a newly empowered AI Office that can investigate, inspect and fine in its own right.</w:t>
      </w:r>
    </w:p>
    <w:p w14:paraId="4266A741" w14:textId="5B0D809E" w:rsidR="1B80813B" w:rsidRDefault="1B80813B" w:rsidP="1B80813B">
      <w:pPr>
        <w:pStyle w:val="Heading1"/>
      </w:pPr>
      <w:r w:rsidRPr="1B80813B">
        <w:rPr>
          <w:color w:val="794E1F"/>
        </w:rPr>
        <w:lastRenderedPageBreak/>
        <w:t>4. Gap Analysis</w:t>
      </w:r>
    </w:p>
    <w:p w14:paraId="51BBFC8B" w14:textId="7B0A0632" w:rsidR="1B80813B" w:rsidRDefault="1B80813B">
      <w:r>
        <w:t>Nine gaps follow from the findings above. Severity reflects the combination of regulatory exposure and proximity of the applicable date, not the effort required to close the gap. Three are rated critical because the governing obligation is already in force or falls due before the end of 2026.</w:t>
      </w:r>
    </w:p>
    <w:tbl>
      <w:tblPr>
        <w:tblStyle w:val="LightList-Accent1"/>
        <w:tblW w:w="0" w:type="auto"/>
        <w:tblLook w:val="0000" w:firstRow="0" w:lastRow="0" w:firstColumn="0" w:lastColumn="0" w:noHBand="0" w:noVBand="0"/>
      </w:tblPr>
      <w:tblGrid>
        <w:gridCol w:w="600"/>
        <w:gridCol w:w="1700"/>
        <w:gridCol w:w="2950"/>
        <w:gridCol w:w="2880"/>
        <w:gridCol w:w="991"/>
      </w:tblGrid>
      <w:tr w:rsidR="1B80813B" w14:paraId="2035E9B3"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 w:type="dxa"/>
          </w:tcPr>
          <w:p w14:paraId="4DD8199B" w14:textId="1F1B0202" w:rsidR="1B80813B" w:rsidRDefault="1B80813B">
            <w:r>
              <w:t>Ref</w:t>
            </w:r>
          </w:p>
        </w:tc>
        <w:tc>
          <w:tcPr>
            <w:tcW w:w="1700" w:type="dxa"/>
          </w:tcPr>
          <w:p w14:paraId="48F2AEEB" w14:textId="17F8E8C6" w:rsidR="1B80813B" w:rsidRDefault="1B80813B">
            <w:pPr>
              <w:cnfStyle w:val="000000100000" w:firstRow="0" w:lastRow="0" w:firstColumn="0" w:lastColumn="0" w:oddVBand="0" w:evenVBand="0" w:oddHBand="1" w:evenHBand="0" w:firstRowFirstColumn="0" w:firstRowLastColumn="0" w:lastRowFirstColumn="0" w:lastRowLastColumn="0"/>
            </w:pPr>
            <w:r>
              <w:t>Domain</w:t>
            </w:r>
          </w:p>
        </w:tc>
        <w:tc>
          <w:tcPr>
            <w:cnfStyle w:val="000010000000" w:firstRow="0" w:lastRow="0" w:firstColumn="0" w:lastColumn="0" w:oddVBand="1" w:evenVBand="0" w:oddHBand="0" w:evenHBand="0" w:firstRowFirstColumn="0" w:firstRowLastColumn="0" w:lastRowFirstColumn="0" w:lastRowLastColumn="0"/>
            <w:tcW w:w="2950" w:type="dxa"/>
          </w:tcPr>
          <w:p w14:paraId="2A0093DC" w14:textId="10D6CF8A" w:rsidR="1B80813B" w:rsidRDefault="1B80813B">
            <w:r>
              <w:t>Current state (internal evidence)</w:t>
            </w:r>
          </w:p>
        </w:tc>
        <w:tc>
          <w:tcPr>
            <w:tcW w:w="2880" w:type="dxa"/>
          </w:tcPr>
          <w:p w14:paraId="514BC20E" w14:textId="09B4B64E" w:rsidR="1B80813B" w:rsidRDefault="1B80813B">
            <w:pPr>
              <w:cnfStyle w:val="000000100000" w:firstRow="0" w:lastRow="0" w:firstColumn="0" w:lastColumn="0" w:oddVBand="0" w:evenVBand="0" w:oddHBand="1" w:evenHBand="0" w:firstRowFirstColumn="0" w:firstRowLastColumn="0" w:lastRowFirstColumn="0" w:lastRowLastColumn="0"/>
            </w:pPr>
            <w:r>
              <w:t>Requirement and external benchmark</w:t>
            </w:r>
          </w:p>
        </w:tc>
        <w:tc>
          <w:tcPr>
            <w:cnfStyle w:val="000010000000" w:firstRow="0" w:lastRow="0" w:firstColumn="0" w:lastColumn="0" w:oddVBand="1" w:evenVBand="0" w:oddHBand="0" w:evenHBand="0" w:firstRowFirstColumn="0" w:firstRowLastColumn="0" w:lastRowFirstColumn="0" w:lastRowLastColumn="0"/>
            <w:tcW w:w="896" w:type="dxa"/>
          </w:tcPr>
          <w:p w14:paraId="4CC04E10" w14:textId="02929D12" w:rsidR="1B80813B" w:rsidRDefault="1B80813B">
            <w:r>
              <w:t>Severity</w:t>
            </w:r>
          </w:p>
        </w:tc>
      </w:tr>
      <w:tr w:rsidR="1B80813B" w14:paraId="77689242" w14:textId="77777777" w:rsidTr="1B80813B">
        <w:tc>
          <w:tcPr>
            <w:cnfStyle w:val="000010000000" w:firstRow="0" w:lastRow="0" w:firstColumn="0" w:lastColumn="0" w:oddVBand="1" w:evenVBand="0" w:oddHBand="0" w:evenHBand="0" w:firstRowFirstColumn="0" w:firstRowLastColumn="0" w:lastRowFirstColumn="0" w:lastRowLastColumn="0"/>
            <w:tcW w:w="600" w:type="dxa"/>
          </w:tcPr>
          <w:p w14:paraId="2887F894" w14:textId="19A7FD87" w:rsidR="1B80813B" w:rsidRDefault="1B80813B">
            <w:r>
              <w:t>G1</w:t>
            </w:r>
          </w:p>
        </w:tc>
        <w:tc>
          <w:tcPr>
            <w:tcW w:w="1700" w:type="dxa"/>
          </w:tcPr>
          <w:p w14:paraId="4F0C1C4C" w14:textId="1285E44B" w:rsidR="1B80813B" w:rsidRDefault="1B80813B">
            <w:pPr>
              <w:cnfStyle w:val="000000000000" w:firstRow="0" w:lastRow="0" w:firstColumn="0" w:lastColumn="0" w:oddVBand="0" w:evenVBand="0" w:oddHBand="0" w:evenHBand="0" w:firstRowFirstColumn="0" w:firstRowLastColumn="0" w:lastRowFirstColumn="0" w:lastRowLastColumn="0"/>
            </w:pPr>
            <w:r>
              <w:t>AI transparency (Article 50)</w:t>
            </w:r>
          </w:p>
        </w:tc>
        <w:tc>
          <w:tcPr>
            <w:cnfStyle w:val="000010000000" w:firstRow="0" w:lastRow="0" w:firstColumn="0" w:lastColumn="0" w:oddVBand="1" w:evenVBand="0" w:oddHBand="0" w:evenHBand="0" w:firstRowFirstColumn="0" w:firstRowLastColumn="0" w:lastRowFirstColumn="0" w:lastRowLastColumn="0"/>
            <w:tcW w:w="2950" w:type="dxa"/>
          </w:tcPr>
          <w:p w14:paraId="15D10493" w14:textId="0B63CB0F" w:rsidR="1B80813B" w:rsidRDefault="1B80813B">
            <w:r>
              <w:t>No disclosure, content-marking or watermarking control appears in the Policy Book, the Quick-Start Checklist or the RACI.</w:t>
            </w:r>
          </w:p>
        </w:tc>
        <w:tc>
          <w:tcPr>
            <w:tcW w:w="2880" w:type="dxa"/>
          </w:tcPr>
          <w:p w14:paraId="4229073F" w14:textId="0441B1D3" w:rsidR="1B80813B" w:rsidRDefault="1B80813B">
            <w:pPr>
              <w:cnfStyle w:val="000000000000" w:firstRow="0" w:lastRow="0" w:firstColumn="0" w:lastColumn="0" w:oddVBand="0" w:evenVBand="0" w:oddHBand="0" w:evenHBand="0" w:firstRowFirstColumn="0" w:firstRowLastColumn="0" w:lastRowFirstColumn="0" w:lastRowLastColumn="0"/>
            </w:pPr>
            <w:r>
              <w:t>Article 50 disclosure has applied since 2 August 2026; the Article 50(2) marking grace period ends 2 December 2026.</w:t>
            </w:r>
          </w:p>
        </w:tc>
        <w:tc>
          <w:tcPr>
            <w:cnfStyle w:val="000010000000" w:firstRow="0" w:lastRow="0" w:firstColumn="0" w:lastColumn="0" w:oddVBand="1" w:evenVBand="0" w:oddHBand="0" w:evenHBand="0" w:firstRowFirstColumn="0" w:firstRowLastColumn="0" w:lastRowFirstColumn="0" w:lastRowLastColumn="0"/>
            <w:tcW w:w="896" w:type="dxa"/>
          </w:tcPr>
          <w:p w14:paraId="1738B3A4" w14:textId="7D1F9897" w:rsidR="1B80813B" w:rsidRDefault="1B80813B">
            <w:r>
              <w:t>Critical</w:t>
            </w:r>
          </w:p>
        </w:tc>
      </w:tr>
      <w:tr w:rsidR="1B80813B" w14:paraId="21E1743F"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 w:type="dxa"/>
          </w:tcPr>
          <w:p w14:paraId="4738CBB5" w14:textId="1434F90C" w:rsidR="1B80813B" w:rsidRDefault="1B80813B">
            <w:r>
              <w:t>G2</w:t>
            </w:r>
          </w:p>
        </w:tc>
        <w:tc>
          <w:tcPr>
            <w:tcW w:w="1700" w:type="dxa"/>
          </w:tcPr>
          <w:p w14:paraId="131925C5" w14:textId="0D12DFD0" w:rsidR="1B80813B" w:rsidRDefault="1B80813B">
            <w:pPr>
              <w:cnfStyle w:val="000000100000" w:firstRow="0" w:lastRow="0" w:firstColumn="0" w:lastColumn="0" w:oddVBand="0" w:evenVBand="0" w:oddHBand="1" w:evenHBand="0" w:firstRowFirstColumn="0" w:firstRowLastColumn="0" w:lastRowFirstColumn="0" w:lastRowLastColumn="0"/>
            </w:pPr>
            <w:r>
              <w:t>Agent behaviour criteria</w:t>
            </w:r>
          </w:p>
        </w:tc>
        <w:tc>
          <w:tcPr>
            <w:cnfStyle w:val="000010000000" w:firstRow="0" w:lastRow="0" w:firstColumn="0" w:lastColumn="0" w:oddVBand="1" w:evenVBand="0" w:oddHBand="0" w:evenHBand="0" w:firstRowFirstColumn="0" w:firstRowLastColumn="0" w:lastRowFirstColumn="0" w:lastRowLastColumn="0"/>
            <w:tcW w:w="2950" w:type="dxa"/>
          </w:tcPr>
          <w:p w14:paraId="69586645" w14:textId="05F0C694" w:rsidR="1B80813B" w:rsidRDefault="1B80813B">
            <w:r>
              <w:t>ZAG-5 open and reported overdue from 21 July 2026 through the digest of 6 September 2026.</w:t>
            </w:r>
          </w:p>
        </w:tc>
        <w:tc>
          <w:tcPr>
            <w:tcW w:w="2880" w:type="dxa"/>
          </w:tcPr>
          <w:p w14:paraId="78C5B8CF" w14:textId="7ECEAD58" w:rsidR="1B80813B" w:rsidRDefault="1B80813B">
            <w:pPr>
              <w:cnfStyle w:val="000000100000" w:firstRow="0" w:lastRow="0" w:firstColumn="0" w:lastColumn="0" w:oddVBand="0" w:evenVBand="0" w:oddHBand="1" w:evenHBand="0" w:firstRowFirstColumn="0" w:firstRowLastColumn="0" w:lastRowFirstColumn="0" w:lastRowLastColumn="0"/>
            </w:pPr>
            <w:r>
              <w:t>Prerequisite for any Article 50 or Annex III readiness claim; no external substitute exists.</w:t>
            </w:r>
          </w:p>
        </w:tc>
        <w:tc>
          <w:tcPr>
            <w:cnfStyle w:val="000010000000" w:firstRow="0" w:lastRow="0" w:firstColumn="0" w:lastColumn="0" w:oddVBand="1" w:evenVBand="0" w:oddHBand="0" w:evenHBand="0" w:firstRowFirstColumn="0" w:firstRowLastColumn="0" w:lastRowFirstColumn="0" w:lastRowLastColumn="0"/>
            <w:tcW w:w="896" w:type="dxa"/>
          </w:tcPr>
          <w:p w14:paraId="47BBCF8E" w14:textId="77AC941C" w:rsidR="1B80813B" w:rsidRDefault="1B80813B">
            <w:r>
              <w:t>Critical</w:t>
            </w:r>
          </w:p>
        </w:tc>
      </w:tr>
      <w:tr w:rsidR="1B80813B" w14:paraId="450135F2" w14:textId="77777777" w:rsidTr="1B80813B">
        <w:tc>
          <w:tcPr>
            <w:cnfStyle w:val="000010000000" w:firstRow="0" w:lastRow="0" w:firstColumn="0" w:lastColumn="0" w:oddVBand="1" w:evenVBand="0" w:oddHBand="0" w:evenHBand="0" w:firstRowFirstColumn="0" w:firstRowLastColumn="0" w:lastRowFirstColumn="0" w:lastRowLastColumn="0"/>
            <w:tcW w:w="600" w:type="dxa"/>
          </w:tcPr>
          <w:p w14:paraId="2F70DF0D" w14:textId="0EC1F491" w:rsidR="1B80813B" w:rsidRDefault="1B80813B">
            <w:r>
              <w:t>G3</w:t>
            </w:r>
          </w:p>
        </w:tc>
        <w:tc>
          <w:tcPr>
            <w:tcW w:w="1700" w:type="dxa"/>
          </w:tcPr>
          <w:p w14:paraId="635EC89C" w14:textId="079FDB55" w:rsidR="1B80813B" w:rsidRDefault="1B80813B">
            <w:pPr>
              <w:cnfStyle w:val="000000000000" w:firstRow="0" w:lastRow="0" w:firstColumn="0" w:lastColumn="0" w:oddVBand="0" w:evenVBand="0" w:oddHBand="0" w:evenHBand="0" w:firstRowFirstColumn="0" w:firstRowLastColumn="0" w:lastRowFirstColumn="0" w:lastRowLastColumn="0"/>
            </w:pPr>
            <w:r>
              <w:t>Prohibited-use screening</w:t>
            </w:r>
          </w:p>
        </w:tc>
        <w:tc>
          <w:tcPr>
            <w:cnfStyle w:val="000010000000" w:firstRow="0" w:lastRow="0" w:firstColumn="0" w:lastColumn="0" w:oddVBand="1" w:evenVBand="0" w:oddHBand="0" w:evenHBand="0" w:firstRowFirstColumn="0" w:firstRowLastColumn="0" w:lastRowFirstColumn="0" w:lastRowLastColumn="0"/>
            <w:tcW w:w="2950" w:type="dxa"/>
          </w:tcPr>
          <w:p w14:paraId="6D4C7907" w14:textId="007DC219" w:rsidR="1B80813B" w:rsidRDefault="1B80813B">
            <w:r>
              <w:t>Content Safety filter configuration is listed as an unstarted RACI task; no coverage or red-team evidence found.</w:t>
            </w:r>
          </w:p>
        </w:tc>
        <w:tc>
          <w:tcPr>
            <w:tcW w:w="2880" w:type="dxa"/>
          </w:tcPr>
          <w:p w14:paraId="36589380" w14:textId="795BA8DD" w:rsidR="1B80813B" w:rsidRDefault="1B80813B">
            <w:pPr>
              <w:cnfStyle w:val="000000000000" w:firstRow="0" w:lastRow="0" w:firstColumn="0" w:lastColumn="0" w:oddVBand="0" w:evenVBand="0" w:oddHBand="0" w:evenHBand="0" w:firstRowFirstColumn="0" w:firstRowLastColumn="0" w:lastRowFirstColumn="0" w:lastRowLastColumn="0"/>
            </w:pPr>
            <w:r>
              <w:t>New Article 5 prohibition on NCII and CSAM generation; transitional period ends 2 December 2026.</w:t>
            </w:r>
          </w:p>
        </w:tc>
        <w:tc>
          <w:tcPr>
            <w:cnfStyle w:val="000010000000" w:firstRow="0" w:lastRow="0" w:firstColumn="0" w:lastColumn="0" w:oddVBand="1" w:evenVBand="0" w:oddHBand="0" w:evenHBand="0" w:firstRowFirstColumn="0" w:firstRowLastColumn="0" w:lastRowFirstColumn="0" w:lastRowLastColumn="0"/>
            <w:tcW w:w="896" w:type="dxa"/>
          </w:tcPr>
          <w:p w14:paraId="68878505" w14:textId="72398FA1" w:rsidR="1B80813B" w:rsidRDefault="1B80813B">
            <w:r>
              <w:t>Critical</w:t>
            </w:r>
          </w:p>
        </w:tc>
      </w:tr>
      <w:tr w:rsidR="1B80813B" w14:paraId="30E41514"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 w:type="dxa"/>
          </w:tcPr>
          <w:p w14:paraId="6B5E0AB6" w14:textId="094EF016" w:rsidR="1B80813B" w:rsidRDefault="1B80813B">
            <w:r>
              <w:t>G4</w:t>
            </w:r>
          </w:p>
        </w:tc>
        <w:tc>
          <w:tcPr>
            <w:tcW w:w="1700" w:type="dxa"/>
          </w:tcPr>
          <w:p w14:paraId="6D22826E" w14:textId="022CD6DA" w:rsidR="1B80813B" w:rsidRDefault="1B80813B">
            <w:pPr>
              <w:cnfStyle w:val="000000100000" w:firstRow="0" w:lastRow="0" w:firstColumn="0" w:lastColumn="0" w:oddVBand="0" w:evenVBand="0" w:oddHBand="1" w:evenHBand="0" w:firstRowFirstColumn="0" w:firstRowLastColumn="0" w:lastRowFirstColumn="0" w:lastRowLastColumn="0"/>
            </w:pPr>
            <w:r>
              <w:t>AI inventory and risk classification</w:t>
            </w:r>
          </w:p>
        </w:tc>
        <w:tc>
          <w:tcPr>
            <w:cnfStyle w:val="000010000000" w:firstRow="0" w:lastRow="0" w:firstColumn="0" w:lastColumn="0" w:oddVBand="1" w:evenVBand="0" w:oddHBand="0" w:evenHBand="0" w:firstRowFirstColumn="0" w:firstRowLastColumn="0" w:lastRowFirstColumn="0" w:lastRowLastColumn="0"/>
            <w:tcW w:w="2950" w:type="dxa"/>
          </w:tcPr>
          <w:p w14:paraId="531F92B0" w14:textId="7B0ABD9E" w:rsidR="1B80813B" w:rsidRDefault="1B80813B">
            <w:r>
              <w:t>ZAG-4 open; the Pillar 5 agent registry and the safeguards column for all four autonomy tiers are unpopulated.</w:t>
            </w:r>
          </w:p>
        </w:tc>
        <w:tc>
          <w:tcPr>
            <w:tcW w:w="2880" w:type="dxa"/>
          </w:tcPr>
          <w:p w14:paraId="3F7257F6" w14:textId="73E8A462" w:rsidR="1B80813B" w:rsidRDefault="1B80813B">
            <w:pPr>
              <w:cnfStyle w:val="000000100000" w:firstRow="0" w:lastRow="0" w:firstColumn="0" w:lastColumn="0" w:oddVBand="0" w:evenVBand="0" w:oddHBand="1" w:evenHBand="0" w:firstRowFirstColumn="0" w:firstRowLastColumn="0" w:lastRowFirstColumn="0" w:lastRowLastColumn="0"/>
            </w:pPr>
            <w:r>
              <w:t>Annex III classification must precede conformity work well ahead of 2 December 2027.</w:t>
            </w:r>
          </w:p>
        </w:tc>
        <w:tc>
          <w:tcPr>
            <w:cnfStyle w:val="000010000000" w:firstRow="0" w:lastRow="0" w:firstColumn="0" w:lastColumn="0" w:oddVBand="1" w:evenVBand="0" w:oddHBand="0" w:evenHBand="0" w:firstRowFirstColumn="0" w:firstRowLastColumn="0" w:lastRowFirstColumn="0" w:lastRowLastColumn="0"/>
            <w:tcW w:w="896" w:type="dxa"/>
          </w:tcPr>
          <w:p w14:paraId="3268FD91" w14:textId="6CC68B26" w:rsidR="1B80813B" w:rsidRDefault="1B80813B">
            <w:r>
              <w:t>High</w:t>
            </w:r>
          </w:p>
        </w:tc>
      </w:tr>
      <w:tr w:rsidR="1B80813B" w14:paraId="749AE264" w14:textId="77777777" w:rsidTr="1B80813B">
        <w:tc>
          <w:tcPr>
            <w:cnfStyle w:val="000010000000" w:firstRow="0" w:lastRow="0" w:firstColumn="0" w:lastColumn="0" w:oddVBand="1" w:evenVBand="0" w:oddHBand="0" w:evenHBand="0" w:firstRowFirstColumn="0" w:firstRowLastColumn="0" w:lastRowFirstColumn="0" w:lastRowLastColumn="0"/>
            <w:tcW w:w="600" w:type="dxa"/>
          </w:tcPr>
          <w:p w14:paraId="1E068E7D" w14:textId="03DBEB9B" w:rsidR="1B80813B" w:rsidRDefault="1B80813B">
            <w:r>
              <w:t>G5</w:t>
            </w:r>
          </w:p>
        </w:tc>
        <w:tc>
          <w:tcPr>
            <w:tcW w:w="1700" w:type="dxa"/>
          </w:tcPr>
          <w:p w14:paraId="595058F1" w14:textId="7CB9D25F" w:rsidR="1B80813B" w:rsidRDefault="1B80813B">
            <w:pPr>
              <w:cnfStyle w:val="000000000000" w:firstRow="0" w:lastRow="0" w:firstColumn="0" w:lastColumn="0" w:oddVBand="0" w:evenVBand="0" w:oddHBand="0" w:evenHBand="0" w:firstRowFirstColumn="0" w:firstRowLastColumn="0" w:lastRowFirstColumn="0" w:lastRowLastColumn="0"/>
            </w:pPr>
            <w:r>
              <w:t>GDPR transparency (Articles 12-14)</w:t>
            </w:r>
          </w:p>
        </w:tc>
        <w:tc>
          <w:tcPr>
            <w:cnfStyle w:val="000010000000" w:firstRow="0" w:lastRow="0" w:firstColumn="0" w:lastColumn="0" w:oddVBand="1" w:evenVBand="0" w:oddHBand="0" w:evenHBand="0" w:firstRowFirstColumn="0" w:firstRowLastColumn="0" w:lastRowFirstColumn="0" w:lastRowLastColumn="0"/>
            <w:tcW w:w="2950" w:type="dxa"/>
          </w:tcPr>
          <w:p w14:paraId="1A600985" w14:textId="7597B923" w:rsidR="1B80813B" w:rsidRDefault="1B80813B">
            <w:r>
              <w:t xml:space="preserve">No privacy notice or Article 13/14 record covering AI agent processing </w:t>
            </w:r>
            <w:proofErr w:type="gramStart"/>
            <w:r>
              <w:t>was located in</w:t>
            </w:r>
            <w:proofErr w:type="gramEnd"/>
            <w:r>
              <w:t xml:space="preserve"> the evidence base.</w:t>
            </w:r>
          </w:p>
        </w:tc>
        <w:tc>
          <w:tcPr>
            <w:tcW w:w="2880" w:type="dxa"/>
          </w:tcPr>
          <w:p w14:paraId="26810974" w14:textId="6E759FE7" w:rsidR="1B80813B" w:rsidRDefault="1B80813B">
            <w:pPr>
              <w:cnfStyle w:val="000000000000" w:firstRow="0" w:lastRow="0" w:firstColumn="0" w:lastColumn="0" w:oddVBand="0" w:evenVBand="0" w:oddHBand="0" w:evenHBand="0" w:firstRowFirstColumn="0" w:firstRowLastColumn="0" w:lastRowFirstColumn="0" w:lastRowLastColumn="0"/>
            </w:pPr>
            <w:r>
              <w:t>EDPB Coordinated Enforcement Framework 2026, 25 authorities, active throughout the year.</w:t>
            </w:r>
          </w:p>
        </w:tc>
        <w:tc>
          <w:tcPr>
            <w:cnfStyle w:val="000010000000" w:firstRow="0" w:lastRow="0" w:firstColumn="0" w:lastColumn="0" w:oddVBand="1" w:evenVBand="0" w:oddHBand="0" w:evenHBand="0" w:firstRowFirstColumn="0" w:firstRowLastColumn="0" w:lastRowFirstColumn="0" w:lastRowLastColumn="0"/>
            <w:tcW w:w="896" w:type="dxa"/>
          </w:tcPr>
          <w:p w14:paraId="2C5706F3" w14:textId="675386AB" w:rsidR="1B80813B" w:rsidRDefault="1B80813B">
            <w:r>
              <w:t>High</w:t>
            </w:r>
          </w:p>
        </w:tc>
      </w:tr>
      <w:tr w:rsidR="1B80813B" w14:paraId="4A6C439E"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 w:type="dxa"/>
          </w:tcPr>
          <w:p w14:paraId="4A397385" w14:textId="7E68E720" w:rsidR="1B80813B" w:rsidRDefault="1B80813B">
            <w:r>
              <w:t>G6</w:t>
            </w:r>
          </w:p>
        </w:tc>
        <w:tc>
          <w:tcPr>
            <w:tcW w:w="1700" w:type="dxa"/>
          </w:tcPr>
          <w:p w14:paraId="3F9D48AA" w14:textId="7746CDE4" w:rsidR="1B80813B" w:rsidRDefault="1B80813B">
            <w:pPr>
              <w:cnfStyle w:val="000000100000" w:firstRow="0" w:lastRow="0" w:firstColumn="0" w:lastColumn="0" w:oddVBand="0" w:evenVBand="0" w:oddHBand="1" w:evenHBand="0" w:firstRowFirstColumn="0" w:firstRowLastColumn="0" w:lastRowFirstColumn="0" w:lastRowLastColumn="0"/>
            </w:pPr>
            <w:r>
              <w:t>Processor due diligence</w:t>
            </w:r>
          </w:p>
        </w:tc>
        <w:tc>
          <w:tcPr>
            <w:cnfStyle w:val="000010000000" w:firstRow="0" w:lastRow="0" w:firstColumn="0" w:lastColumn="0" w:oddVBand="1" w:evenVBand="0" w:oddHBand="0" w:evenHBand="0" w:firstRowFirstColumn="0" w:firstRowLastColumn="0" w:lastRowFirstColumn="0" w:lastRowLastColumn="0"/>
            <w:tcW w:w="2950" w:type="dxa"/>
          </w:tcPr>
          <w:p w14:paraId="1815BAB6" w14:textId="7024B4A8" w:rsidR="1B80813B" w:rsidRDefault="1B80813B">
            <w:r>
              <w:t>RFP-2026-001 records GDPR and EMEA residency as missing for all three bidders; certifications were not retrievable.</w:t>
            </w:r>
          </w:p>
        </w:tc>
        <w:tc>
          <w:tcPr>
            <w:tcW w:w="2880" w:type="dxa"/>
          </w:tcPr>
          <w:p w14:paraId="421A5A8F" w14:textId="69029B6C" w:rsidR="1B80813B" w:rsidRDefault="1B80813B">
            <w:pPr>
              <w:cnfStyle w:val="000000100000" w:firstRow="0" w:lastRow="0" w:firstColumn="0" w:lastColumn="0" w:oddVBand="0" w:evenVBand="0" w:oddHBand="1" w:evenHBand="0" w:firstRowFirstColumn="0" w:firstRowLastColumn="0" w:lastRowFirstColumn="0" w:lastRowLastColumn="0"/>
            </w:pPr>
            <w:r>
              <w:t>Article 28 GDPR, and Contoso's own mandatory pre-award compliance gate.</w:t>
            </w:r>
          </w:p>
        </w:tc>
        <w:tc>
          <w:tcPr>
            <w:cnfStyle w:val="000010000000" w:firstRow="0" w:lastRow="0" w:firstColumn="0" w:lastColumn="0" w:oddVBand="1" w:evenVBand="0" w:oddHBand="0" w:evenHBand="0" w:firstRowFirstColumn="0" w:firstRowLastColumn="0" w:lastRowFirstColumn="0" w:lastRowLastColumn="0"/>
            <w:tcW w:w="896" w:type="dxa"/>
          </w:tcPr>
          <w:p w14:paraId="7B435AE3" w14:textId="61E08230" w:rsidR="1B80813B" w:rsidRDefault="1B80813B">
            <w:r>
              <w:t>High</w:t>
            </w:r>
          </w:p>
        </w:tc>
      </w:tr>
      <w:tr w:rsidR="1B80813B" w14:paraId="13DE8947" w14:textId="77777777" w:rsidTr="1B80813B">
        <w:tc>
          <w:tcPr>
            <w:cnfStyle w:val="000010000000" w:firstRow="0" w:lastRow="0" w:firstColumn="0" w:lastColumn="0" w:oddVBand="1" w:evenVBand="0" w:oddHBand="0" w:evenHBand="0" w:firstRowFirstColumn="0" w:firstRowLastColumn="0" w:lastRowFirstColumn="0" w:lastRowLastColumn="0"/>
            <w:tcW w:w="600" w:type="dxa"/>
          </w:tcPr>
          <w:p w14:paraId="6AC54C8F" w14:textId="78F5E2A5" w:rsidR="1B80813B" w:rsidRDefault="1B80813B">
            <w:r>
              <w:t>G7</w:t>
            </w:r>
          </w:p>
        </w:tc>
        <w:tc>
          <w:tcPr>
            <w:tcW w:w="1700" w:type="dxa"/>
          </w:tcPr>
          <w:p w14:paraId="28064FE7" w14:textId="71D3C969" w:rsidR="1B80813B" w:rsidRDefault="1B80813B">
            <w:pPr>
              <w:cnfStyle w:val="000000000000" w:firstRow="0" w:lastRow="0" w:firstColumn="0" w:lastColumn="0" w:oddVBand="0" w:evenVBand="0" w:oddHBand="0" w:evenHBand="0" w:firstRowFirstColumn="0" w:firstRowLastColumn="0" w:lastRowFirstColumn="0" w:lastRowLastColumn="0"/>
            </w:pPr>
            <w:r>
              <w:t>Data residency verification</w:t>
            </w:r>
          </w:p>
        </w:tc>
        <w:tc>
          <w:tcPr>
            <w:cnfStyle w:val="000010000000" w:firstRow="0" w:lastRow="0" w:firstColumn="0" w:lastColumn="0" w:oddVBand="1" w:evenVBand="0" w:oddHBand="0" w:evenHBand="0" w:firstRowFirstColumn="0" w:firstRowLastColumn="0" w:lastRowFirstColumn="0" w:lastRowLastColumn="0"/>
            <w:tcW w:w="2950" w:type="dxa"/>
          </w:tcPr>
          <w:p w14:paraId="1AF34FAC" w14:textId="6AB1B02D" w:rsidR="1B80813B" w:rsidRDefault="1B80813B">
            <w:r>
              <w:t>EU Data Boundary residency is required by the Checklist; no verification evidence was found for any deployed service.</w:t>
            </w:r>
          </w:p>
        </w:tc>
        <w:tc>
          <w:tcPr>
            <w:tcW w:w="2880" w:type="dxa"/>
          </w:tcPr>
          <w:p w14:paraId="56C9AD75" w14:textId="638F96F1" w:rsidR="1B80813B" w:rsidRDefault="1B80813B">
            <w:pPr>
              <w:cnfStyle w:val="000000000000" w:firstRow="0" w:lastRow="0" w:firstColumn="0" w:lastColumn="0" w:oddVBand="0" w:evenVBand="0" w:oddHBand="0" w:evenHBand="0" w:firstRowFirstColumn="0" w:firstRowLastColumn="0" w:lastRowFirstColumn="0" w:lastRowLastColumn="0"/>
            </w:pPr>
            <w:r>
              <w:t>GDPR Chapter V, and the EMEA residency clause in the ERP Statement of Work.</w:t>
            </w:r>
          </w:p>
        </w:tc>
        <w:tc>
          <w:tcPr>
            <w:cnfStyle w:val="000010000000" w:firstRow="0" w:lastRow="0" w:firstColumn="0" w:lastColumn="0" w:oddVBand="1" w:evenVBand="0" w:oddHBand="0" w:evenHBand="0" w:firstRowFirstColumn="0" w:firstRowLastColumn="0" w:lastRowFirstColumn="0" w:lastRowLastColumn="0"/>
            <w:tcW w:w="896" w:type="dxa"/>
          </w:tcPr>
          <w:p w14:paraId="4961B302" w14:textId="5C6D7DB5" w:rsidR="1B80813B" w:rsidRDefault="1B80813B">
            <w:r>
              <w:t>Medium</w:t>
            </w:r>
          </w:p>
        </w:tc>
      </w:tr>
      <w:tr w:rsidR="1B80813B" w14:paraId="2C59EB84"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 w:type="dxa"/>
          </w:tcPr>
          <w:p w14:paraId="4137E770" w14:textId="7382DE2A" w:rsidR="1B80813B" w:rsidRDefault="1B80813B">
            <w:r>
              <w:t>G8</w:t>
            </w:r>
          </w:p>
        </w:tc>
        <w:tc>
          <w:tcPr>
            <w:tcW w:w="1700" w:type="dxa"/>
          </w:tcPr>
          <w:p w14:paraId="4BB67228" w14:textId="6C60C4EE" w:rsidR="1B80813B" w:rsidRDefault="1B80813B">
            <w:pPr>
              <w:cnfStyle w:val="000000100000" w:firstRow="0" w:lastRow="0" w:firstColumn="0" w:lastColumn="0" w:oddVBand="0" w:evenVBand="0" w:oddHBand="1" w:evenHBand="0" w:firstRowFirstColumn="0" w:firstRowLastColumn="0" w:lastRowFirstColumn="0" w:lastRowLastColumn="0"/>
            </w:pPr>
            <w:r>
              <w:t>Audit logging and retention</w:t>
            </w:r>
          </w:p>
        </w:tc>
        <w:tc>
          <w:tcPr>
            <w:cnfStyle w:val="000010000000" w:firstRow="0" w:lastRow="0" w:firstColumn="0" w:lastColumn="0" w:oddVBand="1" w:evenVBand="0" w:oddHBand="0" w:evenHBand="0" w:firstRowFirstColumn="0" w:firstRowLastColumn="0" w:lastRowFirstColumn="0" w:lastRowLastColumn="0"/>
            <w:tcW w:w="2950" w:type="dxa"/>
          </w:tcPr>
          <w:p w14:paraId="593F8569" w14:textId="653EABB2" w:rsidR="1B80813B" w:rsidRDefault="1B80813B">
            <w:r>
              <w:t>The Pillar 5 fields for audit mechanisms, log retention and next compliance review are unanswered.</w:t>
            </w:r>
          </w:p>
        </w:tc>
        <w:tc>
          <w:tcPr>
            <w:tcW w:w="2880" w:type="dxa"/>
          </w:tcPr>
          <w:p w14:paraId="6540FEA1" w14:textId="5E1C9276" w:rsidR="1B80813B" w:rsidRDefault="1B80813B">
            <w:pPr>
              <w:cnfStyle w:val="000000100000" w:firstRow="0" w:lastRow="0" w:firstColumn="0" w:lastColumn="0" w:oddVBand="0" w:evenVBand="0" w:oddHBand="1" w:evenHBand="0" w:firstRowFirstColumn="0" w:firstRowLastColumn="0" w:lastRowFirstColumn="0" w:lastRowLastColumn="0"/>
            </w:pPr>
            <w:r>
              <w:t>GDPR Article 5(2) accountability, and AI Act record-keeping expectations.</w:t>
            </w:r>
          </w:p>
        </w:tc>
        <w:tc>
          <w:tcPr>
            <w:cnfStyle w:val="000010000000" w:firstRow="0" w:lastRow="0" w:firstColumn="0" w:lastColumn="0" w:oddVBand="1" w:evenVBand="0" w:oddHBand="0" w:evenHBand="0" w:firstRowFirstColumn="0" w:firstRowLastColumn="0" w:lastRowFirstColumn="0" w:lastRowLastColumn="0"/>
            <w:tcW w:w="896" w:type="dxa"/>
          </w:tcPr>
          <w:p w14:paraId="46332314" w14:textId="56FA793A" w:rsidR="1B80813B" w:rsidRDefault="1B80813B">
            <w:r>
              <w:t>Medium</w:t>
            </w:r>
          </w:p>
        </w:tc>
      </w:tr>
      <w:tr w:rsidR="1B80813B" w14:paraId="2C8A6F4B" w14:textId="77777777" w:rsidTr="1B80813B">
        <w:tc>
          <w:tcPr>
            <w:cnfStyle w:val="000010000000" w:firstRow="0" w:lastRow="0" w:firstColumn="0" w:lastColumn="0" w:oddVBand="1" w:evenVBand="0" w:oddHBand="0" w:evenHBand="0" w:firstRowFirstColumn="0" w:firstRowLastColumn="0" w:lastRowFirstColumn="0" w:lastRowLastColumn="0"/>
            <w:tcW w:w="600" w:type="dxa"/>
          </w:tcPr>
          <w:p w14:paraId="6B9AE68B" w14:textId="6E0FD9AF" w:rsidR="1B80813B" w:rsidRDefault="1B80813B">
            <w:r>
              <w:t>G9</w:t>
            </w:r>
          </w:p>
        </w:tc>
        <w:tc>
          <w:tcPr>
            <w:tcW w:w="1700" w:type="dxa"/>
          </w:tcPr>
          <w:p w14:paraId="3B284BD1" w14:textId="66EDC073" w:rsidR="1B80813B" w:rsidRDefault="1B80813B">
            <w:pPr>
              <w:cnfStyle w:val="000000000000" w:firstRow="0" w:lastRow="0" w:firstColumn="0" w:lastColumn="0" w:oddVBand="0" w:evenVBand="0" w:oddHBand="0" w:evenHBand="0" w:firstRowFirstColumn="0" w:firstRowLastColumn="0" w:lastRowFirstColumn="0" w:lastRowLastColumn="0"/>
            </w:pPr>
            <w:r>
              <w:t>Integrity of systems of record</w:t>
            </w:r>
          </w:p>
        </w:tc>
        <w:tc>
          <w:tcPr>
            <w:cnfStyle w:val="000010000000" w:firstRow="0" w:lastRow="0" w:firstColumn="0" w:lastColumn="0" w:oddVBand="1" w:evenVBand="0" w:oddHBand="0" w:evenHBand="0" w:firstRowFirstColumn="0" w:firstRowLastColumn="0" w:lastRowFirstColumn="0" w:lastRowLastColumn="0"/>
            <w:tcW w:w="2950" w:type="dxa"/>
          </w:tcPr>
          <w:p w14:paraId="270316D1" w14:textId="5FCBA737" w:rsidR="1B80813B" w:rsidRDefault="1B80813B">
            <w:r>
              <w:t xml:space="preserve">ServiceNow connector flagged 21 August and Jira connector 12 August 2026; both unremediated </w:t>
            </w:r>
            <w:proofErr w:type="gramStart"/>
            <w:r>
              <w:t>at</w:t>
            </w:r>
            <w:proofErr w:type="gramEnd"/>
            <w:r>
              <w:t xml:space="preserve"> 6 September.</w:t>
            </w:r>
          </w:p>
        </w:tc>
        <w:tc>
          <w:tcPr>
            <w:tcW w:w="2880" w:type="dxa"/>
          </w:tcPr>
          <w:p w14:paraId="59A2CAF3" w14:textId="58A98DFB" w:rsidR="1B80813B" w:rsidRDefault="1B80813B">
            <w:pPr>
              <w:cnfStyle w:val="000000000000" w:firstRow="0" w:lastRow="0" w:firstColumn="0" w:lastColumn="0" w:oddVBand="0" w:evenVBand="0" w:oddHBand="0" w:evenHBand="0" w:firstRowFirstColumn="0" w:firstRowLastColumn="0" w:lastRowFirstColumn="0" w:lastRowLastColumn="0"/>
            </w:pPr>
            <w:r>
              <w:t>GDPR Article 5(1)(d) accuracy, supported by the accountability principle.</w:t>
            </w:r>
          </w:p>
        </w:tc>
        <w:tc>
          <w:tcPr>
            <w:cnfStyle w:val="000010000000" w:firstRow="0" w:lastRow="0" w:firstColumn="0" w:lastColumn="0" w:oddVBand="1" w:evenVBand="0" w:oddHBand="0" w:evenHBand="0" w:firstRowFirstColumn="0" w:firstRowLastColumn="0" w:lastRowFirstColumn="0" w:lastRowLastColumn="0"/>
            <w:tcW w:w="896" w:type="dxa"/>
          </w:tcPr>
          <w:p w14:paraId="5E9E674D" w14:textId="518774BF" w:rsidR="1B80813B" w:rsidRDefault="1B80813B">
            <w:r>
              <w:t>Medium</w:t>
            </w:r>
          </w:p>
        </w:tc>
      </w:tr>
    </w:tbl>
    <w:p w14:paraId="73F3E0E1" w14:textId="35E9336B" w:rsidR="1B80813B" w:rsidRDefault="1B80813B" w:rsidP="1B80813B">
      <w:pPr>
        <w:pStyle w:val="Heading1"/>
      </w:pPr>
      <w:r w:rsidRPr="1B80813B">
        <w:rPr>
          <w:color w:val="794E1F"/>
        </w:rPr>
        <w:lastRenderedPageBreak/>
        <w:t>5. Prioritised Remediation Actions</w:t>
      </w:r>
    </w:p>
    <w:p w14:paraId="7A5CE9B8" w14:textId="7CD0F122" w:rsidR="1B80813B" w:rsidRDefault="1B80813B">
      <w:r>
        <w:t>Actions are ordered by the date the underlying obligation bites, then by dependency. Responsible and accountable roles are taken from the RACI matrix in the AI Governance Strategy RACI and from the named approver list in the RFP-2026-001 record; where the internal record names an individual, that individual is named. Target dates are proposed, not agreed, and are anchored to the regulatory deadline where one applies.</w:t>
      </w:r>
    </w:p>
    <w:tbl>
      <w:tblPr>
        <w:tblStyle w:val="LightList-Accent1"/>
        <w:tblW w:w="0" w:type="auto"/>
        <w:tblLook w:val="0000" w:firstRow="0" w:lastRow="0" w:firstColumn="0" w:lastColumn="0" w:noHBand="0" w:noVBand="0"/>
      </w:tblPr>
      <w:tblGrid>
        <w:gridCol w:w="700"/>
        <w:gridCol w:w="3600"/>
        <w:gridCol w:w="1550"/>
        <w:gridCol w:w="1400"/>
        <w:gridCol w:w="1776"/>
      </w:tblGrid>
      <w:tr w:rsidR="1B80813B" w14:paraId="455C8427"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0" w:type="dxa"/>
          </w:tcPr>
          <w:p w14:paraId="491B8986" w14:textId="78901C6D" w:rsidR="1B80813B" w:rsidRDefault="1B80813B">
            <w:r>
              <w:t>#</w:t>
            </w:r>
          </w:p>
        </w:tc>
        <w:tc>
          <w:tcPr>
            <w:tcW w:w="3600" w:type="dxa"/>
          </w:tcPr>
          <w:p w14:paraId="5DE5BECF" w14:textId="716E0331" w:rsidR="1B80813B" w:rsidRDefault="1B80813B">
            <w:pPr>
              <w:cnfStyle w:val="000000100000" w:firstRow="0" w:lastRow="0" w:firstColumn="0" w:lastColumn="0" w:oddVBand="0" w:evenVBand="0" w:oddHBand="1" w:evenHBand="0" w:firstRowFirstColumn="0" w:firstRowLastColumn="0" w:lastRowFirstColumn="0" w:lastRowLastColumn="0"/>
            </w:pPr>
            <w:r>
              <w:t>Action</w:t>
            </w:r>
          </w:p>
        </w:tc>
        <w:tc>
          <w:tcPr>
            <w:cnfStyle w:val="000010000000" w:firstRow="0" w:lastRow="0" w:firstColumn="0" w:lastColumn="0" w:oddVBand="1" w:evenVBand="0" w:oddHBand="0" w:evenHBand="0" w:firstRowFirstColumn="0" w:firstRowLastColumn="0" w:lastRowFirstColumn="0" w:lastRowLastColumn="0"/>
            <w:tcW w:w="1550" w:type="dxa"/>
          </w:tcPr>
          <w:p w14:paraId="6E02DD0D" w14:textId="6A4BE9F5" w:rsidR="1B80813B" w:rsidRDefault="1B80813B">
            <w:r>
              <w:t>Responsible</w:t>
            </w:r>
          </w:p>
        </w:tc>
        <w:tc>
          <w:tcPr>
            <w:tcW w:w="1400" w:type="dxa"/>
          </w:tcPr>
          <w:p w14:paraId="1C143526" w14:textId="6329D0B9" w:rsidR="1B80813B" w:rsidRDefault="1B80813B">
            <w:pPr>
              <w:cnfStyle w:val="000000100000" w:firstRow="0" w:lastRow="0" w:firstColumn="0" w:lastColumn="0" w:oddVBand="0" w:evenVBand="0" w:oddHBand="1" w:evenHBand="0" w:firstRowFirstColumn="0" w:firstRowLastColumn="0" w:lastRowFirstColumn="0" w:lastRowLastColumn="0"/>
            </w:pPr>
            <w:r>
              <w:t>Accountable</w:t>
            </w:r>
          </w:p>
        </w:tc>
        <w:tc>
          <w:tcPr>
            <w:cnfStyle w:val="000010000000" w:firstRow="0" w:lastRow="0" w:firstColumn="0" w:lastColumn="0" w:oddVBand="1" w:evenVBand="0" w:oddHBand="0" w:evenHBand="0" w:firstRowFirstColumn="0" w:firstRowLastColumn="0" w:lastRowFirstColumn="0" w:lastRowLastColumn="0"/>
            <w:tcW w:w="1776" w:type="dxa"/>
          </w:tcPr>
          <w:p w14:paraId="2A950BD3" w14:textId="5C07B77D" w:rsidR="1B80813B" w:rsidRDefault="1B80813B">
            <w:r>
              <w:t>Proposed target</w:t>
            </w:r>
          </w:p>
        </w:tc>
      </w:tr>
      <w:tr w:rsidR="1B80813B" w14:paraId="2D3B419F" w14:textId="77777777" w:rsidTr="1B80813B">
        <w:tc>
          <w:tcPr>
            <w:cnfStyle w:val="000010000000" w:firstRow="0" w:lastRow="0" w:firstColumn="0" w:lastColumn="0" w:oddVBand="1" w:evenVBand="0" w:oddHBand="0" w:evenHBand="0" w:firstRowFirstColumn="0" w:firstRowLastColumn="0" w:lastRowFirstColumn="0" w:lastRowLastColumn="0"/>
            <w:tcW w:w="700" w:type="dxa"/>
          </w:tcPr>
          <w:p w14:paraId="60652754" w14:textId="731D17F2" w:rsidR="1B80813B" w:rsidRDefault="1B80813B">
            <w:r>
              <w:t>P1</w:t>
            </w:r>
          </w:p>
        </w:tc>
        <w:tc>
          <w:tcPr>
            <w:tcW w:w="3600" w:type="dxa"/>
          </w:tcPr>
          <w:p w14:paraId="65F056EA" w14:textId="6BFAFEB6" w:rsidR="1B80813B" w:rsidRDefault="1B80813B">
            <w:pPr>
              <w:cnfStyle w:val="000000000000" w:firstRow="0" w:lastRow="0" w:firstColumn="0" w:lastColumn="0" w:oddVBand="0" w:evenVBand="0" w:oddHBand="0" w:evenHBand="0" w:firstRowFirstColumn="0" w:firstRowLastColumn="0" w:lastRowFirstColumn="0" w:lastRowLastColumn="0"/>
            </w:pPr>
            <w:r>
              <w:t>Close ZAG-5: publish the compliance criteria for agent behaviour, with a control per criterion rather than a statement of intent. (G2)</w:t>
            </w:r>
          </w:p>
        </w:tc>
        <w:tc>
          <w:tcPr>
            <w:cnfStyle w:val="000010000000" w:firstRow="0" w:lastRow="0" w:firstColumn="0" w:lastColumn="0" w:oddVBand="1" w:evenVBand="0" w:oddHBand="0" w:evenHBand="0" w:firstRowFirstColumn="0" w:firstRowLastColumn="0" w:lastRowFirstColumn="0" w:lastRowLastColumn="0"/>
            <w:tcW w:w="1550" w:type="dxa"/>
          </w:tcPr>
          <w:p w14:paraId="5FFBB5C4" w14:textId="64D8E57A" w:rsidR="1B80813B" w:rsidRDefault="1B80813B">
            <w:r>
              <w:t>AI Governance Lead</w:t>
            </w:r>
          </w:p>
        </w:tc>
        <w:tc>
          <w:tcPr>
            <w:tcW w:w="1400" w:type="dxa"/>
          </w:tcPr>
          <w:p w14:paraId="566C4928" w14:textId="5DB6CC3E" w:rsidR="1B80813B" w:rsidRDefault="1B80813B">
            <w:pPr>
              <w:cnfStyle w:val="000000000000" w:firstRow="0" w:lastRow="0" w:firstColumn="0" w:lastColumn="0" w:oddVBand="0" w:evenVBand="0" w:oddHBand="0" w:evenHBand="0" w:firstRowFirstColumn="0" w:firstRowLastColumn="0" w:lastRowFirstColumn="0" w:lastRowLastColumn="0"/>
            </w:pPr>
            <w:r>
              <w:t>CIO</w:t>
            </w:r>
          </w:p>
        </w:tc>
        <w:tc>
          <w:tcPr>
            <w:cnfStyle w:val="000010000000" w:firstRow="0" w:lastRow="0" w:firstColumn="0" w:lastColumn="0" w:oddVBand="1" w:evenVBand="0" w:oddHBand="0" w:evenHBand="0" w:firstRowFirstColumn="0" w:firstRowLastColumn="0" w:lastRowFirstColumn="0" w:lastRowLastColumn="0"/>
            <w:tcW w:w="1776" w:type="dxa"/>
          </w:tcPr>
          <w:p w14:paraId="25028DF7" w14:textId="5694B302" w:rsidR="1B80813B" w:rsidRDefault="1B80813B">
            <w:r>
              <w:t>30 September 2026</w:t>
            </w:r>
          </w:p>
        </w:tc>
      </w:tr>
      <w:tr w:rsidR="1B80813B" w14:paraId="73BB72C3"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0" w:type="dxa"/>
          </w:tcPr>
          <w:p w14:paraId="2A41FD7F" w14:textId="6DAA1377" w:rsidR="1B80813B" w:rsidRDefault="1B80813B">
            <w:r>
              <w:t>P2</w:t>
            </w:r>
          </w:p>
        </w:tc>
        <w:tc>
          <w:tcPr>
            <w:tcW w:w="3600" w:type="dxa"/>
          </w:tcPr>
          <w:p w14:paraId="4CA73524" w14:textId="6687FA3B" w:rsidR="1B80813B" w:rsidRDefault="1B80813B">
            <w:pPr>
              <w:cnfStyle w:val="000000100000" w:firstRow="0" w:lastRow="0" w:firstColumn="0" w:lastColumn="0" w:oddVBand="0" w:evenVBand="0" w:oddHBand="1" w:evenHBand="0" w:firstRowFirstColumn="0" w:firstRowLastColumn="0" w:lastRowFirstColumn="0" w:lastRowLastColumn="0"/>
            </w:pPr>
            <w:r>
              <w:t>Map the Article 50 disclosure and content-marking duties to every deployed agent and evidence coverage before the marking grace period expires. (G1)</w:t>
            </w:r>
          </w:p>
        </w:tc>
        <w:tc>
          <w:tcPr>
            <w:cnfStyle w:val="000010000000" w:firstRow="0" w:lastRow="0" w:firstColumn="0" w:lastColumn="0" w:oddVBand="1" w:evenVBand="0" w:oddHBand="0" w:evenHBand="0" w:firstRowFirstColumn="0" w:firstRowLastColumn="0" w:lastRowFirstColumn="0" w:lastRowLastColumn="0"/>
            <w:tcW w:w="1550" w:type="dxa"/>
          </w:tcPr>
          <w:p w14:paraId="223F2950" w14:textId="5F65E0FF" w:rsidR="1B80813B" w:rsidRDefault="1B80813B">
            <w:r>
              <w:t>AI Engineer</w:t>
            </w:r>
          </w:p>
        </w:tc>
        <w:tc>
          <w:tcPr>
            <w:tcW w:w="1400" w:type="dxa"/>
          </w:tcPr>
          <w:p w14:paraId="415DCD2C" w14:textId="5843C7C3" w:rsidR="1B80813B" w:rsidRDefault="1B80813B">
            <w:pPr>
              <w:cnfStyle w:val="000000100000" w:firstRow="0" w:lastRow="0" w:firstColumn="0" w:lastColumn="0" w:oddVBand="0" w:evenVBand="0" w:oddHBand="1" w:evenHBand="0" w:firstRowFirstColumn="0" w:firstRowLastColumn="0" w:lastRowFirstColumn="0" w:lastRowLastColumn="0"/>
            </w:pPr>
            <w:r>
              <w:t>AI Governance Lead</w:t>
            </w:r>
          </w:p>
        </w:tc>
        <w:tc>
          <w:tcPr>
            <w:cnfStyle w:val="000010000000" w:firstRow="0" w:lastRow="0" w:firstColumn="0" w:lastColumn="0" w:oddVBand="1" w:evenVBand="0" w:oddHBand="0" w:evenHBand="0" w:firstRowFirstColumn="0" w:firstRowLastColumn="0" w:lastRowFirstColumn="0" w:lastRowLastColumn="0"/>
            <w:tcW w:w="1776" w:type="dxa"/>
          </w:tcPr>
          <w:p w14:paraId="5AF73287" w14:textId="5121AE87" w:rsidR="1B80813B" w:rsidRDefault="1B80813B">
            <w:r>
              <w:t>31 October 2026</w:t>
            </w:r>
          </w:p>
        </w:tc>
      </w:tr>
      <w:tr w:rsidR="1B80813B" w14:paraId="1E6276E9" w14:textId="77777777" w:rsidTr="1B80813B">
        <w:tc>
          <w:tcPr>
            <w:cnfStyle w:val="000010000000" w:firstRow="0" w:lastRow="0" w:firstColumn="0" w:lastColumn="0" w:oddVBand="1" w:evenVBand="0" w:oddHBand="0" w:evenHBand="0" w:firstRowFirstColumn="0" w:firstRowLastColumn="0" w:lastRowFirstColumn="0" w:lastRowLastColumn="0"/>
            <w:tcW w:w="700" w:type="dxa"/>
          </w:tcPr>
          <w:p w14:paraId="26DBD88E" w14:textId="68370EFC" w:rsidR="1B80813B" w:rsidRDefault="1B80813B">
            <w:r>
              <w:t>P3</w:t>
            </w:r>
          </w:p>
        </w:tc>
        <w:tc>
          <w:tcPr>
            <w:tcW w:w="3600" w:type="dxa"/>
          </w:tcPr>
          <w:p w14:paraId="2C626177" w14:textId="6114F5C0" w:rsidR="1B80813B" w:rsidRDefault="1B80813B">
            <w:pPr>
              <w:cnfStyle w:val="000000000000" w:firstRow="0" w:lastRow="0" w:firstColumn="0" w:lastColumn="0" w:oddVBand="0" w:evenVBand="0" w:oddHBand="0" w:evenHBand="0" w:firstRowFirstColumn="0" w:firstRowLastColumn="0" w:lastRowFirstColumn="0" w:lastRowLastColumn="0"/>
            </w:pPr>
            <w:r>
              <w:t xml:space="preserve">Verify Content Safety filter coverage across Copilot Studio and Azure AI Foundry and </w:t>
            </w:r>
            <w:proofErr w:type="gramStart"/>
            <w:r>
              <w:t>red-team</w:t>
            </w:r>
            <w:proofErr w:type="gramEnd"/>
            <w:r>
              <w:t xml:space="preserve"> for the misuse the new Article 5 prohibition reaches. (G3)</w:t>
            </w:r>
          </w:p>
        </w:tc>
        <w:tc>
          <w:tcPr>
            <w:cnfStyle w:val="000010000000" w:firstRow="0" w:lastRow="0" w:firstColumn="0" w:lastColumn="0" w:oddVBand="1" w:evenVBand="0" w:oddHBand="0" w:evenHBand="0" w:firstRowFirstColumn="0" w:firstRowLastColumn="0" w:lastRowFirstColumn="0" w:lastRowLastColumn="0"/>
            <w:tcW w:w="1550" w:type="dxa"/>
          </w:tcPr>
          <w:p w14:paraId="1965C6B4" w14:textId="59F2DC84" w:rsidR="1B80813B" w:rsidRDefault="1B80813B">
            <w:r>
              <w:t>AI Engineer</w:t>
            </w:r>
          </w:p>
        </w:tc>
        <w:tc>
          <w:tcPr>
            <w:tcW w:w="1400" w:type="dxa"/>
          </w:tcPr>
          <w:p w14:paraId="75AE75FA" w14:textId="52D0C348" w:rsidR="1B80813B" w:rsidRDefault="1B80813B">
            <w:pPr>
              <w:cnfStyle w:val="000000000000" w:firstRow="0" w:lastRow="0" w:firstColumn="0" w:lastColumn="0" w:oddVBand="0" w:evenVBand="0" w:oddHBand="0" w:evenHBand="0" w:firstRowFirstColumn="0" w:firstRowLastColumn="0" w:lastRowFirstColumn="0" w:lastRowLastColumn="0"/>
            </w:pPr>
            <w:r>
              <w:t>Security Officer</w:t>
            </w:r>
          </w:p>
        </w:tc>
        <w:tc>
          <w:tcPr>
            <w:cnfStyle w:val="000010000000" w:firstRow="0" w:lastRow="0" w:firstColumn="0" w:lastColumn="0" w:oddVBand="1" w:evenVBand="0" w:oddHBand="0" w:evenHBand="0" w:firstRowFirstColumn="0" w:firstRowLastColumn="0" w:lastRowFirstColumn="0" w:lastRowLastColumn="0"/>
            <w:tcW w:w="1776" w:type="dxa"/>
          </w:tcPr>
          <w:p w14:paraId="218E917B" w14:textId="4BAEAA0C" w:rsidR="1B80813B" w:rsidRDefault="1B80813B">
            <w:r>
              <w:t>14 November 2026</w:t>
            </w:r>
          </w:p>
        </w:tc>
      </w:tr>
      <w:tr w:rsidR="1B80813B" w14:paraId="4708F7AF"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0" w:type="dxa"/>
          </w:tcPr>
          <w:p w14:paraId="1D6294A6" w14:textId="62C40A81" w:rsidR="1B80813B" w:rsidRDefault="1B80813B">
            <w:r>
              <w:t>P4</w:t>
            </w:r>
          </w:p>
        </w:tc>
        <w:tc>
          <w:tcPr>
            <w:tcW w:w="3600" w:type="dxa"/>
          </w:tcPr>
          <w:p w14:paraId="1AC25FFF" w14:textId="5BA1F145" w:rsidR="1B80813B" w:rsidRDefault="1B80813B">
            <w:pPr>
              <w:cnfStyle w:val="000000100000" w:firstRow="0" w:lastRow="0" w:firstColumn="0" w:lastColumn="0" w:oddVBand="0" w:evenVBand="0" w:oddHBand="1" w:evenHBand="0" w:firstRowFirstColumn="0" w:firstRowLastColumn="0" w:lastRowFirstColumn="0" w:lastRowLastColumn="0"/>
            </w:pPr>
            <w:r>
              <w:t>Close ZAG-4: stand up the agent registry with Annex III risk classification and complete the Pillar 5 workbook, including audit mechanisms and log retention. (G4, G8)</w:t>
            </w:r>
          </w:p>
        </w:tc>
        <w:tc>
          <w:tcPr>
            <w:cnfStyle w:val="000010000000" w:firstRow="0" w:lastRow="0" w:firstColumn="0" w:lastColumn="0" w:oddVBand="1" w:evenVBand="0" w:oddHBand="0" w:evenHBand="0" w:firstRowFirstColumn="0" w:firstRowLastColumn="0" w:lastRowFirstColumn="0" w:lastRowLastColumn="0"/>
            <w:tcW w:w="1550" w:type="dxa"/>
          </w:tcPr>
          <w:p w14:paraId="387B6AB8" w14:textId="547FD809" w:rsidR="1B80813B" w:rsidRDefault="1B80813B">
            <w:r>
              <w:t>AI Governance Lead</w:t>
            </w:r>
          </w:p>
        </w:tc>
        <w:tc>
          <w:tcPr>
            <w:tcW w:w="1400" w:type="dxa"/>
          </w:tcPr>
          <w:p w14:paraId="258F5590" w14:textId="4D5DBECD" w:rsidR="1B80813B" w:rsidRDefault="1B80813B">
            <w:pPr>
              <w:cnfStyle w:val="000000100000" w:firstRow="0" w:lastRow="0" w:firstColumn="0" w:lastColumn="0" w:oddVBand="0" w:evenVBand="0" w:oddHBand="1" w:evenHBand="0" w:firstRowFirstColumn="0" w:firstRowLastColumn="0" w:lastRowFirstColumn="0" w:lastRowLastColumn="0"/>
            </w:pPr>
            <w:r>
              <w:t>CIO</w:t>
            </w:r>
          </w:p>
        </w:tc>
        <w:tc>
          <w:tcPr>
            <w:cnfStyle w:val="000010000000" w:firstRow="0" w:lastRow="0" w:firstColumn="0" w:lastColumn="0" w:oddVBand="1" w:evenVBand="0" w:oddHBand="0" w:evenHBand="0" w:firstRowFirstColumn="0" w:firstRowLastColumn="0" w:lastRowFirstColumn="0" w:lastRowLastColumn="0"/>
            <w:tcW w:w="1776" w:type="dxa"/>
          </w:tcPr>
          <w:p w14:paraId="1BEBE4F2" w14:textId="463BA591" w:rsidR="1B80813B" w:rsidRDefault="1B80813B">
            <w:r>
              <w:t>30 November 2026</w:t>
            </w:r>
          </w:p>
        </w:tc>
      </w:tr>
      <w:tr w:rsidR="1B80813B" w14:paraId="454E6839" w14:textId="77777777" w:rsidTr="1B80813B">
        <w:tc>
          <w:tcPr>
            <w:cnfStyle w:val="000010000000" w:firstRow="0" w:lastRow="0" w:firstColumn="0" w:lastColumn="0" w:oddVBand="1" w:evenVBand="0" w:oddHBand="0" w:evenHBand="0" w:firstRowFirstColumn="0" w:firstRowLastColumn="0" w:lastRowFirstColumn="0" w:lastRowLastColumn="0"/>
            <w:tcW w:w="700" w:type="dxa"/>
          </w:tcPr>
          <w:p w14:paraId="280CB783" w14:textId="5D510606" w:rsidR="1B80813B" w:rsidRDefault="1B80813B">
            <w:r>
              <w:t>P5</w:t>
            </w:r>
          </w:p>
        </w:tc>
        <w:tc>
          <w:tcPr>
            <w:tcW w:w="3600" w:type="dxa"/>
          </w:tcPr>
          <w:p w14:paraId="34CD65D0" w14:textId="562EECCA" w:rsidR="1B80813B" w:rsidRDefault="1B80813B">
            <w:pPr>
              <w:cnfStyle w:val="000000000000" w:firstRow="0" w:lastRow="0" w:firstColumn="0" w:lastColumn="0" w:oddVBand="0" w:evenVBand="0" w:oddHBand="0" w:evenHBand="0" w:firstRowFirstColumn="0" w:firstRowLastColumn="0" w:lastRowFirstColumn="0" w:lastRowLastColumn="0"/>
            </w:pPr>
            <w:r>
              <w:t>Issue the outstanding clarification letters for GDPR, ISO 27001 and SOC 2 Type II evidence and EMEA data centre locations; hold the ERP award until they return. (G6)</w:t>
            </w:r>
          </w:p>
        </w:tc>
        <w:tc>
          <w:tcPr>
            <w:cnfStyle w:val="000010000000" w:firstRow="0" w:lastRow="0" w:firstColumn="0" w:lastColumn="0" w:oddVBand="1" w:evenVBand="0" w:oddHBand="0" w:evenHBand="0" w:firstRowFirstColumn="0" w:firstRowLastColumn="0" w:lastRowFirstColumn="0" w:lastRowLastColumn="0"/>
            <w:tcW w:w="1550" w:type="dxa"/>
          </w:tcPr>
          <w:p w14:paraId="53C20708" w14:textId="4F0CD38E" w:rsidR="1B80813B" w:rsidRDefault="1B80813B">
            <w:r>
              <w:t>Corey Gray, Procurement Lead</w:t>
            </w:r>
          </w:p>
        </w:tc>
        <w:tc>
          <w:tcPr>
            <w:tcW w:w="1400" w:type="dxa"/>
          </w:tcPr>
          <w:p w14:paraId="70D5555D" w14:textId="47EABA52" w:rsidR="1B80813B" w:rsidRDefault="1B80813B">
            <w:pPr>
              <w:cnfStyle w:val="000000000000" w:firstRow="0" w:lastRow="0" w:firstColumn="0" w:lastColumn="0" w:oddVBand="0" w:evenVBand="0" w:oddHBand="0" w:evenHBand="0" w:firstRowFirstColumn="0" w:firstRowLastColumn="0" w:lastRowFirstColumn="0" w:lastRowLastColumn="0"/>
            </w:pPr>
            <w:r>
              <w:t>Legal Counsel</w:t>
            </w:r>
          </w:p>
        </w:tc>
        <w:tc>
          <w:tcPr>
            <w:cnfStyle w:val="000010000000" w:firstRow="0" w:lastRow="0" w:firstColumn="0" w:lastColumn="0" w:oddVBand="1" w:evenVBand="0" w:oddHBand="0" w:evenHBand="0" w:firstRowFirstColumn="0" w:firstRowLastColumn="0" w:lastRowFirstColumn="0" w:lastRowLastColumn="0"/>
            <w:tcW w:w="1776" w:type="dxa"/>
          </w:tcPr>
          <w:p w14:paraId="34D2F863" w14:textId="40C8A116" w:rsidR="1B80813B" w:rsidRDefault="1B80813B">
            <w:r>
              <w:t>30 September 2026</w:t>
            </w:r>
          </w:p>
        </w:tc>
      </w:tr>
      <w:tr w:rsidR="1B80813B" w14:paraId="57F385C2"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0" w:type="dxa"/>
          </w:tcPr>
          <w:p w14:paraId="7769EAC6" w14:textId="57DE018B" w:rsidR="1B80813B" w:rsidRDefault="1B80813B">
            <w:r>
              <w:t>P6</w:t>
            </w:r>
          </w:p>
        </w:tc>
        <w:tc>
          <w:tcPr>
            <w:tcW w:w="3600" w:type="dxa"/>
          </w:tcPr>
          <w:p w14:paraId="5E02EAD4" w14:textId="50BBE84F" w:rsidR="1B80813B" w:rsidRDefault="1B80813B">
            <w:pPr>
              <w:cnfStyle w:val="000000100000" w:firstRow="0" w:lastRow="0" w:firstColumn="0" w:lastColumn="0" w:oddVBand="0" w:evenVBand="0" w:oddHBand="1" w:evenHBand="0" w:firstRowFirstColumn="0" w:firstRowLastColumn="0" w:lastRowFirstColumn="0" w:lastRowLastColumn="0"/>
            </w:pPr>
            <w:r>
              <w:t>Complete the four outstanding briefings to the Finance Director, Legal team, CISO and Compliance Officer, and record the GDPR validation outcome in the procurement file. (G6)</w:t>
            </w:r>
          </w:p>
        </w:tc>
        <w:tc>
          <w:tcPr>
            <w:cnfStyle w:val="000010000000" w:firstRow="0" w:lastRow="0" w:firstColumn="0" w:lastColumn="0" w:oddVBand="1" w:evenVBand="0" w:oddHBand="0" w:evenHBand="0" w:firstRowFirstColumn="0" w:firstRowLastColumn="0" w:lastRowFirstColumn="0" w:lastRowLastColumn="0"/>
            <w:tcW w:w="1550" w:type="dxa"/>
          </w:tcPr>
          <w:p w14:paraId="7A5DCC25" w14:textId="4999CF13" w:rsidR="1B80813B" w:rsidRDefault="1B80813B">
            <w:r>
              <w:t>Corey Gray, Procurement Lead</w:t>
            </w:r>
          </w:p>
        </w:tc>
        <w:tc>
          <w:tcPr>
            <w:tcW w:w="1400" w:type="dxa"/>
          </w:tcPr>
          <w:p w14:paraId="3522EA77" w14:textId="4277B5D7" w:rsidR="1B80813B" w:rsidRDefault="1B80813B">
            <w:pPr>
              <w:cnfStyle w:val="000000100000" w:firstRow="0" w:lastRow="0" w:firstColumn="0" w:lastColumn="0" w:oddVBand="0" w:evenVBand="0" w:oddHBand="1" w:evenHBand="0" w:firstRowFirstColumn="0" w:firstRowLastColumn="0" w:lastRowFirstColumn="0" w:lastRowLastColumn="0"/>
            </w:pPr>
            <w:r>
              <w:t>Executive Sponsor</w:t>
            </w:r>
          </w:p>
        </w:tc>
        <w:tc>
          <w:tcPr>
            <w:cnfStyle w:val="000010000000" w:firstRow="0" w:lastRow="0" w:firstColumn="0" w:lastColumn="0" w:oddVBand="1" w:evenVBand="0" w:oddHBand="0" w:evenHBand="0" w:firstRowFirstColumn="0" w:firstRowLastColumn="0" w:lastRowFirstColumn="0" w:lastRowLastColumn="0"/>
            <w:tcW w:w="1776" w:type="dxa"/>
          </w:tcPr>
          <w:p w14:paraId="23E61306" w14:textId="3B559C9B" w:rsidR="1B80813B" w:rsidRDefault="1B80813B">
            <w:r>
              <w:t>30 September 2026</w:t>
            </w:r>
          </w:p>
        </w:tc>
      </w:tr>
      <w:tr w:rsidR="1B80813B" w14:paraId="47FE06BB" w14:textId="77777777" w:rsidTr="1B80813B">
        <w:tc>
          <w:tcPr>
            <w:cnfStyle w:val="000010000000" w:firstRow="0" w:lastRow="0" w:firstColumn="0" w:lastColumn="0" w:oddVBand="1" w:evenVBand="0" w:oddHBand="0" w:evenHBand="0" w:firstRowFirstColumn="0" w:firstRowLastColumn="0" w:lastRowFirstColumn="0" w:lastRowLastColumn="0"/>
            <w:tcW w:w="700" w:type="dxa"/>
          </w:tcPr>
          <w:p w14:paraId="4655C323" w14:textId="526AFD10" w:rsidR="1B80813B" w:rsidRDefault="1B80813B">
            <w:r>
              <w:t>P7</w:t>
            </w:r>
          </w:p>
        </w:tc>
        <w:tc>
          <w:tcPr>
            <w:tcW w:w="3600" w:type="dxa"/>
          </w:tcPr>
          <w:p w14:paraId="4A328664" w14:textId="4B48E3D4" w:rsidR="1B80813B" w:rsidRDefault="1B80813B">
            <w:pPr>
              <w:cnfStyle w:val="000000000000" w:firstRow="0" w:lastRow="0" w:firstColumn="0" w:lastColumn="0" w:oddVBand="0" w:evenVBand="0" w:oddHBand="0" w:evenHBand="0" w:firstRowFirstColumn="0" w:firstRowLastColumn="0" w:lastRowFirstColumn="0" w:lastRowLastColumn="0"/>
            </w:pPr>
            <w:r>
              <w:t xml:space="preserve">Review and reissue </w:t>
            </w:r>
            <w:proofErr w:type="gramStart"/>
            <w:r>
              <w:t>the Article</w:t>
            </w:r>
            <w:proofErr w:type="gramEnd"/>
            <w:r>
              <w:t xml:space="preserve"> 12 to 14 notices so they describe AI agent processing, in advance of any supervisory contact under the 2026 coordinated action. (G5)</w:t>
            </w:r>
          </w:p>
        </w:tc>
        <w:tc>
          <w:tcPr>
            <w:cnfStyle w:val="000010000000" w:firstRow="0" w:lastRow="0" w:firstColumn="0" w:lastColumn="0" w:oddVBand="1" w:evenVBand="0" w:oddHBand="0" w:evenHBand="0" w:firstRowFirstColumn="0" w:firstRowLastColumn="0" w:lastRowFirstColumn="0" w:lastRowLastColumn="0"/>
            <w:tcW w:w="1550" w:type="dxa"/>
          </w:tcPr>
          <w:p w14:paraId="47ABF5D1" w14:textId="4426CA98" w:rsidR="1B80813B" w:rsidRDefault="1B80813B">
            <w:r>
              <w:t>Compliance Officer</w:t>
            </w:r>
          </w:p>
        </w:tc>
        <w:tc>
          <w:tcPr>
            <w:tcW w:w="1400" w:type="dxa"/>
          </w:tcPr>
          <w:p w14:paraId="34CE7BE2" w14:textId="3D04B15C" w:rsidR="1B80813B" w:rsidRDefault="1B80813B">
            <w:pPr>
              <w:cnfStyle w:val="000000000000" w:firstRow="0" w:lastRow="0" w:firstColumn="0" w:lastColumn="0" w:oddVBand="0" w:evenVBand="0" w:oddHBand="0" w:evenHBand="0" w:firstRowFirstColumn="0" w:firstRowLastColumn="0" w:lastRowFirstColumn="0" w:lastRowLastColumn="0"/>
            </w:pPr>
            <w:r>
              <w:t>Legal Counsel</w:t>
            </w:r>
          </w:p>
        </w:tc>
        <w:tc>
          <w:tcPr>
            <w:cnfStyle w:val="000010000000" w:firstRow="0" w:lastRow="0" w:firstColumn="0" w:lastColumn="0" w:oddVBand="1" w:evenVBand="0" w:oddHBand="0" w:evenHBand="0" w:firstRowFirstColumn="0" w:firstRowLastColumn="0" w:lastRowFirstColumn="0" w:lastRowLastColumn="0"/>
            <w:tcW w:w="1776" w:type="dxa"/>
          </w:tcPr>
          <w:p w14:paraId="6D339B45" w14:textId="35E29820" w:rsidR="1B80813B" w:rsidRDefault="1B80813B">
            <w:r>
              <w:t>31 October 2026</w:t>
            </w:r>
          </w:p>
        </w:tc>
      </w:tr>
      <w:tr w:rsidR="1B80813B" w14:paraId="19E58811" w14:textId="77777777" w:rsidTr="1B80813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00" w:type="dxa"/>
          </w:tcPr>
          <w:p w14:paraId="3CC0095A" w14:textId="4CF7F895" w:rsidR="1B80813B" w:rsidRDefault="1B80813B">
            <w:r>
              <w:t>P8</w:t>
            </w:r>
          </w:p>
        </w:tc>
        <w:tc>
          <w:tcPr>
            <w:tcW w:w="3600" w:type="dxa"/>
          </w:tcPr>
          <w:p w14:paraId="6FAF7AB3" w14:textId="45D5DF59" w:rsidR="1B80813B" w:rsidRDefault="1B80813B">
            <w:pPr>
              <w:cnfStyle w:val="000000100000" w:firstRow="0" w:lastRow="0" w:firstColumn="0" w:lastColumn="0" w:oddVBand="0" w:evenVBand="0" w:oddHBand="1" w:evenHBand="0" w:firstRowFirstColumn="0" w:firstRowLastColumn="0" w:lastRowFirstColumn="0" w:lastRowLastColumn="0"/>
            </w:pPr>
            <w:r>
              <w:t xml:space="preserve">Evidence EU Data Boundary residency for every deployed AI service and for the selected ERP </w:t>
            </w:r>
            <w:proofErr w:type="gramStart"/>
            <w:r>
              <w:t>platform, and</w:t>
            </w:r>
            <w:proofErr w:type="gramEnd"/>
            <w:r>
              <w:t xml:space="preserve"> retain the evidence. (G7)</w:t>
            </w:r>
          </w:p>
        </w:tc>
        <w:tc>
          <w:tcPr>
            <w:cnfStyle w:val="000010000000" w:firstRow="0" w:lastRow="0" w:firstColumn="0" w:lastColumn="0" w:oddVBand="1" w:evenVBand="0" w:oddHBand="0" w:evenHBand="0" w:firstRowFirstColumn="0" w:firstRowLastColumn="0" w:lastRowFirstColumn="0" w:lastRowLastColumn="0"/>
            <w:tcW w:w="1550" w:type="dxa"/>
          </w:tcPr>
          <w:p w14:paraId="186C45B0" w14:textId="3EB3C61D" w:rsidR="1B80813B" w:rsidRDefault="1B80813B">
            <w:r>
              <w:t>Platform Admin</w:t>
            </w:r>
          </w:p>
        </w:tc>
        <w:tc>
          <w:tcPr>
            <w:tcW w:w="1400" w:type="dxa"/>
          </w:tcPr>
          <w:p w14:paraId="16DAC1A3" w14:textId="3791ACE1" w:rsidR="1B80813B" w:rsidRDefault="1B80813B">
            <w:pPr>
              <w:cnfStyle w:val="000000100000" w:firstRow="0" w:lastRow="0" w:firstColumn="0" w:lastColumn="0" w:oddVBand="0" w:evenVBand="0" w:oddHBand="1" w:evenHBand="0" w:firstRowFirstColumn="0" w:firstRowLastColumn="0" w:lastRowFirstColumn="0" w:lastRowLastColumn="0"/>
            </w:pPr>
            <w:r>
              <w:t>IT Director</w:t>
            </w:r>
          </w:p>
        </w:tc>
        <w:tc>
          <w:tcPr>
            <w:cnfStyle w:val="000010000000" w:firstRow="0" w:lastRow="0" w:firstColumn="0" w:lastColumn="0" w:oddVBand="1" w:evenVBand="0" w:oddHBand="0" w:evenHBand="0" w:firstRowFirstColumn="0" w:firstRowLastColumn="0" w:lastRowFirstColumn="0" w:lastRowLastColumn="0"/>
            <w:tcW w:w="1776" w:type="dxa"/>
          </w:tcPr>
          <w:p w14:paraId="7BE10CE4" w14:textId="306F93A5" w:rsidR="1B80813B" w:rsidRDefault="1B80813B">
            <w:r>
              <w:t>30 November 2026</w:t>
            </w:r>
          </w:p>
        </w:tc>
      </w:tr>
      <w:tr w:rsidR="1B80813B" w14:paraId="47E99D77" w14:textId="77777777" w:rsidTr="1B80813B">
        <w:tc>
          <w:tcPr>
            <w:cnfStyle w:val="000010000000" w:firstRow="0" w:lastRow="0" w:firstColumn="0" w:lastColumn="0" w:oddVBand="1" w:evenVBand="0" w:oddHBand="0" w:evenHBand="0" w:firstRowFirstColumn="0" w:firstRowLastColumn="0" w:lastRowFirstColumn="0" w:lastRowLastColumn="0"/>
            <w:tcW w:w="700" w:type="dxa"/>
          </w:tcPr>
          <w:p w14:paraId="41A3C062" w14:textId="4784F41A" w:rsidR="1B80813B" w:rsidRDefault="1B80813B">
            <w:r>
              <w:t>P9</w:t>
            </w:r>
          </w:p>
        </w:tc>
        <w:tc>
          <w:tcPr>
            <w:tcW w:w="3600" w:type="dxa"/>
          </w:tcPr>
          <w:p w14:paraId="1A03725A" w14:textId="4062DADE" w:rsidR="1B80813B" w:rsidRDefault="1B80813B">
            <w:pPr>
              <w:cnfStyle w:val="000000000000" w:firstRow="0" w:lastRow="0" w:firstColumn="0" w:lastColumn="0" w:oddVBand="0" w:evenVBand="0" w:oddHBand="0" w:evenHBand="0" w:firstRowFirstColumn="0" w:firstRowLastColumn="0" w:lastRowFirstColumn="0" w:lastRowLastColumn="0"/>
            </w:pPr>
            <w:r>
              <w:t xml:space="preserve">Remediate the ServiceNow and Jira connectors and put a recorded </w:t>
            </w:r>
            <w:r>
              <w:lastRenderedPageBreak/>
              <w:t>monthly review against the Entra ID Protection and Privileged Identity Management digests. (G9)</w:t>
            </w:r>
          </w:p>
        </w:tc>
        <w:tc>
          <w:tcPr>
            <w:cnfStyle w:val="000010000000" w:firstRow="0" w:lastRow="0" w:firstColumn="0" w:lastColumn="0" w:oddVBand="1" w:evenVBand="0" w:oddHBand="0" w:evenHBand="0" w:firstRowFirstColumn="0" w:firstRowLastColumn="0" w:lastRowFirstColumn="0" w:lastRowLastColumn="0"/>
            <w:tcW w:w="1550" w:type="dxa"/>
          </w:tcPr>
          <w:p w14:paraId="2FFDE0B5" w14:textId="3940C1A2" w:rsidR="1B80813B" w:rsidRDefault="1B80813B">
            <w:r>
              <w:lastRenderedPageBreak/>
              <w:t>Platform Admin</w:t>
            </w:r>
          </w:p>
        </w:tc>
        <w:tc>
          <w:tcPr>
            <w:tcW w:w="1400" w:type="dxa"/>
          </w:tcPr>
          <w:p w14:paraId="3A13EEA2" w14:textId="321EA866" w:rsidR="1B80813B" w:rsidRDefault="1B80813B">
            <w:pPr>
              <w:cnfStyle w:val="000000000000" w:firstRow="0" w:lastRow="0" w:firstColumn="0" w:lastColumn="0" w:oddVBand="0" w:evenVBand="0" w:oddHBand="0" w:evenHBand="0" w:firstRowFirstColumn="0" w:firstRowLastColumn="0" w:lastRowFirstColumn="0" w:lastRowLastColumn="0"/>
            </w:pPr>
            <w:r>
              <w:t>IT Director</w:t>
            </w:r>
          </w:p>
        </w:tc>
        <w:tc>
          <w:tcPr>
            <w:cnfStyle w:val="000010000000" w:firstRow="0" w:lastRow="0" w:firstColumn="0" w:lastColumn="0" w:oddVBand="1" w:evenVBand="0" w:oddHBand="0" w:evenHBand="0" w:firstRowFirstColumn="0" w:firstRowLastColumn="0" w:lastRowFirstColumn="0" w:lastRowLastColumn="0"/>
            <w:tcW w:w="1776" w:type="dxa"/>
          </w:tcPr>
          <w:p w14:paraId="38C8CA15" w14:textId="2AFC8F2A" w:rsidR="1B80813B" w:rsidRDefault="1B80813B">
            <w:r>
              <w:t>30 September 2026</w:t>
            </w:r>
          </w:p>
        </w:tc>
      </w:tr>
    </w:tbl>
    <w:p w14:paraId="315087E5" w14:textId="16CF0CE4" w:rsidR="1B80813B" w:rsidRDefault="1B80813B" w:rsidP="1B80813B">
      <w:pPr>
        <w:pStyle w:val="Heading1"/>
      </w:pPr>
      <w:r w:rsidRPr="1B80813B">
        <w:rPr>
          <w:color w:val="794E1F"/>
        </w:rPr>
        <w:t>6. Sources</w:t>
      </w:r>
    </w:p>
    <w:p w14:paraId="1B158E59" w14:textId="14FE5713" w:rsidR="1B80813B" w:rsidRDefault="1B80813B" w:rsidP="1B80813B">
      <w:pPr>
        <w:pStyle w:val="Heading2"/>
      </w:pPr>
      <w:r w:rsidRPr="1B80813B">
        <w:rPr>
          <w:color w:val="794E1F"/>
        </w:rPr>
        <w:t>Internal (Microsoft 365)</w:t>
      </w:r>
    </w:p>
    <w:p w14:paraId="7F801223" w14:textId="4F3B2B97" w:rsidR="1B80813B" w:rsidRDefault="1B80813B" w:rsidP="1B80813B">
      <w:pPr>
        <w:pStyle w:val="ListBullet"/>
      </w:pPr>
      <w:r>
        <w:t>AI_Governance_Policy_Book.docx, Corey Gray, 4 February 2026 (OneDrive). Four-pillar model; Compliance &amp; Privacy Policies section; appendix note on unembedded diagrams.</w:t>
      </w:r>
    </w:p>
    <w:p w14:paraId="7E7DD332" w14:textId="6359A9BA" w:rsidR="1B80813B" w:rsidRDefault="1B80813B" w:rsidP="1B80813B">
      <w:pPr>
        <w:pStyle w:val="ListBullet"/>
      </w:pPr>
      <w:r>
        <w:t>AI_Governance_QuickStart_Checklist.docx, Corey Gray (OneDrive). DLP, PII redaction, EU Data Boundary residency, human-in-the-loop, evaluation metrics, first-thirty-days plan.</w:t>
      </w:r>
    </w:p>
    <w:p w14:paraId="4D7A8A2F" w14:textId="3FF5A5FD" w:rsidR="1B80813B" w:rsidRDefault="1B80813B" w:rsidP="1B80813B">
      <w:pPr>
        <w:pStyle w:val="ListBullet"/>
      </w:pPr>
      <w:r>
        <w:t>AI_Governance_Strategy_RACI.docx, Corey Gray (OneDrive). RACI matrix and three-phase twelve-week timeline.</w:t>
      </w:r>
    </w:p>
    <w:p w14:paraId="4D07ED06" w14:textId="57AEA0EC" w:rsidR="1B80813B" w:rsidRDefault="1B80813B" w:rsidP="1B80813B">
      <w:pPr>
        <w:pStyle w:val="ListBullet"/>
      </w:pPr>
      <w:r>
        <w:t>Pillar5-Security_and_Governance.docx, Agent Readiness Framework (OneDrive). Governance model, autonomy tiers, responsible AI safeguards, compliance and regulatory landscape, readiness scorecard; unpopulated.</w:t>
      </w:r>
    </w:p>
    <w:p w14:paraId="32AA16AE" w14:textId="259F8595" w:rsidR="1B80813B" w:rsidRDefault="1B80813B" w:rsidP="1B80813B">
      <w:pPr>
        <w:pStyle w:val="ListBullet"/>
      </w:pPr>
      <w:r>
        <w:t>Contoso S2P chat, Microsoft Teams, 26 February 2026. RFP-2026-001 scope, mandatory compliance gate, scoring weights, vendor offer analysis and data-gap summary.</w:t>
      </w:r>
    </w:p>
    <w:p w14:paraId="7DF0967A" w14:textId="10B809E6" w:rsidR="1B80813B" w:rsidRDefault="1B80813B" w:rsidP="1B80813B">
      <w:pPr>
        <w:pStyle w:val="ListBullet"/>
      </w:pPr>
      <w:r>
        <w:t>ERP Cloud Implementation - Statement of Work.docx and ERP Cloud Implementation - Q&amp;A.docx (OneDrive, ERP Procurements); Request for Proposal (RFP) Guidelines.docx, 2 September 2026 (Sales and Marketing site).</w:t>
      </w:r>
    </w:p>
    <w:p w14:paraId="2A3322C9" w14:textId="767DB1F7" w:rsidR="1B80813B" w:rsidRDefault="1B80813B" w:rsidP="1B80813B">
      <w:pPr>
        <w:pStyle w:val="ListBullet"/>
      </w:pPr>
      <w:r>
        <w:t>Daily Task Digest emails, Outlook: 13 July; 1, 3, 7, 9, 10, 13, 17, 20, 23, 24 and 27 August; 4 and 6 September 2026. Source for the ZAG items, the connector flags and the outstanding procurement briefings.</w:t>
      </w:r>
    </w:p>
    <w:p w14:paraId="72913F71" w14:textId="27D76DE2" w:rsidR="1B80813B" w:rsidRDefault="1B80813B" w:rsidP="1B80813B">
      <w:pPr>
        <w:pStyle w:val="ListBullet"/>
      </w:pPr>
      <w:r>
        <w:t>System notifications, Outlook, August and September 2026: Microsoft 365 connector advisory of 22 August, Power Automate flow alerts, Microsoft Entra ID Protection and Privileged Identity Management weekly digests for the Contoso tenant.</w:t>
      </w:r>
    </w:p>
    <w:p w14:paraId="3A69DEEB" w14:textId="7B6F6005" w:rsidR="1B80813B" w:rsidRDefault="1B80813B" w:rsidP="1B80813B">
      <w:pPr>
        <w:pStyle w:val="ListBullet"/>
      </w:pPr>
      <w:r>
        <w:t>EU AI ACT-202401689.pdf and NIST AI RMF 100-1.pdf, TIGRES site, AI Frameworks library. Reference copies of Regulation (EU) 2024/1689 and the NIST AI Risk Management Framework 1.0.</w:t>
      </w:r>
    </w:p>
    <w:p w14:paraId="7F52D87F" w14:textId="666905D9" w:rsidR="1B80813B" w:rsidRDefault="1B80813B" w:rsidP="1B80813B">
      <w:pPr>
        <w:pStyle w:val="Heading2"/>
      </w:pPr>
      <w:r w:rsidRPr="1B80813B">
        <w:rPr>
          <w:color w:val="794E1F"/>
        </w:rPr>
        <w:t>External (public sources)</w:t>
      </w:r>
    </w:p>
    <w:p w14:paraId="1F470A37" w14:textId="3BFA7262" w:rsidR="1B80813B" w:rsidRDefault="1B80813B" w:rsidP="1B80813B">
      <w:pPr>
        <w:pStyle w:val="ListBullet"/>
      </w:pPr>
      <w:r>
        <w:t>Regulation (EU) 2026/1744 of the European Parliament and of the Council of 8 July 2026 amending Regulations (EU) 2024/1689, (EU) 2018/1139 and (EU) 2023/1230. EUR-Lex: https://eur-lex.europa.eu/eli/reg/2026/1744/oj/eng</w:t>
      </w:r>
    </w:p>
    <w:p w14:paraId="1EE56BCC" w14:textId="6AE349B9" w:rsidR="1B80813B" w:rsidRDefault="1B80813B" w:rsidP="1B80813B">
      <w:pPr>
        <w:pStyle w:val="ListBullet"/>
      </w:pPr>
      <w:r>
        <w:t>Council of the European Union, press release of 29 June 2026, final approval of the regulation simplifying and streamlining AI rules.</w:t>
      </w:r>
    </w:p>
    <w:p w14:paraId="4103F0AD" w14:textId="3D8AEE0C" w:rsidR="1B80813B" w:rsidRDefault="1B80813B" w:rsidP="1B80813B">
      <w:pPr>
        <w:pStyle w:val="ListBullet"/>
      </w:pPr>
      <w:r>
        <w:t>EU Artificial Intelligence Act implementation timeline, artificialintelligenceact.eu, last updated 31 August 2026. Staged application dates and Article 111 transitional provisions.</w:t>
      </w:r>
    </w:p>
    <w:p w14:paraId="2871758E" w14:textId="2CEC5708" w:rsidR="1B80813B" w:rsidRDefault="1B80813B" w:rsidP="1B80813B">
      <w:pPr>
        <w:pStyle w:val="ListBullet"/>
      </w:pPr>
      <w:r>
        <w:t>Gibson Dunn client alert, EU AI Act Omnibus Agreement: Postponed High-Risk Deadlines and Other Key Changes, 27 May 2026. Negotiation chronology, Article 50 treatment, bias-detection basis and AI Office powers.</w:t>
      </w:r>
    </w:p>
    <w:p w14:paraId="42A4A619" w14:textId="546520B8" w:rsidR="1B80813B" w:rsidRDefault="1B80813B" w:rsidP="1B80813B">
      <w:pPr>
        <w:pStyle w:val="ListBullet"/>
      </w:pPr>
      <w:r>
        <w:t>European Data Protection Board, CEF 2026: EDPB launches coordinated enforcement action on transparency and information obligations under the GDPR, 19 March 2026. https://www.edpb.europa.eu/news/cef-2026-edpb-launches-coordinated-enforcement-action-on-transparency-and-information_en</w:t>
      </w:r>
    </w:p>
    <w:p w14:paraId="605CFF82" w14:textId="37C96C5E" w:rsidR="1B80813B" w:rsidRDefault="1B80813B" w:rsidP="1B80813B">
      <w:pPr>
        <w:pStyle w:val="ListBullet"/>
      </w:pPr>
      <w:r>
        <w:lastRenderedPageBreak/>
        <w:t>EDPB and EDPS, Joint Opinion 1/2026 on the simplification of the implementation of harmonised rules on artificial intelligence.</w:t>
      </w:r>
    </w:p>
    <w:p w14:paraId="78BB958A" w14:textId="32C8574C" w:rsidR="1B80813B" w:rsidRDefault="1B80813B" w:rsidP="1B80813B">
      <w:pPr>
        <w:pStyle w:val="ListBullet"/>
      </w:pPr>
      <w:r>
        <w:t>Garante per la protezione dei dati personali, decision of 10 April 2025 fining Luka Inc., developer of the Replika chatbot, five million euro; and the Garante decision fining OpenAI fifteen million euro in connection with ChatGPT.</w:t>
      </w:r>
    </w:p>
    <w:p w14:paraId="5B550F79" w14:textId="71C89BA1" w:rsidR="1B80813B" w:rsidRDefault="1B80813B" w:rsidP="1B80813B">
      <w:pPr>
        <w:pStyle w:val="ListBullet"/>
      </w:pPr>
      <w:r>
        <w:t>GDPR enforcement aggregation for 2026, overview.legal. Third-party tracker cited only for order of magnitude, not as an official register.</w:t>
      </w:r>
    </w:p>
    <w:p w14:paraId="173594F8" w14:textId="5F86277F" w:rsidR="1B80813B" w:rsidRDefault="1B80813B" w:rsidP="1B80813B">
      <w:pPr>
        <w:pStyle w:val="Heading2"/>
      </w:pPr>
      <w:r w:rsidRPr="1B80813B">
        <w:rPr>
          <w:color w:val="794E1F"/>
        </w:rPr>
        <w:t>Basis and limitations</w:t>
      </w:r>
    </w:p>
    <w:p w14:paraId="75CA3931" w14:textId="64B85B86" w:rsidR="1B80813B" w:rsidRDefault="1B80813B">
      <w:r>
        <w:t>Findings reflect only material discoverable in Corey Gray's Microsoft 365 estate. Governance work held in systems not searched here, in Jira itself, in ServiceNow or in a legal team's own repository, would not appear. Where this brief records an absence, it means no evidence was found in the sources listed above, not that the control is confirmed to be missing. Each such absence is therefore stated as a gap to verify rather than as a finding of non-compliance.</w:t>
      </w:r>
    </w:p>
    <w:sectPr w:rsidR="1B80813B"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4475355">
    <w:abstractNumId w:val="8"/>
  </w:num>
  <w:num w:numId="2" w16cid:durableId="1992907148">
    <w:abstractNumId w:val="6"/>
  </w:num>
  <w:num w:numId="3" w16cid:durableId="2016569762">
    <w:abstractNumId w:val="5"/>
  </w:num>
  <w:num w:numId="4" w16cid:durableId="1210265357">
    <w:abstractNumId w:val="4"/>
  </w:num>
  <w:num w:numId="5" w16cid:durableId="244340759">
    <w:abstractNumId w:val="7"/>
  </w:num>
  <w:num w:numId="6" w16cid:durableId="1037125599">
    <w:abstractNumId w:val="3"/>
  </w:num>
  <w:num w:numId="7" w16cid:durableId="1576091072">
    <w:abstractNumId w:val="2"/>
  </w:num>
  <w:num w:numId="8" w16cid:durableId="207374350">
    <w:abstractNumId w:val="1"/>
  </w:num>
  <w:num w:numId="9" w16cid:durableId="203125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2E66"/>
    <w:rsid w:val="0015074B"/>
    <w:rsid w:val="0029639D"/>
    <w:rsid w:val="00326F90"/>
    <w:rsid w:val="00AA1D8D"/>
    <w:rsid w:val="00B47730"/>
    <w:rsid w:val="00CB0664"/>
    <w:rsid w:val="00D85353"/>
    <w:rsid w:val="00FC693F"/>
    <w:rsid w:val="019FB803"/>
    <w:rsid w:val="092EEEB0"/>
    <w:rsid w:val="09D827F5"/>
    <w:rsid w:val="0E8E0720"/>
    <w:rsid w:val="163E7C8F"/>
    <w:rsid w:val="165AB78A"/>
    <w:rsid w:val="1B65E964"/>
    <w:rsid w:val="1B80813B"/>
    <w:rsid w:val="1F49EB94"/>
    <w:rsid w:val="1FD086C4"/>
    <w:rsid w:val="20D88872"/>
    <w:rsid w:val="272CF8F7"/>
    <w:rsid w:val="2B97DA16"/>
    <w:rsid w:val="307B5E5C"/>
    <w:rsid w:val="324BA99C"/>
    <w:rsid w:val="38A5AB16"/>
    <w:rsid w:val="3DE73EC0"/>
    <w:rsid w:val="3F9C0FE6"/>
    <w:rsid w:val="49A06181"/>
    <w:rsid w:val="49A96AA5"/>
    <w:rsid w:val="4ADAD856"/>
    <w:rsid w:val="4B140B17"/>
    <w:rsid w:val="4F70DB01"/>
    <w:rsid w:val="513151D8"/>
    <w:rsid w:val="5387998C"/>
    <w:rsid w:val="599D6BA3"/>
    <w:rsid w:val="5B347133"/>
    <w:rsid w:val="5C91C15D"/>
    <w:rsid w:val="63B88F38"/>
    <w:rsid w:val="693C97DD"/>
    <w:rsid w:val="6A9854E0"/>
    <w:rsid w:val="6B957D5F"/>
    <w:rsid w:val="6BD0F1B2"/>
    <w:rsid w:val="6CE488A4"/>
    <w:rsid w:val="70E0BBE0"/>
    <w:rsid w:val="768E7ACB"/>
    <w:rsid w:val="77118F86"/>
    <w:rsid w:val="7874D862"/>
    <w:rsid w:val="78C162F3"/>
    <w:rsid w:val="79C11603"/>
    <w:rsid w:val="7A99F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B42E398-B7E5-49B6-AF69-EEB584E7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8DA5E2A-80D6-4820-A570-1BBF12393070}"/>
</file>

<file path=customXml/itemProps3.xml><?xml version="1.0" encoding="utf-8"?>
<ds:datastoreItem xmlns:ds="http://schemas.openxmlformats.org/officeDocument/2006/customXml" ds:itemID="{11097A30-0B96-423C-9BC4-6CF6DDE190B9}"/>
</file>

<file path=customXml/itemProps4.xml><?xml version="1.0" encoding="utf-8"?>
<ds:datastoreItem xmlns:ds="http://schemas.openxmlformats.org/officeDocument/2006/customXml" ds:itemID="{FBB947D9-DCD6-420B-BCCF-5F6E9E9FC5AF}"/>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3801</Words>
  <Characters>21666</Characters>
  <Application>Microsoft Office Word</Application>
  <DocSecurity>0</DocSecurity>
  <Lines>180</Lines>
  <Paragraphs>50</Paragraphs>
  <ScaleCrop>false</ScaleCrop>
  <Manager/>
  <Company/>
  <LinksUpToDate>false</LinksUpToDate>
  <CharactersWithSpaces>25417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2026-09-07T07:31:00Z</dcterms:created>
  <dcterms:modified xsi:type="dcterms:W3CDTF">2026-09-07T07:42:00Z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0x01010042410C10365B41458A488A2E06A7CDDA</vt:lpwstr>
  </property>
</Properties>
</file>