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1679D8" w:rsidRDefault="001679D8"/>
    <w:p w14:paraId="2C0347D4" w14:textId="71F24FB9" w:rsidR="58467045" w:rsidRDefault="58467045" w:rsidP="58467045">
      <w:pPr>
        <w:pStyle w:val="Title"/>
      </w:pPr>
      <w:r w:rsidRPr="58467045">
        <w:rPr>
          <w:b/>
          <w:bCs/>
          <w:color w:val="794E1F"/>
        </w:rPr>
        <w:t>Compliance Readiness Brief</w:t>
      </w:r>
    </w:p>
    <w:p w14:paraId="2F5A1854" w14:textId="1095FEFC" w:rsidR="58467045" w:rsidRDefault="58467045">
      <w:r w:rsidRPr="58467045">
        <w:rPr>
          <w:i/>
          <w:iCs/>
          <w:color w:val="595959" w:themeColor="text1" w:themeTint="A6"/>
          <w:sz w:val="20"/>
          <w:szCs w:val="20"/>
        </w:rPr>
        <w:t>AI governance, data privacy and regulatory posture — prepared for Corey Gray, Marketing (Paris), 7 September 2026</w:t>
      </w:r>
    </w:p>
    <w:p w14:paraId="2A785D4D" w14:textId="1F6C924C" w:rsidR="58467045" w:rsidRDefault="58467045" w:rsidP="58467045">
      <w:pPr>
        <w:pStyle w:val="Heading1"/>
      </w:pPr>
      <w:r w:rsidRPr="58467045">
        <w:rPr>
          <w:color w:val="794E1F"/>
        </w:rPr>
        <w:t>Executive summary</w:t>
      </w:r>
    </w:p>
    <w:p w14:paraId="206B9F11" w14:textId="1C9FE98C" w:rsidR="58467045" w:rsidRDefault="58467045">
      <w:r>
        <w:t>Contoso has a written AI governance framework but limited evidence that it has been operationalised. The controls set out in the AI Governance Policy Book (4 February 2026) and the AI Governance Quick-Start Checklist are well specified across four pillars — compliance and privacy, security and identity, reliability and quality, and financial governance — yet the internal record contains no completed audit, no data protection impact assessment, and no AI system inventory that would let the organisation demonstrate conformity to a regulator or a customer.</w:t>
      </w:r>
    </w:p>
    <w:p w14:paraId="2669EA73" w14:textId="5F483BA9" w:rsidR="58467045" w:rsidRDefault="58467045">
      <w:r>
        <w:t>The timing matters. The largest tranche of EU AI Act obligations, covering high-risk systems and transparency duties, falls on 2 August 2026 — a date that has already passed — while GDPR enforcement has shifted decisively toward lawfulness of processing, transparency, and automated decision-making. The gap is therefore not one of policy design but of proof: the documents exist, the operating evidence does not.</w:t>
      </w:r>
    </w:p>
    <w:p w14:paraId="749016BE" w14:textId="71A55E9C" w:rsidR="58467045" w:rsidRDefault="58467045">
      <w:r>
        <w:t>Two governance work items are already tracked and overdue in the internal task record, including the drafting of compliance criteria for agent behaviour. Those items are the natural starting point for the remediation plan in the final section.</w:t>
      </w:r>
    </w:p>
    <w:p w14:paraId="7DC65682" w14:textId="72F0BE29" w:rsidR="58467045" w:rsidRDefault="58467045" w:rsidP="58467045">
      <w:pPr>
        <w:pStyle w:val="Heading1"/>
      </w:pPr>
      <w:r w:rsidRPr="58467045">
        <w:rPr>
          <w:color w:val="794E1F"/>
        </w:rPr>
        <w:t>1. Scope</w:t>
      </w:r>
    </w:p>
    <w:p w14:paraId="252A0FF8" w14:textId="4E2BA5C0" w:rsidR="58467045" w:rsidRDefault="58467045">
      <w:r>
        <w:t>This brief assesses compliance readiness across the AI, data privacy and platform governance activity visible in Corey Gray's Microsoft 365 environment over the six months to 7 September 2026. It draws on documents held in OneDrive and SharePoint, Outlook mail, and Microsoft Teams conversations, and benchmarks the internal position against publicly reported regulatory status and enforcement trends.</w:t>
      </w:r>
    </w:p>
    <w:p w14:paraId="2DE717E5" w14:textId="24105C75" w:rsidR="58467045" w:rsidRDefault="58467045" w:rsidP="58467045">
      <w:pPr>
        <w:pStyle w:val="Heading2"/>
      </w:pPr>
      <w:r w:rsidRPr="58467045">
        <w:rPr>
          <w:color w:val="794E1F"/>
        </w:rPr>
        <w:t>In scope</w:t>
      </w:r>
    </w:p>
    <w:p w14:paraId="47C65460" w14:textId="4CA93B87" w:rsidR="58467045" w:rsidRDefault="58467045">
      <w:r>
        <w:t>AI agent governance across Microsoft Copilot Studio, Azure AI Foundry, the M365 Agent SDK and custom agents; data protection and residency obligations attaching to those systems; third-party platform and connector governance, including the Jira, ServiceNow and Atlassian dependencies surfaced in the task record; and the AI-related procurement controls embedded in the ERP Cloud Implementation documentation.</w:t>
      </w:r>
    </w:p>
    <w:p w14:paraId="6ABF0343" w14:textId="3698ABB6" w:rsidR="58467045" w:rsidRDefault="58467045" w:rsidP="58467045">
      <w:pPr>
        <w:pStyle w:val="Heading2"/>
      </w:pPr>
      <w:r w:rsidRPr="58467045">
        <w:rPr>
          <w:color w:val="794E1F"/>
        </w:rPr>
        <w:t>Out of scope and limitations</w:t>
      </w:r>
    </w:p>
    <w:p w14:paraId="3E62393B" w14:textId="1AF0D719" w:rsidR="58467045" w:rsidRDefault="58467045">
      <w:r>
        <w:t xml:space="preserve">Financial reporting, employment and health-and-safety compliance are not covered. Two limitations should be read alongside every finding below. First, a keyword search of Teams messages for policy, audit, privacy and regulatory terms over the six-month window returned no results, so the Teams channel contributes no direct evidence here; conclusions rest on </w:t>
      </w:r>
      <w:r>
        <w:lastRenderedPageBreak/>
        <w:t>documents and mail. Second, no completed audit report, DPIA or regulator correspondence was found in the environment — their absence is itself a finding rather than a search failure, but it means this brief assesses documented readiness, not verified control effectiveness.</w:t>
      </w:r>
    </w:p>
    <w:p w14:paraId="289D5B5D" w14:textId="30066F28" w:rsidR="58467045" w:rsidRDefault="58467045" w:rsidP="58467045">
      <w:pPr>
        <w:pStyle w:val="Heading1"/>
      </w:pPr>
      <w:r w:rsidRPr="58467045">
        <w:rPr>
          <w:color w:val="794E1F"/>
        </w:rPr>
        <w:t>2. Internal findings</w:t>
      </w:r>
    </w:p>
    <w:p w14:paraId="501DBDB5" w14:textId="2F010778" w:rsidR="58467045" w:rsidRDefault="58467045" w:rsidP="58467045">
      <w:pPr>
        <w:pStyle w:val="Heading2"/>
      </w:pPr>
      <w:r w:rsidRPr="58467045">
        <w:rPr>
          <w:color w:val="794E1F"/>
        </w:rPr>
        <w:t>Policy architecture is mature on paper</w:t>
      </w:r>
    </w:p>
    <w:p w14:paraId="6D01EC48" w14:textId="335CDC28" w:rsidR="58467045" w:rsidRDefault="58467045">
      <w:r>
        <w:t>The AI Governance Policy Book, authored by Corey Gray and last saved on 4 February 2026, sets out a four-pillar model and names the right controls. Its compliance and privacy section commits the organisation to data residency enforcement covering the EU Data Boundary, GDPR and HIPAA, to PII detection and redaction, and to regulatory alignment with the EU AI Act. Security and identity rests on Entra ID authentication with OAuth2, role-based access control, and prompt injection mitigation. Reliability is governed through faithfulness and relevance metrics, version control and human-in-the-loop validation.</w:t>
      </w:r>
    </w:p>
    <w:p w14:paraId="16B2A853" w14:textId="58CABE08" w:rsidR="58467045" w:rsidRDefault="58467045">
      <w:r>
        <w:t>The document is candid about its own state. Its closing note records that architecture diagrams are still to be embedded in the final version, and the drafting comments describe an expansion to a full policy book that had not been completed at the point of last save. A policy that a regulator or customer would accept as evidence needs to be a finished, versioned, approved artefact; this one is a working draft.</w:t>
      </w:r>
    </w:p>
    <w:p w14:paraId="19BCADA9" w14:textId="54038BFE" w:rsidR="58467045" w:rsidRDefault="58467045" w:rsidP="58467045">
      <w:pPr>
        <w:pStyle w:val="Heading2"/>
      </w:pPr>
      <w:r w:rsidRPr="58467045">
        <w:rPr>
          <w:color w:val="794E1F"/>
        </w:rPr>
        <w:t>Accountability is assigned but unstaffed</w:t>
      </w:r>
    </w:p>
    <w:p w14:paraId="7680B3EF" w14:textId="744429BB" w:rsidR="58467045" w:rsidRDefault="58467045">
      <w:r>
        <w:t>The AI Governance Actionable Strategy Plan with RACI allocates each governance task to a role: the AI Governance Lead is responsible for defining principles with the CIO accountable, the Security Officer applies DLP policies under the Compliance Officer, and the Identity Management Team implements authentication under the IT Director. The matrix is coherent, but it names roles rather than people, and no evidence in the environment ties a named individual to any of them. Its own timeline runs in three phases across twelve weeks; nothing found in the six-month window records the completion of even Phase 1.</w:t>
      </w:r>
    </w:p>
    <w:p w14:paraId="4560A8FE" w14:textId="7543D001" w:rsidR="58467045" w:rsidRDefault="58467045" w:rsidP="58467045">
      <w:pPr>
        <w:pStyle w:val="Heading2"/>
      </w:pPr>
      <w:r w:rsidRPr="58467045">
        <w:rPr>
          <w:color w:val="794E1F"/>
        </w:rPr>
        <w:t>Open compliance items are overdue</w:t>
      </w:r>
    </w:p>
    <w:p w14:paraId="7D6EEAFA" w14:textId="429CE6A6" w:rsidR="58467045" w:rsidRDefault="58467045">
      <w:r>
        <w:t>The Daily Task Digest of 6 September 2026 lists eleven open tasks, five of them high priority, and two of the five are explicitly risk-flagged. A ServiceNow connector issue identified on 21 August 2026 is recorded as a compliance risk, and a Jira connector issue from 12 August 2026 as a data integrity risk; both remain unremediated. In the governance workstream itself, tracked items ZAG-4 (identify scope of governance) and ZAG-5 (draft compliance criteria for agent behaviour) are open, with ZAG-5 reported overdue. Compliance criteria for agent behaviour is the control that everything else in the policy book depends on, so its slippage is the single most consequential internal finding.</w:t>
      </w:r>
    </w:p>
    <w:p w14:paraId="36A9F266" w14:textId="27F95AC0" w:rsidR="58467045" w:rsidRDefault="58467045" w:rsidP="58467045">
      <w:pPr>
        <w:pStyle w:val="Heading2"/>
      </w:pPr>
      <w:r w:rsidRPr="58467045">
        <w:rPr>
          <w:color w:val="794E1F"/>
        </w:rPr>
        <w:t>Platform and vendor changes are arriving faster than the review cycle</w:t>
      </w:r>
    </w:p>
    <w:p w14:paraId="512B3BD2" w14:textId="7B7802FC" w:rsidR="58467045" w:rsidRDefault="58467045">
      <w:r>
        <w:t xml:space="preserve">Three supplier or platform changes in the window carry data-protection consequences and none has a documented assessment. Atlassian issued a final reminder on 30 July 2026 that changes to its cloud data use — using customer data to deliver AI capabilities — took effect on 17 August 2026. Microsoft required migration from the Azure OpenAI Assistants APIs to the Foundry Agent Service by 26 August 2026. A Power Apps solution check on the AI Agents </w:t>
      </w:r>
      <w:r>
        <w:lastRenderedPageBreak/>
        <w:t>Governance Hub, run on 5 August 2026, returned six medium-severity issues and no critical or high ones; the medium findings have no recorded disposition.</w:t>
      </w:r>
    </w:p>
    <w:p w14:paraId="35E6F099" w14:textId="6EC62ABD" w:rsidR="58467045" w:rsidRDefault="58467045" w:rsidP="58467045">
      <w:pPr>
        <w:pStyle w:val="Heading2"/>
      </w:pPr>
      <w:r w:rsidRPr="58467045">
        <w:rPr>
          <w:color w:val="794E1F"/>
        </w:rPr>
        <w:t>Reference frameworks are held but not applied</w:t>
      </w:r>
    </w:p>
    <w:p w14:paraId="45E6DFE5" w14:textId="59B00512" w:rsidR="58467045" w:rsidRDefault="58467045">
      <w:r>
        <w:t>The environment holds the NIST AI Risk Management Framework and its companion playbook, a Security and Governance pillar template, and an operations-side assessment questionnaire asking whether the organisation has a governance model with clear roles for AI initiatives. These are the right instruments. What is missing is a completed instance of any of them — a filled-in pillar template, a scored questionnaire, a mapped NIST profile — which is what converts a framework into audit evidence.</w:t>
      </w:r>
    </w:p>
    <w:p w14:paraId="2EA46030" w14:textId="519E04E7" w:rsidR="58467045" w:rsidRDefault="58467045" w:rsidP="58467045">
      <w:pPr>
        <w:pStyle w:val="Heading1"/>
      </w:pPr>
      <w:r w:rsidRPr="58467045">
        <w:rPr>
          <w:color w:val="794E1F"/>
        </w:rPr>
        <w:t>3. Regulatory landscape</w:t>
      </w:r>
    </w:p>
    <w:p w14:paraId="3AE49696" w14:textId="2F94C690" w:rsidR="58467045" w:rsidRDefault="58467045" w:rsidP="58467045">
      <w:pPr>
        <w:pStyle w:val="Heading2"/>
      </w:pPr>
      <w:r w:rsidRPr="58467045">
        <w:rPr>
          <w:color w:val="794E1F"/>
        </w:rPr>
        <w:t>EU AI Act</w:t>
      </w:r>
    </w:p>
    <w:p w14:paraId="3D743775" w14:textId="58373733" w:rsidR="58467045" w:rsidRDefault="58467045">
      <w:r>
        <w:t>The Act entered into force on 1 August 2024 and activates in stages: prohibitions on unacceptable-risk practices from 2 February 2025, general-purpose AI obligations from August 2025, and the substantial block of high-risk and transparency obligations on 2 August 2026 (Presenc AI, EU AI Act Enforcement Tracker 2026; AI Act Navigator, EU AI Act timeline and deadlines). That last date has passed, which changes the posture required of Contoso from preparation to demonstrable conformity.</w:t>
      </w:r>
    </w:p>
    <w:p w14:paraId="26651C8B" w14:textId="6343597B" w:rsidR="58467045" w:rsidRDefault="58467045">
      <w:r>
        <w:t xml:space="preserve">Two qualifications are worth carrying into any planning document. The timeline was materially amended in July 2026 when </w:t>
      </w:r>
      <w:proofErr w:type="gramStart"/>
      <w:r>
        <w:t>the Digital</w:t>
      </w:r>
      <w:proofErr w:type="gramEnd"/>
      <w:r>
        <w:t xml:space="preserve"> Omnibus became law, so compliance calendars printed before that date are unreliable (Perplexity AI Magazine, EU AI Act Timeline 2026-2027). And enforcement is live but not yet punitive at scale: one tracker reports Article 50 transparency duties active and general-purpose AI supervisory powers in force, with no fines confirmed in the first weeks of the new regime (Axis Intelligence, EU AI Act Compliance Tracker). Contoso should read that as a window, not a reprieve.</w:t>
      </w:r>
    </w:p>
    <w:p w14:paraId="53A35A23" w14:textId="65A661F0" w:rsidR="58467045" w:rsidRDefault="58467045" w:rsidP="58467045">
      <w:pPr>
        <w:pStyle w:val="Heading2"/>
      </w:pPr>
      <w:r w:rsidRPr="58467045">
        <w:rPr>
          <w:color w:val="794E1F"/>
        </w:rPr>
        <w:t>GDPR and data protection enforcement</w:t>
      </w:r>
    </w:p>
    <w:p w14:paraId="536188BF" w14:textId="73AAF933" w:rsidR="58467045" w:rsidRDefault="58467045">
      <w:r>
        <w:t xml:space="preserve">Cumulative GDPR fines passed four billion euros during </w:t>
      </w:r>
      <w:proofErr w:type="gramStart"/>
      <w:r>
        <w:t>2025</w:t>
      </w:r>
      <w:proofErr w:type="gramEnd"/>
      <w:r>
        <w:t xml:space="preserve"> and the enforcement pattern has moved upmarket from breach notification toward the lawfulness of processing and transparency (anonym.community, GDPR Enforcement Fines 2026 Tracker; gdpr-law.eu, GDPR Enforcement Trends 2026). AI systems and automated decision-making are now described as primary enforcement targets rather than an emerging theme, and the first wave of AI Act enforcement actions — including GDPR-grounded investigations into how AI companies source training data — began during 2025 (ComplianceStack, GDPR Enforcement by Country 2026). The public enforcement tracker maintained by CMS records well over three thousand actions across the EU and EEA, which is the base rate against which any single organisation should judge its exposure (enforcementtracker.com).</w:t>
      </w:r>
    </w:p>
    <w:p w14:paraId="24A9695E" w14:textId="52BB92ED" w:rsidR="58467045" w:rsidRDefault="58467045">
      <w:r>
        <w:t>The practical consequence for Contoso is that its two regulatory exposures are not independent. An AI agent that processes personal data without a lawful basis, an assessment, or a transparency notice is simultaneously an AI Act conformity failure and a GDPR enforcement risk, and the same missing artefact — a documented impact assessment — answers both.</w:t>
      </w:r>
    </w:p>
    <w:p w14:paraId="571D1D80" w14:textId="5F86C11D" w:rsidR="58467045" w:rsidRDefault="58467045" w:rsidP="58467045">
      <w:pPr>
        <w:pStyle w:val="Heading1"/>
      </w:pPr>
      <w:r w:rsidRPr="58467045">
        <w:rPr>
          <w:color w:val="794E1F"/>
        </w:rPr>
        <w:lastRenderedPageBreak/>
        <w:t>4. Gap analysis</w:t>
      </w:r>
    </w:p>
    <w:p w14:paraId="3766C3BB" w14:textId="16C0A910" w:rsidR="58467045" w:rsidRDefault="58467045">
      <w:r>
        <w:t xml:space="preserve">Severity reflects the combination of regulatory exposure and how far the current position sits from the required one. Every row below </w:t>
      </w:r>
      <w:proofErr w:type="gramStart"/>
      <w:r>
        <w:t>traces</w:t>
      </w:r>
      <w:proofErr w:type="gramEnd"/>
      <w:r>
        <w:t xml:space="preserve"> to a document, message or task record found in the environment.</w:t>
      </w:r>
    </w:p>
    <w:tbl>
      <w:tblPr>
        <w:tblStyle w:val="TableGrid"/>
        <w:tblW w:w="0" w:type="auto"/>
        <w:tblLook w:val="0000" w:firstRow="0" w:lastRow="0" w:firstColumn="0" w:lastColumn="0" w:noHBand="0" w:noVBand="0"/>
      </w:tblPr>
      <w:tblGrid>
        <w:gridCol w:w="1638"/>
        <w:gridCol w:w="2333"/>
        <w:gridCol w:w="2371"/>
        <w:gridCol w:w="1909"/>
        <w:gridCol w:w="991"/>
      </w:tblGrid>
      <w:tr w:rsidR="58467045" w14:paraId="365FDBEE" w14:textId="77777777" w:rsidTr="58467045">
        <w:tc>
          <w:tcPr>
            <w:tcW w:w="1700" w:type="dxa"/>
          </w:tcPr>
          <w:p w14:paraId="66C9B1EB" w14:textId="582BCBE2" w:rsidR="58467045" w:rsidRDefault="58467045">
            <w:r>
              <w:t>Area</w:t>
            </w:r>
          </w:p>
        </w:tc>
        <w:tc>
          <w:tcPr>
            <w:tcW w:w="2500" w:type="dxa"/>
          </w:tcPr>
          <w:p w14:paraId="5C7FBECC" w14:textId="5109B2A6" w:rsidR="58467045" w:rsidRDefault="58467045">
            <w:r>
              <w:t>Requirement</w:t>
            </w:r>
          </w:p>
        </w:tc>
        <w:tc>
          <w:tcPr>
            <w:tcW w:w="2500" w:type="dxa"/>
          </w:tcPr>
          <w:p w14:paraId="51AB9714" w14:textId="49E7996A" w:rsidR="58467045" w:rsidRDefault="58467045">
            <w:r>
              <w:t>Current position</w:t>
            </w:r>
          </w:p>
        </w:tc>
        <w:tc>
          <w:tcPr>
            <w:tcW w:w="2000" w:type="dxa"/>
          </w:tcPr>
          <w:p w14:paraId="29E1A072" w14:textId="42C5802E" w:rsidR="58467045" w:rsidRDefault="58467045">
            <w:r>
              <w:t>Gap</w:t>
            </w:r>
          </w:p>
        </w:tc>
        <w:tc>
          <w:tcPr>
            <w:tcW w:w="900" w:type="dxa"/>
          </w:tcPr>
          <w:p w14:paraId="2AFF22DE" w14:textId="3BA366F2" w:rsidR="58467045" w:rsidRDefault="58467045">
            <w:r>
              <w:t>Severity</w:t>
            </w:r>
          </w:p>
        </w:tc>
      </w:tr>
      <w:tr w:rsidR="58467045" w14:paraId="5306520A" w14:textId="77777777" w:rsidTr="58467045">
        <w:tc>
          <w:tcPr>
            <w:tcW w:w="1700" w:type="dxa"/>
          </w:tcPr>
          <w:p w14:paraId="7B50556D" w14:textId="52B8C767" w:rsidR="58467045" w:rsidRDefault="58467045">
            <w:r>
              <w:t>AI system inventory and risk tiering</w:t>
            </w:r>
          </w:p>
        </w:tc>
        <w:tc>
          <w:tcPr>
            <w:tcW w:w="2500" w:type="dxa"/>
          </w:tcPr>
          <w:p w14:paraId="41B01C0B" w14:textId="4B96AE2B" w:rsidR="58467045" w:rsidRDefault="58467045">
            <w:r>
              <w:t>High-risk and transparency duties applied from 2 August 2026; obligations depend on classifying each system</w:t>
            </w:r>
          </w:p>
        </w:tc>
        <w:tc>
          <w:tcPr>
            <w:tcW w:w="2500" w:type="dxa"/>
          </w:tcPr>
          <w:p w14:paraId="3F36D9CB" w14:textId="447494EF" w:rsidR="58467045" w:rsidRDefault="58467045">
            <w:r>
              <w:t>No inventory or risk classification of deployed agents found</w:t>
            </w:r>
          </w:p>
        </w:tc>
        <w:tc>
          <w:tcPr>
            <w:tcW w:w="2000" w:type="dxa"/>
          </w:tcPr>
          <w:p w14:paraId="399B612B" w14:textId="3D527BB3" w:rsidR="58467045" w:rsidRDefault="58467045">
            <w:r>
              <w:t>No basis to know which systems attract high-risk obligations</w:t>
            </w:r>
          </w:p>
        </w:tc>
        <w:tc>
          <w:tcPr>
            <w:tcW w:w="900" w:type="dxa"/>
          </w:tcPr>
          <w:p w14:paraId="4C4A2F8D" w14:textId="36306277" w:rsidR="58467045" w:rsidRDefault="58467045">
            <w:r>
              <w:t>High</w:t>
            </w:r>
          </w:p>
        </w:tc>
      </w:tr>
      <w:tr w:rsidR="58467045" w14:paraId="78320F0C" w14:textId="77777777" w:rsidTr="58467045">
        <w:tc>
          <w:tcPr>
            <w:tcW w:w="1700" w:type="dxa"/>
          </w:tcPr>
          <w:p w14:paraId="10CA5D83" w14:textId="4D45C2EC" w:rsidR="58467045" w:rsidRDefault="58467045">
            <w:r>
              <w:t>Compliance criteria for agent behaviour</w:t>
            </w:r>
          </w:p>
        </w:tc>
        <w:tc>
          <w:tcPr>
            <w:tcW w:w="2500" w:type="dxa"/>
          </w:tcPr>
          <w:p w14:paraId="2ED64E3B" w14:textId="4623A9B0" w:rsidR="58467045" w:rsidRDefault="58467045">
            <w:r>
              <w:t>Policy Book commits to regulatory alignment with the EU AI Act</w:t>
            </w:r>
          </w:p>
        </w:tc>
        <w:tc>
          <w:tcPr>
            <w:tcW w:w="2500" w:type="dxa"/>
          </w:tcPr>
          <w:p w14:paraId="6F31BFAA" w14:textId="3F019074" w:rsidR="58467045" w:rsidRDefault="58467045">
            <w:r>
              <w:t>Tracked as ZAG-5 and reported overdue</w:t>
            </w:r>
          </w:p>
        </w:tc>
        <w:tc>
          <w:tcPr>
            <w:tcW w:w="2000" w:type="dxa"/>
          </w:tcPr>
          <w:p w14:paraId="2AB41224" w14:textId="37DF7738" w:rsidR="58467045" w:rsidRDefault="58467045">
            <w:r>
              <w:t>Agents run without defined, testable behavioural controls</w:t>
            </w:r>
          </w:p>
        </w:tc>
        <w:tc>
          <w:tcPr>
            <w:tcW w:w="900" w:type="dxa"/>
          </w:tcPr>
          <w:p w14:paraId="48054B20" w14:textId="30BD5DFC" w:rsidR="58467045" w:rsidRDefault="58467045">
            <w:r>
              <w:t>High</w:t>
            </w:r>
          </w:p>
        </w:tc>
      </w:tr>
      <w:tr w:rsidR="58467045" w14:paraId="104B152A" w14:textId="77777777" w:rsidTr="58467045">
        <w:tc>
          <w:tcPr>
            <w:tcW w:w="1700" w:type="dxa"/>
          </w:tcPr>
          <w:p w14:paraId="509BA8B0" w14:textId="47D2BE71" w:rsidR="58467045" w:rsidRDefault="58467045">
            <w:r>
              <w:t>Data protection impact assessment</w:t>
            </w:r>
          </w:p>
        </w:tc>
        <w:tc>
          <w:tcPr>
            <w:tcW w:w="2500" w:type="dxa"/>
          </w:tcPr>
          <w:p w14:paraId="7EB8EFA7" w14:textId="40B0A535" w:rsidR="58467045" w:rsidRDefault="58467045">
            <w:r>
              <w:t>Enforcement now centres on lawfulness of processing and transparency, with automated decision-making a primary target</w:t>
            </w:r>
          </w:p>
        </w:tc>
        <w:tc>
          <w:tcPr>
            <w:tcW w:w="2500" w:type="dxa"/>
          </w:tcPr>
          <w:p w14:paraId="7543E5EC" w14:textId="398E8BF9" w:rsidR="58467045" w:rsidRDefault="58467045">
            <w:r>
              <w:t>No assessment of any AI system found in the environment</w:t>
            </w:r>
          </w:p>
        </w:tc>
        <w:tc>
          <w:tcPr>
            <w:tcW w:w="2000" w:type="dxa"/>
          </w:tcPr>
          <w:p w14:paraId="6097B616" w14:textId="326C72BD" w:rsidR="58467045" w:rsidRDefault="58467045">
            <w:r>
              <w:t>Lawful basis and transparency cannot be evidenced on request</w:t>
            </w:r>
          </w:p>
        </w:tc>
        <w:tc>
          <w:tcPr>
            <w:tcW w:w="900" w:type="dxa"/>
          </w:tcPr>
          <w:p w14:paraId="215BB909" w14:textId="2B4A5981" w:rsidR="58467045" w:rsidRDefault="58467045">
            <w:r>
              <w:t>High</w:t>
            </w:r>
          </w:p>
        </w:tc>
      </w:tr>
      <w:tr w:rsidR="58467045" w14:paraId="1CEC670B" w14:textId="77777777" w:rsidTr="58467045">
        <w:tc>
          <w:tcPr>
            <w:tcW w:w="1700" w:type="dxa"/>
          </w:tcPr>
          <w:p w14:paraId="621D57A7" w14:textId="425FB9F6" w:rsidR="58467045" w:rsidRDefault="58467045">
            <w:r>
              <w:t>DLP and PII redaction</w:t>
            </w:r>
          </w:p>
        </w:tc>
        <w:tc>
          <w:tcPr>
            <w:tcW w:w="2500" w:type="dxa"/>
          </w:tcPr>
          <w:p w14:paraId="7D4C0598" w14:textId="3B3DA0BA" w:rsidR="58467045" w:rsidRDefault="58467045">
            <w:r>
              <w:t>Quick-Start Checklist requires DLP policies in Copilot Studio and PII redaction on all AI outputs</w:t>
            </w:r>
          </w:p>
        </w:tc>
        <w:tc>
          <w:tcPr>
            <w:tcW w:w="2500" w:type="dxa"/>
          </w:tcPr>
          <w:p w14:paraId="7DD92DE0" w14:textId="341B877E" w:rsidR="58467045" w:rsidRDefault="58467045">
            <w:r>
              <w:t>Specified as a checklist item; no record of deployment or testing</w:t>
            </w:r>
          </w:p>
        </w:tc>
        <w:tc>
          <w:tcPr>
            <w:tcW w:w="2000" w:type="dxa"/>
          </w:tcPr>
          <w:p w14:paraId="13624508" w14:textId="2CF96E42" w:rsidR="58467045" w:rsidRDefault="58467045">
            <w:r>
              <w:t>Control effectiveness unverified</w:t>
            </w:r>
          </w:p>
        </w:tc>
        <w:tc>
          <w:tcPr>
            <w:tcW w:w="900" w:type="dxa"/>
          </w:tcPr>
          <w:p w14:paraId="1997DC79" w14:textId="25D75506" w:rsidR="58467045" w:rsidRDefault="58467045">
            <w:r>
              <w:t>High</w:t>
            </w:r>
          </w:p>
        </w:tc>
      </w:tr>
      <w:tr w:rsidR="58467045" w14:paraId="6F3D9E5D" w14:textId="77777777" w:rsidTr="58467045">
        <w:tc>
          <w:tcPr>
            <w:tcW w:w="1700" w:type="dxa"/>
          </w:tcPr>
          <w:p w14:paraId="74F0E8D3" w14:textId="3CECB57B" w:rsidR="58467045" w:rsidRDefault="58467045">
            <w:r>
              <w:t>Data residency</w:t>
            </w:r>
          </w:p>
        </w:tc>
        <w:tc>
          <w:tcPr>
            <w:tcW w:w="2500" w:type="dxa"/>
          </w:tcPr>
          <w:p w14:paraId="1A3EF522" w14:textId="35CA9C3F" w:rsidR="58467045" w:rsidRDefault="58467045">
            <w:r>
              <w:t>Policy commits to residency enforcement covering the EU Data Boundary, GDPR and HIPAA</w:t>
            </w:r>
          </w:p>
        </w:tc>
        <w:tc>
          <w:tcPr>
            <w:tcW w:w="2500" w:type="dxa"/>
          </w:tcPr>
          <w:p w14:paraId="2CEAE9E5" w14:textId="2EA88303" w:rsidR="58467045" w:rsidRDefault="58467045">
            <w:r>
              <w:t>Committed in policy; no configuration or attestation evidence</w:t>
            </w:r>
          </w:p>
        </w:tc>
        <w:tc>
          <w:tcPr>
            <w:tcW w:w="2000" w:type="dxa"/>
          </w:tcPr>
          <w:p w14:paraId="1E3D421E" w14:textId="278669C7" w:rsidR="58467045" w:rsidRDefault="58467045">
            <w:r>
              <w:t>Residency unproven for EU personal data in AI workflows</w:t>
            </w:r>
          </w:p>
        </w:tc>
        <w:tc>
          <w:tcPr>
            <w:tcW w:w="900" w:type="dxa"/>
          </w:tcPr>
          <w:p w14:paraId="4041C7F9" w14:textId="2064508B" w:rsidR="58467045" w:rsidRDefault="58467045">
            <w:r>
              <w:t>Medium</w:t>
            </w:r>
          </w:p>
        </w:tc>
      </w:tr>
      <w:tr w:rsidR="58467045" w14:paraId="52C474EF" w14:textId="77777777" w:rsidTr="58467045">
        <w:tc>
          <w:tcPr>
            <w:tcW w:w="1700" w:type="dxa"/>
          </w:tcPr>
          <w:p w14:paraId="44CED483" w14:textId="3779B100" w:rsidR="58467045" w:rsidRDefault="58467045">
            <w:r>
              <w:t>Third-party AI data use</w:t>
            </w:r>
          </w:p>
        </w:tc>
        <w:tc>
          <w:tcPr>
            <w:tcW w:w="2500" w:type="dxa"/>
          </w:tcPr>
          <w:p w14:paraId="4B6D280B" w14:textId="305797C4" w:rsidR="58467045" w:rsidRDefault="58467045">
            <w:r>
              <w:t>Vendor changes to customer-data use require review before they take effect</w:t>
            </w:r>
          </w:p>
        </w:tc>
        <w:tc>
          <w:tcPr>
            <w:tcW w:w="2500" w:type="dxa"/>
          </w:tcPr>
          <w:p w14:paraId="4D438B2E" w14:textId="29357E88" w:rsidR="58467045" w:rsidRDefault="58467045">
            <w:r>
              <w:t>Atlassian change effective 17 August 2026; notice received 30 July 2026, no assessment recorded</w:t>
            </w:r>
          </w:p>
        </w:tc>
        <w:tc>
          <w:tcPr>
            <w:tcW w:w="2000" w:type="dxa"/>
          </w:tcPr>
          <w:p w14:paraId="3BF489E8" w14:textId="2213654C" w:rsidR="58467045" w:rsidRDefault="58467045">
            <w:r>
              <w:t>Supplier processing change accepted by default</w:t>
            </w:r>
          </w:p>
        </w:tc>
        <w:tc>
          <w:tcPr>
            <w:tcW w:w="900" w:type="dxa"/>
          </w:tcPr>
          <w:p w14:paraId="684A5E22" w14:textId="1AF14C10" w:rsidR="58467045" w:rsidRDefault="58467045">
            <w:r>
              <w:t>Medium</w:t>
            </w:r>
          </w:p>
        </w:tc>
      </w:tr>
      <w:tr w:rsidR="58467045" w14:paraId="1CC87E01" w14:textId="77777777" w:rsidTr="58467045">
        <w:tc>
          <w:tcPr>
            <w:tcW w:w="1700" w:type="dxa"/>
          </w:tcPr>
          <w:p w14:paraId="5626E33A" w14:textId="3206AC85" w:rsidR="58467045" w:rsidRDefault="58467045">
            <w:r>
              <w:t>Connector and platform integrity</w:t>
            </w:r>
          </w:p>
        </w:tc>
        <w:tc>
          <w:tcPr>
            <w:tcW w:w="2500" w:type="dxa"/>
          </w:tcPr>
          <w:p w14:paraId="2A1965DF" w14:textId="2AE49349" w:rsidR="58467045" w:rsidRDefault="58467045">
            <w:r>
              <w:t>Flagged risks require timely remediation and a recorded disposition</w:t>
            </w:r>
          </w:p>
        </w:tc>
        <w:tc>
          <w:tcPr>
            <w:tcW w:w="2500" w:type="dxa"/>
          </w:tcPr>
          <w:p w14:paraId="415241F9" w14:textId="23C27A0D" w:rsidR="58467045" w:rsidRDefault="58467045">
            <w:r>
              <w:t>ServiceNow (21 August) and Jira (12 August) issues open; six medium Power Apps findings undispositioned</w:t>
            </w:r>
          </w:p>
        </w:tc>
        <w:tc>
          <w:tcPr>
            <w:tcW w:w="2000" w:type="dxa"/>
          </w:tcPr>
          <w:p w14:paraId="6AE0F03B" w14:textId="1CA060D1" w:rsidR="58467045" w:rsidRDefault="58467045">
            <w:r>
              <w:t>Known defects ageing without owner or closure date</w:t>
            </w:r>
          </w:p>
        </w:tc>
        <w:tc>
          <w:tcPr>
            <w:tcW w:w="900" w:type="dxa"/>
          </w:tcPr>
          <w:p w14:paraId="1276C0EA" w14:textId="157E4795" w:rsidR="58467045" w:rsidRDefault="58467045">
            <w:r>
              <w:t>Medium</w:t>
            </w:r>
          </w:p>
        </w:tc>
      </w:tr>
      <w:tr w:rsidR="58467045" w14:paraId="76C05169" w14:textId="77777777" w:rsidTr="58467045">
        <w:tc>
          <w:tcPr>
            <w:tcW w:w="1700" w:type="dxa"/>
          </w:tcPr>
          <w:p w14:paraId="13E05A82" w14:textId="2C93A80A" w:rsidR="58467045" w:rsidRDefault="58467045">
            <w:r>
              <w:t>Governance operating evidence</w:t>
            </w:r>
          </w:p>
        </w:tc>
        <w:tc>
          <w:tcPr>
            <w:tcW w:w="2500" w:type="dxa"/>
          </w:tcPr>
          <w:p w14:paraId="341D9C96" w14:textId="25718ECE" w:rsidR="58467045" w:rsidRDefault="58467045">
            <w:r>
              <w:t>A governance model with clear roles, and a completed framework mapping, are the standard audit asks</w:t>
            </w:r>
          </w:p>
        </w:tc>
        <w:tc>
          <w:tcPr>
            <w:tcW w:w="2500" w:type="dxa"/>
          </w:tcPr>
          <w:p w14:paraId="14A5CB16" w14:textId="1E4F7592" w:rsidR="58467045" w:rsidRDefault="58467045">
            <w:r>
              <w:t>RACI names roles but no individuals; NIST templates and questionnaires held but unfilled</w:t>
            </w:r>
          </w:p>
        </w:tc>
        <w:tc>
          <w:tcPr>
            <w:tcW w:w="2000" w:type="dxa"/>
          </w:tcPr>
          <w:p w14:paraId="3A8D6658" w14:textId="172D5C56" w:rsidR="58467045" w:rsidRDefault="58467045">
            <w:r>
              <w:t xml:space="preserve">No audit-ready evidence </w:t>
            </w:r>
            <w:proofErr w:type="gramStart"/>
            <w:r>
              <w:t>trail</w:t>
            </w:r>
            <w:proofErr w:type="gramEnd"/>
            <w:r>
              <w:t xml:space="preserve"> behind the policy</w:t>
            </w:r>
          </w:p>
        </w:tc>
        <w:tc>
          <w:tcPr>
            <w:tcW w:w="900" w:type="dxa"/>
          </w:tcPr>
          <w:p w14:paraId="5CCD908B" w14:textId="100B431A" w:rsidR="58467045" w:rsidRDefault="58467045">
            <w:r>
              <w:t>Medium</w:t>
            </w:r>
          </w:p>
        </w:tc>
      </w:tr>
    </w:tbl>
    <w:p w14:paraId="6D99C8F7" w14:textId="477CA349" w:rsidR="58467045" w:rsidRDefault="58467045">
      <w:r>
        <w:t xml:space="preserve"> </w:t>
      </w:r>
    </w:p>
    <w:p w14:paraId="67D4F202" w14:textId="180C3B7D" w:rsidR="58467045" w:rsidRDefault="58467045" w:rsidP="58467045">
      <w:pPr>
        <w:pStyle w:val="Heading1"/>
      </w:pPr>
      <w:r w:rsidRPr="58467045">
        <w:rPr>
          <w:color w:val="794E1F"/>
        </w:rPr>
        <w:lastRenderedPageBreak/>
        <w:t>5. Prioritised remediation actions</w:t>
      </w:r>
    </w:p>
    <w:p w14:paraId="5A052332" w14:textId="47AC0656" w:rsidR="58467045" w:rsidRDefault="58467045">
      <w:r>
        <w:t>Owners below are drawn from the RACI matrix in the AI Governance Actionable Strategy Plan, which assigns roles rather than named individuals. Confirming the person behind each role is itself the first action, since an unassigned control is indistinguishable from an absent one.</w:t>
      </w:r>
    </w:p>
    <w:tbl>
      <w:tblPr>
        <w:tblStyle w:val="TableGrid"/>
        <w:tblW w:w="0" w:type="auto"/>
        <w:tblLook w:val="0000" w:firstRow="0" w:lastRow="0" w:firstColumn="0" w:lastColumn="0" w:noHBand="0" w:noVBand="0"/>
      </w:tblPr>
      <w:tblGrid>
        <w:gridCol w:w="948"/>
        <w:gridCol w:w="2695"/>
        <w:gridCol w:w="2367"/>
        <w:gridCol w:w="2080"/>
        <w:gridCol w:w="1152"/>
      </w:tblGrid>
      <w:tr w:rsidR="58467045" w14:paraId="7854C074" w14:textId="77777777" w:rsidTr="58467045">
        <w:tc>
          <w:tcPr>
            <w:tcW w:w="800" w:type="dxa"/>
          </w:tcPr>
          <w:p w14:paraId="295ACD05" w14:textId="11BA57DB" w:rsidR="58467045" w:rsidRDefault="58467045">
            <w:r>
              <w:t>Priority</w:t>
            </w:r>
          </w:p>
        </w:tc>
        <w:tc>
          <w:tcPr>
            <w:tcW w:w="2900" w:type="dxa"/>
          </w:tcPr>
          <w:p w14:paraId="5644D235" w14:textId="0A983E9F" w:rsidR="58467045" w:rsidRDefault="58467045">
            <w:r>
              <w:t>Action</w:t>
            </w:r>
          </w:p>
        </w:tc>
        <w:tc>
          <w:tcPr>
            <w:tcW w:w="2500" w:type="dxa"/>
          </w:tcPr>
          <w:p w14:paraId="66C492F9" w14:textId="03762563" w:rsidR="58467045" w:rsidRDefault="58467045">
            <w:r>
              <w:t>Why now</w:t>
            </w:r>
          </w:p>
        </w:tc>
        <w:tc>
          <w:tcPr>
            <w:tcW w:w="2200" w:type="dxa"/>
          </w:tcPr>
          <w:p w14:paraId="1926CA53" w14:textId="7C540C27" w:rsidR="58467045" w:rsidRDefault="58467045">
            <w:r>
              <w:t>Owner (role)</w:t>
            </w:r>
          </w:p>
        </w:tc>
        <w:tc>
          <w:tcPr>
            <w:tcW w:w="1200" w:type="dxa"/>
          </w:tcPr>
          <w:p w14:paraId="6746ABC5" w14:textId="7531F2EB" w:rsidR="58467045" w:rsidRDefault="58467045">
            <w:r>
              <w:t>Target</w:t>
            </w:r>
          </w:p>
        </w:tc>
      </w:tr>
      <w:tr w:rsidR="58467045" w14:paraId="76E0DCB3" w14:textId="77777777" w:rsidTr="58467045">
        <w:tc>
          <w:tcPr>
            <w:tcW w:w="800" w:type="dxa"/>
          </w:tcPr>
          <w:p w14:paraId="65148503" w14:textId="0C475360" w:rsidR="58467045" w:rsidRDefault="58467045">
            <w:r>
              <w:t>P1</w:t>
            </w:r>
          </w:p>
        </w:tc>
        <w:tc>
          <w:tcPr>
            <w:tcW w:w="2900" w:type="dxa"/>
          </w:tcPr>
          <w:p w14:paraId="6740721F" w14:textId="05253A24" w:rsidR="58467045" w:rsidRDefault="58467045">
            <w:r>
              <w:t>Name a person against every role in the RACI matrix and publish the list</w:t>
            </w:r>
          </w:p>
        </w:tc>
        <w:tc>
          <w:tcPr>
            <w:tcW w:w="2500" w:type="dxa"/>
          </w:tcPr>
          <w:p w14:paraId="2EFDCB64" w14:textId="7E0320E8" w:rsidR="58467045" w:rsidRDefault="58467045">
            <w:r>
              <w:t>Every action below is blocked on it; auditors ask for named accountability first</w:t>
            </w:r>
          </w:p>
        </w:tc>
        <w:tc>
          <w:tcPr>
            <w:tcW w:w="2200" w:type="dxa"/>
          </w:tcPr>
          <w:p w14:paraId="4E0597C4" w14:textId="76E107AC" w:rsidR="58467045" w:rsidRDefault="58467045">
            <w:r>
              <w:t>AI Governance Lead, accountable to the CIO</w:t>
            </w:r>
          </w:p>
        </w:tc>
        <w:tc>
          <w:tcPr>
            <w:tcW w:w="1200" w:type="dxa"/>
          </w:tcPr>
          <w:p w14:paraId="6759F3D4" w14:textId="6FBEEE70" w:rsidR="58467045" w:rsidRDefault="58467045">
            <w:r>
              <w:t>Within 1 week</w:t>
            </w:r>
          </w:p>
        </w:tc>
      </w:tr>
      <w:tr w:rsidR="58467045" w14:paraId="3D6DBCEF" w14:textId="77777777" w:rsidTr="58467045">
        <w:tc>
          <w:tcPr>
            <w:tcW w:w="800" w:type="dxa"/>
          </w:tcPr>
          <w:p w14:paraId="6DCD9CEB" w14:textId="06D44EE5" w:rsidR="58467045" w:rsidRDefault="58467045">
            <w:r>
              <w:t>P1</w:t>
            </w:r>
          </w:p>
        </w:tc>
        <w:tc>
          <w:tcPr>
            <w:tcW w:w="2900" w:type="dxa"/>
          </w:tcPr>
          <w:p w14:paraId="1DADC7B6" w14:textId="7FB235A9" w:rsidR="58467045" w:rsidRDefault="58467045">
            <w:r>
              <w:t>Close ZAG-5 by publishing compliance criteria for agent behaviour, and complete ZAG-4 scoping</w:t>
            </w:r>
          </w:p>
        </w:tc>
        <w:tc>
          <w:tcPr>
            <w:tcW w:w="2500" w:type="dxa"/>
          </w:tcPr>
          <w:p w14:paraId="71F579B2" w14:textId="78901C6D" w:rsidR="58467045" w:rsidRDefault="58467045">
            <w:r>
              <w:t>Already overdue, and the dependency for testing every other AI control</w:t>
            </w:r>
          </w:p>
        </w:tc>
        <w:tc>
          <w:tcPr>
            <w:tcW w:w="2200" w:type="dxa"/>
          </w:tcPr>
          <w:p w14:paraId="3D5A904E" w14:textId="716E0331" w:rsidR="58467045" w:rsidRDefault="58467045">
            <w:r>
              <w:t>AI Governance Lead</w:t>
            </w:r>
          </w:p>
        </w:tc>
        <w:tc>
          <w:tcPr>
            <w:tcW w:w="1200" w:type="dxa"/>
          </w:tcPr>
          <w:p w14:paraId="6CFE0C34" w14:textId="6A4BE9F5" w:rsidR="58467045" w:rsidRDefault="58467045">
            <w:r>
              <w:t>Within 2 weeks</w:t>
            </w:r>
          </w:p>
        </w:tc>
      </w:tr>
      <w:tr w:rsidR="58467045" w14:paraId="45422928" w14:textId="77777777" w:rsidTr="58467045">
        <w:tc>
          <w:tcPr>
            <w:tcW w:w="800" w:type="dxa"/>
          </w:tcPr>
          <w:p w14:paraId="57CD2BD5" w14:textId="01614A6A" w:rsidR="58467045" w:rsidRDefault="58467045">
            <w:r>
              <w:t>P1</w:t>
            </w:r>
          </w:p>
        </w:tc>
        <w:tc>
          <w:tcPr>
            <w:tcW w:w="2900" w:type="dxa"/>
          </w:tcPr>
          <w:p w14:paraId="2F152F6A" w14:textId="7A3F312E" w:rsidR="58467045" w:rsidRDefault="58467045">
            <w:r>
              <w:t>Build an inventory of deployed AI agents and classify each against the Act's risk tiers</w:t>
            </w:r>
          </w:p>
        </w:tc>
        <w:tc>
          <w:tcPr>
            <w:tcW w:w="2500" w:type="dxa"/>
          </w:tcPr>
          <w:p w14:paraId="74DFC85E" w14:textId="731D17F2" w:rsidR="58467045" w:rsidRDefault="58467045">
            <w:r>
              <w:t>High-risk and transparency duties have applied since 2 August 2026</w:t>
            </w:r>
          </w:p>
        </w:tc>
        <w:tc>
          <w:tcPr>
            <w:tcW w:w="2200" w:type="dxa"/>
          </w:tcPr>
          <w:p w14:paraId="1FA1C964" w14:textId="6BFAFEB6" w:rsidR="58467045" w:rsidRDefault="58467045">
            <w:r>
              <w:t>AI Governance Lead with Platform Admin</w:t>
            </w:r>
          </w:p>
        </w:tc>
        <w:tc>
          <w:tcPr>
            <w:tcW w:w="1200" w:type="dxa"/>
          </w:tcPr>
          <w:p w14:paraId="62DB6C22" w14:textId="64D8E57A" w:rsidR="58467045" w:rsidRDefault="58467045">
            <w:r>
              <w:t>Within 3 weeks</w:t>
            </w:r>
          </w:p>
        </w:tc>
      </w:tr>
      <w:tr w:rsidR="58467045" w14:paraId="74F80FD1" w14:textId="77777777" w:rsidTr="58467045">
        <w:tc>
          <w:tcPr>
            <w:tcW w:w="800" w:type="dxa"/>
          </w:tcPr>
          <w:p w14:paraId="60760008" w14:textId="7BEE45EF" w:rsidR="58467045" w:rsidRDefault="58467045">
            <w:r>
              <w:t>P1</w:t>
            </w:r>
          </w:p>
        </w:tc>
        <w:tc>
          <w:tcPr>
            <w:tcW w:w="2900" w:type="dxa"/>
          </w:tcPr>
          <w:p w14:paraId="4229EE17" w14:textId="74CC2CB3" w:rsidR="58467045" w:rsidRDefault="58467045">
            <w:r>
              <w:t>Remediate the ServiceNow and Jira connector issues and record the disposition</w:t>
            </w:r>
          </w:p>
        </w:tc>
        <w:tc>
          <w:tcPr>
            <w:tcW w:w="2500" w:type="dxa"/>
          </w:tcPr>
          <w:p w14:paraId="34F98927" w14:textId="6DAA1377" w:rsidR="58467045" w:rsidRDefault="58467045">
            <w:r>
              <w:t>Both are already flagged as compliance and data-integrity risks and are ageing</w:t>
            </w:r>
          </w:p>
        </w:tc>
        <w:tc>
          <w:tcPr>
            <w:tcW w:w="2200" w:type="dxa"/>
          </w:tcPr>
          <w:p w14:paraId="76093AFD" w14:textId="6687FA3B" w:rsidR="58467045" w:rsidRDefault="58467045">
            <w:r>
              <w:t>Platform Admin, accountable to the IT Director</w:t>
            </w:r>
          </w:p>
        </w:tc>
        <w:tc>
          <w:tcPr>
            <w:tcW w:w="1200" w:type="dxa"/>
          </w:tcPr>
          <w:p w14:paraId="6C573321" w14:textId="5F65E0FF" w:rsidR="58467045" w:rsidRDefault="58467045">
            <w:r>
              <w:t>Within 2 weeks</w:t>
            </w:r>
          </w:p>
        </w:tc>
      </w:tr>
      <w:tr w:rsidR="58467045" w14:paraId="2B7FA537" w14:textId="77777777" w:rsidTr="58467045">
        <w:tc>
          <w:tcPr>
            <w:tcW w:w="800" w:type="dxa"/>
          </w:tcPr>
          <w:p w14:paraId="4EC973B5" w14:textId="767B4174" w:rsidR="58467045" w:rsidRDefault="58467045">
            <w:r>
              <w:t>P2</w:t>
            </w:r>
          </w:p>
        </w:tc>
        <w:tc>
          <w:tcPr>
            <w:tcW w:w="2900" w:type="dxa"/>
          </w:tcPr>
          <w:p w14:paraId="5A663A92" w14:textId="6F592838" w:rsidR="58467045" w:rsidRDefault="58467045">
            <w:r>
              <w:t>Complete a data protection impact assessment for each agent that touches personal data</w:t>
            </w:r>
          </w:p>
        </w:tc>
        <w:tc>
          <w:tcPr>
            <w:tcW w:w="2500" w:type="dxa"/>
          </w:tcPr>
          <w:p w14:paraId="5672BA2F" w14:textId="68370EFC" w:rsidR="58467045" w:rsidRDefault="58467045">
            <w:r>
              <w:t>Lawfulness and transparency are where enforcement is concentrating</w:t>
            </w:r>
          </w:p>
        </w:tc>
        <w:tc>
          <w:tcPr>
            <w:tcW w:w="2200" w:type="dxa"/>
          </w:tcPr>
          <w:p w14:paraId="4E9CB5E5" w14:textId="6114F5C0" w:rsidR="58467045" w:rsidRDefault="58467045">
            <w:r>
              <w:t>Compliance Officer with the Security Officer</w:t>
            </w:r>
          </w:p>
        </w:tc>
        <w:tc>
          <w:tcPr>
            <w:tcW w:w="1200" w:type="dxa"/>
          </w:tcPr>
          <w:p w14:paraId="1223D863" w14:textId="59F2DC84" w:rsidR="58467045" w:rsidRDefault="58467045">
            <w:r>
              <w:t>Within 6 weeks</w:t>
            </w:r>
          </w:p>
        </w:tc>
      </w:tr>
      <w:tr w:rsidR="58467045" w14:paraId="60EA9822" w14:textId="77777777" w:rsidTr="58467045">
        <w:tc>
          <w:tcPr>
            <w:tcW w:w="800" w:type="dxa"/>
          </w:tcPr>
          <w:p w14:paraId="734C5704" w14:textId="71083CF9" w:rsidR="58467045" w:rsidRDefault="58467045">
            <w:r>
              <w:t>P2</w:t>
            </w:r>
          </w:p>
        </w:tc>
        <w:tc>
          <w:tcPr>
            <w:tcW w:w="2900" w:type="dxa"/>
          </w:tcPr>
          <w:p w14:paraId="46C8DEA0" w14:textId="69E623BD" w:rsidR="58467045" w:rsidRDefault="58467045">
            <w:r>
              <w:t>Verify DLP, PII redaction and EU Data Boundary settings in each environment and capture the evidence</w:t>
            </w:r>
          </w:p>
        </w:tc>
        <w:tc>
          <w:tcPr>
            <w:tcW w:w="2500" w:type="dxa"/>
          </w:tcPr>
          <w:p w14:paraId="6EBB38C3" w14:textId="62C40A81" w:rsidR="58467045" w:rsidRDefault="58467045">
            <w:r>
              <w:t xml:space="preserve">The controls are committed in </w:t>
            </w:r>
            <w:proofErr w:type="gramStart"/>
            <w:r>
              <w:t>policy</w:t>
            </w:r>
            <w:proofErr w:type="gramEnd"/>
            <w:r>
              <w:t xml:space="preserve"> but their operating state is unproven</w:t>
            </w:r>
          </w:p>
        </w:tc>
        <w:tc>
          <w:tcPr>
            <w:tcW w:w="2200" w:type="dxa"/>
          </w:tcPr>
          <w:p w14:paraId="279D942C" w14:textId="5BA1F145" w:rsidR="58467045" w:rsidRDefault="58467045">
            <w:r>
              <w:t>Security Officer, accountable to the Compliance Officer</w:t>
            </w:r>
          </w:p>
        </w:tc>
        <w:tc>
          <w:tcPr>
            <w:tcW w:w="1200" w:type="dxa"/>
          </w:tcPr>
          <w:p w14:paraId="60F896C3" w14:textId="547FD809" w:rsidR="58467045" w:rsidRDefault="58467045">
            <w:r>
              <w:t>Within 6 weeks</w:t>
            </w:r>
          </w:p>
        </w:tc>
      </w:tr>
      <w:tr w:rsidR="58467045" w14:paraId="33900C4E" w14:textId="77777777" w:rsidTr="58467045">
        <w:tc>
          <w:tcPr>
            <w:tcW w:w="800" w:type="dxa"/>
          </w:tcPr>
          <w:p w14:paraId="4465A2A3" w14:textId="6B95387E" w:rsidR="58467045" w:rsidRDefault="58467045">
            <w:r>
              <w:t>P3</w:t>
            </w:r>
          </w:p>
        </w:tc>
        <w:tc>
          <w:tcPr>
            <w:tcW w:w="2900" w:type="dxa"/>
          </w:tcPr>
          <w:p w14:paraId="4CCF36A4" w14:textId="64731F42" w:rsidR="58467045" w:rsidRDefault="58467045">
            <w:r>
              <w:t>Assess the Atlassian data-use change and the six medium Power Apps findings, and finish the Policy Book</w:t>
            </w:r>
          </w:p>
        </w:tc>
        <w:tc>
          <w:tcPr>
            <w:tcW w:w="2500" w:type="dxa"/>
          </w:tcPr>
          <w:p w14:paraId="2D67D0AF" w14:textId="5D510606" w:rsidR="58467045" w:rsidRDefault="58467045">
            <w:r>
              <w:t>Closes the vendor-review and document-completeness gaps ahead of any external audit</w:t>
            </w:r>
          </w:p>
        </w:tc>
        <w:tc>
          <w:tcPr>
            <w:tcW w:w="2200" w:type="dxa"/>
          </w:tcPr>
          <w:p w14:paraId="5D76EF5A" w14:textId="562EECCA" w:rsidR="58467045" w:rsidRDefault="58467045">
            <w:r>
              <w:t>Compliance Officer with the AI Governance Lead</w:t>
            </w:r>
          </w:p>
        </w:tc>
        <w:tc>
          <w:tcPr>
            <w:tcW w:w="1200" w:type="dxa"/>
          </w:tcPr>
          <w:p w14:paraId="3FF163CF" w14:textId="4F0CD38E" w:rsidR="58467045" w:rsidRDefault="58467045">
            <w:r>
              <w:t>Within 8 weeks</w:t>
            </w:r>
          </w:p>
        </w:tc>
      </w:tr>
    </w:tbl>
    <w:p w14:paraId="293F5D1C" w14:textId="1517203D" w:rsidR="58467045" w:rsidRDefault="58467045">
      <w:r>
        <w:t xml:space="preserve"> </w:t>
      </w:r>
    </w:p>
    <w:p w14:paraId="1B953268" w14:textId="3AE7F188" w:rsidR="58467045" w:rsidRDefault="58467045" w:rsidP="58467045">
      <w:pPr>
        <w:pStyle w:val="Heading1"/>
      </w:pPr>
      <w:r w:rsidRPr="58467045">
        <w:rPr>
          <w:color w:val="794E1F"/>
        </w:rPr>
        <w:t>Sources</w:t>
      </w:r>
    </w:p>
    <w:p w14:paraId="1227670A" w14:textId="5F4FB40B" w:rsidR="58467045" w:rsidRDefault="58467045">
      <w:r w:rsidRPr="58467045">
        <w:rPr>
          <w:sz w:val="20"/>
          <w:szCs w:val="20"/>
        </w:rPr>
        <w:t>Internal (Microsoft 365): AI Governance Policy Book (4 February 2026); AI Governance Quick-Start Checklist; AI Governance Strategy RACI; Daily Task Digest of 6 September 2026; Power Apps solution check notifications for the AI Agents Governance Hub (5 August 2026); Atlassian notice on cloud data use (30 July 2026); Azure retirement notice for the OpenAI Assistants APIs (18 August 2026); NIST AI RMF 100-1 and NIST playbook; Pillar 5 Security and Governance template; Operations assessment questionnaire.</w:t>
      </w:r>
    </w:p>
    <w:p w14:paraId="30BCE5D4" w14:textId="59998F94" w:rsidR="58467045" w:rsidRDefault="58467045">
      <w:r w:rsidRPr="58467045">
        <w:rPr>
          <w:sz w:val="20"/>
          <w:szCs w:val="20"/>
        </w:rPr>
        <w:t xml:space="preserve">External: Presenc AI, EU AI Act Enforcement Tracker 2026; AI Act Navigator, EU AI Act timeline and deadlines; Perplexity AI Magazine, EU AI Act Timeline 2026-2027; Axis Intelligence, EU AI Act Compliance Tracker; anonym.community, GDPR Enforcement Fines 2026 Tracker; gdpr-law.eu, GDPR Enforcement </w:t>
      </w:r>
      <w:r w:rsidRPr="58467045">
        <w:rPr>
          <w:sz w:val="20"/>
          <w:szCs w:val="20"/>
        </w:rPr>
        <w:lastRenderedPageBreak/>
        <w:t>Trends 2026; ComplianceStack, GDPR Enforcement by Country 2026; CMS GDPR Enforcement Tracker (enforcementtracker.com). Retrieved 7 September 2026.</w:t>
      </w:r>
    </w:p>
    <w:sectPr w:rsidR="58467045"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88105458">
    <w:abstractNumId w:val="8"/>
  </w:num>
  <w:num w:numId="2" w16cid:durableId="288122770">
    <w:abstractNumId w:val="6"/>
  </w:num>
  <w:num w:numId="3" w16cid:durableId="1542091737">
    <w:abstractNumId w:val="5"/>
  </w:num>
  <w:num w:numId="4" w16cid:durableId="429937789">
    <w:abstractNumId w:val="4"/>
  </w:num>
  <w:num w:numId="5" w16cid:durableId="260451447">
    <w:abstractNumId w:val="7"/>
  </w:num>
  <w:num w:numId="6" w16cid:durableId="817763512">
    <w:abstractNumId w:val="3"/>
  </w:num>
  <w:num w:numId="7" w16cid:durableId="1432310763">
    <w:abstractNumId w:val="2"/>
  </w:num>
  <w:num w:numId="8" w16cid:durableId="741564160">
    <w:abstractNumId w:val="1"/>
  </w:num>
  <w:num w:numId="9" w16cid:durableId="910433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78D6"/>
    <w:rsid w:val="0015074B"/>
    <w:rsid w:val="001679D8"/>
    <w:rsid w:val="0029639D"/>
    <w:rsid w:val="00326F90"/>
    <w:rsid w:val="005508DB"/>
    <w:rsid w:val="00955903"/>
    <w:rsid w:val="00A00827"/>
    <w:rsid w:val="00AA1D8D"/>
    <w:rsid w:val="00B47730"/>
    <w:rsid w:val="00CB0664"/>
    <w:rsid w:val="00FC693F"/>
    <w:rsid w:val="069E440B"/>
    <w:rsid w:val="2E23AF50"/>
    <w:rsid w:val="35204857"/>
    <w:rsid w:val="3707237B"/>
    <w:rsid w:val="3802A31E"/>
    <w:rsid w:val="3D88D324"/>
    <w:rsid w:val="43B0D6D3"/>
    <w:rsid w:val="46678B22"/>
    <w:rsid w:val="4DDB8969"/>
    <w:rsid w:val="5167B3A2"/>
    <w:rsid w:val="55DE9CB6"/>
    <w:rsid w:val="56AB25AC"/>
    <w:rsid w:val="58467045"/>
    <w:rsid w:val="680B99B9"/>
    <w:rsid w:val="696C4F84"/>
    <w:rsid w:val="6A624189"/>
    <w:rsid w:val="6B38847E"/>
    <w:rsid w:val="6C584256"/>
    <w:rsid w:val="74EE6916"/>
    <w:rsid w:val="75CD8AEE"/>
    <w:rsid w:val="79E5D823"/>
    <w:rsid w:val="7B14BD86"/>
    <w:rsid w:val="7D842C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66BC62F0-1F06-465A-B35E-0B5F19C08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410C10365B41458A488A2E06A7CDDA" ma:contentTypeVersion="16" ma:contentTypeDescription="Create a new document." ma:contentTypeScope="" ma:versionID="8fc8c9c986ff763fb0d30ebcc45645fb">
  <xsd:schema xmlns:xsd="http://www.w3.org/2001/XMLSchema" xmlns:xs="http://www.w3.org/2001/XMLSchema" xmlns:p="http://schemas.microsoft.com/office/2006/metadata/properties" xmlns:ns1="http://schemas.microsoft.com/sharepoint/v3" xmlns:ns2="debf2d1a-3119-443f-9311-2f3fb0fd7de8" xmlns:ns3="9ece1660-89e4-4efe-8613-f619625afc8d" targetNamespace="http://schemas.microsoft.com/office/2006/metadata/properties" ma:root="true" ma:fieldsID="8a6a739d9051ad82eb6b3b4cb1429ef8" ns1:_="" ns2:_="" ns3:_="">
    <xsd:import namespace="http://schemas.microsoft.com/sharepoint/v3"/>
    <xsd:import namespace="debf2d1a-3119-443f-9311-2f3fb0fd7de8"/>
    <xsd:import namespace="9ece1660-89e4-4efe-8613-f619625afc8d"/>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HasDigitalSignature" minOccurs="0"/>
                <xsd:element ref="ns2:DigitalSignatureProvider"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bf2d1a-3119-443f-9311-2f3fb0fd7de8"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HasDigitalSignature" ma:index="14" nillable="true" ma:displayName="Signed electronically" ma:internalName="HasDigitalSignature" ma:readOnly="true">
      <xsd:simpleType>
        <xsd:restriction base="dms:Boolean"/>
      </xsd:simpleType>
    </xsd:element>
    <xsd:element name="DigitalSignatureProvider" ma:index="15" nillable="true" ma:displayName="Signature provider" ma:internalName="DigitalSignatureProvider"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ce1660-89e4-4efe-8613-f619625afc8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f42c6ae-3fbc-4b15-b29b-26f803fb8319}" ma:internalName="TaxCatchAll" ma:showField="CatchAllData" ma:web="9ece1660-89e4-4efe-8613-f619625afc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ebf2d1a-3119-443f-9311-2f3fb0fd7de8">
      <Terms xmlns="http://schemas.microsoft.com/office/infopath/2007/PartnerControls"/>
    </lcf76f155ced4ddcb4097134ff3c332f>
    <TaxCatchAll xmlns="9ece1660-89e4-4efe-8613-f619625afc8d"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AA22F2D5-BCF4-42D7-A83E-7D4AB5CB6880}"/>
</file>

<file path=customXml/itemProps3.xml><?xml version="1.0" encoding="utf-8"?>
<ds:datastoreItem xmlns:ds="http://schemas.openxmlformats.org/officeDocument/2006/customXml" ds:itemID="{8B8D4900-E961-4DC6-BB19-83769854340C}"/>
</file>

<file path=customXml/itemProps4.xml><?xml version="1.0" encoding="utf-8"?>
<ds:datastoreItem xmlns:ds="http://schemas.openxmlformats.org/officeDocument/2006/customXml" ds:itemID="{E93779D6-C81E-4A0A-8A3E-A1447E4B90C3}"/>
</file>

<file path=docMetadata/LabelInfo.xml><?xml version="1.0" encoding="utf-8"?>
<clbl:labelList xmlns:clbl="http://schemas.microsoft.com/office/2020/mipLabelMetadata">
  <clbl:label id="{3b9917a3-e84c-4503-9de4-49e31e5f2dc2}" enabled="0" method="" siteId="{3b9917a3-e84c-4503-9de4-49e31e5f2dc2}" removed="1"/>
  <clbl:label id="{87867195-f2b8-4ac2-b0b6-6bb73cb33af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2099</Words>
  <Characters>11968</Characters>
  <Application>Microsoft Office Word</Application>
  <DocSecurity>0</DocSecurity>
  <Lines>99</Lines>
  <Paragraphs>28</Paragraphs>
  <ScaleCrop>false</ScaleCrop>
  <Manager/>
  <Company/>
  <LinksUpToDate>false</LinksUpToDate>
  <CharactersWithSpaces>14039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Corey Gray</cp:lastModifiedBy>
  <cp:revision>3</cp:revision>
  <dcterms:created xsi:type="dcterms:W3CDTF">2026-09-07T07:30:00Z</dcterms:created>
  <dcterms:modified xsi:type="dcterms:W3CDTF">2026-09-07T07:37:00Z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0x01010042410C10365B41458A488A2E06A7CDDA</vt:lpwstr>
  </property>
  <property fmtid="{D5CDD505-2E9C-101B-9397-08002B2CF9AE}" pid="4" name="docLang">
    <vt:lpwstr>en</vt:lpwstr>
  </property>
</Properties>
</file>