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31914" w14:textId="646BDADB" w:rsidR="3A123FE3" w:rsidRDefault="3A123FE3" w:rsidP="3A123FE3">
      <w:pPr>
        <w:pStyle w:val="Title"/>
      </w:pPr>
      <w:r w:rsidRPr="3A123FE3">
        <w:rPr>
          <w:color w:val="64381F"/>
        </w:rPr>
        <w:t>Compliance Readiness Brief</w:t>
      </w:r>
    </w:p>
    <w:p w14:paraId="56AA2FF4" w14:textId="130B50CE" w:rsidR="3A123FE3" w:rsidRDefault="3A123FE3">
      <w:r w:rsidRPr="3A123FE3">
        <w:rPr>
          <w:i/>
          <w:iCs/>
          <w:color w:val="595959" w:themeColor="text1" w:themeTint="A6"/>
        </w:rPr>
        <w:t>AI governance, data protection and vendor compliance readiness. Prepared for Corey Gray, Marketing (Paris). Review period: 7 March to 7 September 2026. Issued 7 September 2026.</w:t>
      </w:r>
    </w:p>
    <w:p w14:paraId="75B945B0" w14:textId="1B6E6388" w:rsidR="3A123FE3" w:rsidRDefault="3A123FE3" w:rsidP="3A123FE3">
      <w:pPr>
        <w:pStyle w:val="Heading1"/>
      </w:pPr>
      <w:r w:rsidRPr="3A123FE3">
        <w:rPr>
          <w:color w:val="64381F"/>
        </w:rPr>
        <w:t>Executive summary</w:t>
      </w:r>
    </w:p>
    <w:p w14:paraId="37229782" w14:textId="466722FC" w:rsidR="3A123FE3" w:rsidRDefault="3A123FE3">
      <w:r>
        <w:t>This brief consolidates what the organisation's own email, Teams and file records say about policy, audit, privacy and regulatory work over the last six months, and sets it against the current external picture for the EU AI Act and GDPR. The internal record shows a well-articulated AI governance intent (a policy book, a quick-start checklist and a RACI strategy plan, all dated February 2026) but limited evidence that the controls they describe have been implemented, tracked or audited. Two compliance-relevant workstreams are visibly stalled: the Jira governance backlog (ZAG-1 to ZAG-5, with the compliance-criteria ticket overdue) and the Cloud ERP procurement, where every vendor's GDPR, data-residency, ISO 27001/SOC 2 and SLA evidence is still missing.</w:t>
      </w:r>
    </w:p>
    <w:p w14:paraId="6B84E4F2" w14:textId="531AAF82" w:rsidR="3A123FE3" w:rsidRDefault="3A123FE3">
      <w:r>
        <w:t xml:space="preserve">Externally, the EU AI Act became generally applicable on 2 August 2026, and the 2026 AI Omnibus has moved most high-risk obligations to 2 December 2027 (Annex III) and 2 August 2028 (Annex I). Prohibited-practice, AI-literacy and general-purpose AI rules already apply. GDPR enforcement is </w:t>
      </w:r>
      <w:proofErr w:type="gramStart"/>
      <w:r>
        <w:t>accelerating:</w:t>
      </w:r>
      <w:proofErr w:type="gramEnd"/>
      <w:r>
        <w:t xml:space="preserve"> roughly EUR 1.2 billion in fines in 2025 and more than EUR 600 million in the first half of 2026, with insufficient legal basis and unlawful international transfers the dominant themes. The recommended priorities </w:t>
      </w:r>
      <w:proofErr w:type="gramStart"/>
      <w:r>
        <w:t>are:</w:t>
      </w:r>
      <w:proofErr w:type="gramEnd"/>
      <w:r>
        <w:t xml:space="preserve"> close the ERP vendor compliance evidence gap before contract award, convert the AI governance documents into an implemented and evidenced control set, and formalise ownership through the RACI already drafted.</w:t>
      </w:r>
    </w:p>
    <w:p w14:paraId="1107B458" w14:textId="29F2F543" w:rsidR="3A123FE3" w:rsidRDefault="3A123FE3" w:rsidP="3A123FE3">
      <w:pPr>
        <w:pStyle w:val="Heading1"/>
      </w:pPr>
      <w:r w:rsidRPr="3A123FE3">
        <w:rPr>
          <w:color w:val="64381F"/>
        </w:rPr>
        <w:t>1. Scope and method</w:t>
      </w:r>
    </w:p>
    <w:p w14:paraId="4F83133F" w14:textId="25C518DB" w:rsidR="3A123FE3" w:rsidRDefault="3A123FE3">
      <w:r>
        <w:t>The internal review covered Corey Gray's Outlook mailbox, Teams chats and channel messages, calendar, and SharePoint and OneDrive files for the period 7 March to 7 September 2026, searched for policy, audit, privacy, GDPR, regulatory, governance and compliance topics. Where a discussion started before the window but remained open inside it (for example the Cloud ERP vendor analysis of 26 February 2026, still listed as an open action in the September task digests)</w:t>
      </w:r>
      <w:proofErr w:type="gramStart"/>
      <w:r>
        <w:t>, it</w:t>
      </w:r>
      <w:proofErr w:type="gramEnd"/>
      <w:r>
        <w:t xml:space="preserve"> has been included. Calendar search </w:t>
      </w:r>
      <w:proofErr w:type="gramStart"/>
      <w:r>
        <w:t>returned</w:t>
      </w:r>
      <w:proofErr w:type="gramEnd"/>
      <w:r>
        <w:t xml:space="preserve"> no compliance-related meetings in the period, and no meeting transcripts were available on the topic.</w:t>
      </w:r>
    </w:p>
    <w:p w14:paraId="633F36CE" w14:textId="2FAB9327" w:rsidR="3A123FE3" w:rsidRDefault="3A123FE3">
      <w:r>
        <w:t xml:space="preserve">The external review used public web sources for the </w:t>
      </w:r>
      <w:proofErr w:type="gramStart"/>
      <w:r>
        <w:t>current status</w:t>
      </w:r>
      <w:proofErr w:type="gramEnd"/>
      <w:r>
        <w:t xml:space="preserve"> of the EU AI Act (Regulation (EU) 2024/1689) and its 2026 Omnibus amendments, European Data Protection Board (EDPB) guidance on AI and personal data, and published GDPR enforcement trackers. External figures are reported as stated by those sources and should </w:t>
      </w:r>
      <w:r>
        <w:lastRenderedPageBreak/>
        <w:t>be re-verified before being quoted to regulators or the board. This brief does not constitute legal advice.</w:t>
      </w:r>
    </w:p>
    <w:p w14:paraId="4A9B267F" w14:textId="5BFA3CD3" w:rsidR="3A123FE3" w:rsidRDefault="3A123FE3">
      <w:r>
        <w:t>Two limits apply. First, most compliance-related mail in the mailbox is system-generated (Jira digests, Power Automate, Microsoft security notices), so the internal evidence base is thinner than the volume of messages suggests. Second, the three AI governance documents found are authored by Corey Gray and describe intended controls; no audit report, DPIA, risk register or control-test evidence was found in the searched sources.</w:t>
      </w:r>
    </w:p>
    <w:p w14:paraId="605A1BE0" w14:textId="1404C558" w:rsidR="3A123FE3" w:rsidRDefault="3A123FE3" w:rsidP="3A123FE3">
      <w:pPr>
        <w:pStyle w:val="Heading1"/>
      </w:pPr>
      <w:r w:rsidRPr="3A123FE3">
        <w:rPr>
          <w:color w:val="64381F"/>
        </w:rPr>
        <w:t>2. Internal findings</w:t>
      </w:r>
    </w:p>
    <w:p w14:paraId="1156142E" w14:textId="46F0829C" w:rsidR="3A123FE3" w:rsidRDefault="3A123FE3" w:rsidP="3A123FE3">
      <w:pPr>
        <w:pStyle w:val="Heading2"/>
      </w:pPr>
      <w:r w:rsidRPr="3A123FE3">
        <w:rPr>
          <w:color w:val="64381F"/>
        </w:rPr>
        <w:t>2.1 AI governance framework exists on paper</w:t>
      </w:r>
    </w:p>
    <w:p w14:paraId="191CDBD4" w14:textId="3AE6117A" w:rsidR="3A123FE3" w:rsidRDefault="3A123FE3">
      <w:r>
        <w:t xml:space="preserve">Three OneDrive documents set out the organisation's AI governance intent. AI_Governance_Policy_Book (dated 4 February 2026) defines four pillars: Compliance &amp; Privacy, Security &amp; Identity, Reliability &amp; Quality, and Financial Governance. Its Compliance &amp; Privacy section commits to data residency enforcement (EUDB, GDPR, HIPAA), PII detection and redaction, and regulatory alignment with the EU AI Act, and it lists an AI risk assessment matrix, escalation workflows and post-incident review under Incident Response &amp; Risk Management. The document's own revision comments describe it as a condensed version awaiting expansion to a full </w:t>
      </w:r>
      <w:proofErr w:type="gramStart"/>
      <w:r>
        <w:t>20 to 40 page</w:t>
      </w:r>
      <w:proofErr w:type="gramEnd"/>
      <w:r>
        <w:t xml:space="preserve"> policy book, and its metadata records a single page and roughly 420 words, so the detailed frameworks, compliance matrices and sample policies it promises have not yet been written.</w:t>
      </w:r>
    </w:p>
    <w:p w14:paraId="2E300D47" w14:textId="6B3336FD" w:rsidR="3A123FE3" w:rsidRDefault="3A123FE3">
      <w:r>
        <w:t xml:space="preserve">AI_Governance_QuickStart_Checklist repeats the same controls as a checklist (enable DLP policies in Copilot Studio, implement PII redaction for all AI outputs, ensure EUDB data residency, apply least privilege, set up human-in-the-loop for high-risk decisions) and lays out a </w:t>
      </w:r>
      <w:proofErr w:type="gramStart"/>
      <w:r>
        <w:t>first-30</w:t>
      </w:r>
      <w:proofErr w:type="gramEnd"/>
      <w:r>
        <w:t xml:space="preserve">-days plan from defining risk appetite in week 1 to deploying monitoring in week 4. AI_Governance_Strategy_RACI assigns each step to named roles: the AI Governance Lead and CIO for principles and evaluation metrics, the Security Officer and Compliance Officer for DLP, the Identity Management Team for authentication, and DevOps and Platform Admin for automation and monitoring, across a 12-week, three-phase timeline. None of the </w:t>
      </w:r>
      <w:proofErr w:type="gramStart"/>
      <w:r>
        <w:t>searched</w:t>
      </w:r>
      <w:proofErr w:type="gramEnd"/>
      <w:r>
        <w:t xml:space="preserve"> sources </w:t>
      </w:r>
      <w:proofErr w:type="gramStart"/>
      <w:r>
        <w:t>contains</w:t>
      </w:r>
      <w:proofErr w:type="gramEnd"/>
      <w:r>
        <w:t xml:space="preserve"> evidence that any phase has been completed, and the roles named in the RACI are not mapped to individuals.</w:t>
      </w:r>
    </w:p>
    <w:p w14:paraId="119E661B" w14:textId="52B28CB9" w:rsidR="3A123FE3" w:rsidRDefault="3A123FE3" w:rsidP="3A123FE3">
      <w:pPr>
        <w:pStyle w:val="Heading2"/>
      </w:pPr>
      <w:r w:rsidRPr="3A123FE3">
        <w:rPr>
          <w:color w:val="64381F"/>
        </w:rPr>
        <w:t>2.2 Cloud ERP procurement: vendor compliance evidence missing</w:t>
      </w:r>
    </w:p>
    <w:p w14:paraId="321062A9" w14:textId="300F60A9" w:rsidR="3A123FE3" w:rsidRDefault="3A123FE3">
      <w:r>
        <w:t xml:space="preserve">The Contoso S2P agent posted a vendor offer analysis for the Cloud ERP (SaaS) procurement, RFP-2026-001, in Teams on 26 February 2026. The RFP covers Finance, HR and CRM for 350 EMEA users on a 24-month timeline with a EUR 250,000 ceiling. Three vendors responded (ERPMax Solutions, IntegraPro Systems, CloudFirst ERP), but the analysis records that none provided complete Pricing, SLA or Compliance sheets. Its compliance assessment against Contoso's mandatory clauses shows every </w:t>
      </w:r>
      <w:proofErr w:type="gramStart"/>
      <w:r>
        <w:t>cell as</w:t>
      </w:r>
      <w:proofErr w:type="gramEnd"/>
      <w:r>
        <w:t xml:space="preserve"> missing for all three vendors: 99.9 percent cloud SLA, GDPR and EMEA residency, ISO 27001 and SOC 2, and SLA penalties. The analysis concludes that all vendors require formal </w:t>
      </w:r>
      <w:r>
        <w:lastRenderedPageBreak/>
        <w:t>clarification before contract award and lists GDPR, ISO 27001 and SOC 2 evidence and EMEA data-centre locations as the immediate clarification request. The September 2026 task digests still show the ERP procurement actions (stakeholder briefings, budget sign-off, vendor notifications) as open with Corey Gray as owner, so there is no evidence the clarification has been issued or answered.</w:t>
      </w:r>
    </w:p>
    <w:p w14:paraId="68F09E0B" w14:textId="2C31BAB6" w:rsidR="3A123FE3" w:rsidRDefault="3A123FE3" w:rsidP="3A123FE3">
      <w:pPr>
        <w:pStyle w:val="Heading2"/>
      </w:pPr>
      <w:r w:rsidRPr="3A123FE3">
        <w:rPr>
          <w:color w:val="64381F"/>
        </w:rPr>
        <w:t>2.3 Governance backlog and open compliance actions</w:t>
      </w:r>
    </w:p>
    <w:p w14:paraId="5E698D51" w14:textId="12AD6506" w:rsidR="3A123FE3" w:rsidRDefault="3A123FE3">
      <w:r>
        <w:t>The Jira project ZAVA AI Governance holds five work items assigned to Corey Gray. The Daily Task Digest of 6 September 2026 lists ZAG-4 (identify scope of governance) and ZAG-5 (draft compliance criteria for agent behaviour) and flags ZAG-5 as overdue. The same digest records two Microsoft 365 connector health issues, one for ServiceNow flagged on 21 August 2026 as a compliance risk and one for Jira flagged on 12 August 2026 as a data-integrity risk, and a request from Adil Eli for an S2P agent status update that has been awaiting a reply since 22 April 2026. Separately, a Microsoft notice of 7 August 2026 announces passkeys by default and the retirement of Microsoft-provided SMS and voice authentication in Entra ID, fully retired by 1 February 2027, which will require an Authentication Methods Policy change.</w:t>
      </w:r>
    </w:p>
    <w:p w14:paraId="608AA2F5" w14:textId="57100D0B" w:rsidR="3A123FE3" w:rsidRDefault="3A123FE3" w:rsidP="3A123FE3">
      <w:pPr>
        <w:pStyle w:val="Heading2"/>
      </w:pPr>
      <w:r w:rsidRPr="3A123FE3">
        <w:rPr>
          <w:color w:val="64381F"/>
        </w:rPr>
        <w:t>2.4 Reference material available but not operationalised</w:t>
      </w:r>
    </w:p>
    <w:p w14:paraId="7E782ACB" w14:textId="6E346D9D" w:rsidR="3A123FE3" w:rsidRDefault="3A123FE3">
      <w:r>
        <w:t>The TIGRES SharePoint site holds the full text of the EU AI Act (Regulation (EU) 2024/1689) and the NIST AI Risk Management Framework (AI RMF 1.0) in an AI Frameworks library, and the AI Strategy site holds Microsoft's Agent Readiness Framework and Pillar 5 (Security &amp; Governance) template. These are the right references, but no completed Pillar 5 assessment, AI system inventory or risk classification against the AI Act was found.</w:t>
      </w:r>
    </w:p>
    <w:p w14:paraId="4566C95E" w14:textId="7044CC10" w:rsidR="3A123FE3" w:rsidRDefault="3A123FE3" w:rsidP="3A123FE3">
      <w:pPr>
        <w:pStyle w:val="Heading1"/>
      </w:pPr>
      <w:r w:rsidRPr="3A123FE3">
        <w:rPr>
          <w:color w:val="64381F"/>
        </w:rPr>
        <w:t>3. Regulatory landscape</w:t>
      </w:r>
    </w:p>
    <w:p w14:paraId="780721FB" w14:textId="4346A12B" w:rsidR="3A123FE3" w:rsidRDefault="3A123FE3" w:rsidP="3A123FE3">
      <w:pPr>
        <w:pStyle w:val="Heading2"/>
      </w:pPr>
      <w:r w:rsidRPr="3A123FE3">
        <w:rPr>
          <w:color w:val="64381F"/>
        </w:rPr>
        <w:t>3.1 EU AI Act and the 2026 AI Omnibus</w:t>
      </w:r>
    </w:p>
    <w:p w14:paraId="19EF25D4" w14:textId="67127231" w:rsidR="3A123FE3" w:rsidRDefault="3A123FE3">
      <w:r>
        <w:t xml:space="preserve">According to the Future of Privacy Forum's analysis of 28 July 2026, the AI Act's first provisions (scope, prohibited practices under Article 5, and the AI-literacy duty under Article 4) have applied since 2 February 2025, and the general-purpose AI model rules, governance framework and penalties since 2 August 2025. The Act became generally applicable on 2 August 2026. The AI Omnibus, adopted in mid-2026, moves the obligations for stand-alone high-risk systems (Annex III) to 2 December 2027 and for high-risk systems embedded in regulated products (Annex I) to 2 August 2028. The Commission published Guidelines on transparency of AI-generated content under Article 50 on 20 July 2026; Article 50 applies generally from 2 August 2026, with the Article 50(2) synthetic-content duty for GPAI models postponed to 2 December 2026. The Omnibus also softens the AI-literacy wording (organisations must support rather than ensure staff literacy), adds a prohibited practice for AI generating child sexual abuse or non-consensual intimate material, and widens the legal basis for processing special-category data for bias detection to all AI systems. One consultancy source </w:t>
      </w:r>
      <w:proofErr w:type="gramStart"/>
      <w:r>
        <w:t>notes</w:t>
      </w:r>
      <w:proofErr w:type="gramEnd"/>
      <w:r>
        <w:t xml:space="preserve"> that Council adoption of the Omnibus was </w:t>
      </w:r>
      <w:r>
        <w:lastRenderedPageBreak/>
        <w:t>still being finalised in June 2026, so the exact dates should be confirmed against the Official Journal text.</w:t>
      </w:r>
    </w:p>
    <w:p w14:paraId="6104CA93" w14:textId="57C8B8E6" w:rsidR="3A123FE3" w:rsidRDefault="3A123FE3">
      <w:r>
        <w:t>For a marketing organisation deploying Copilot Studio agents and custom AI, the practical consequences are: prohibited-practice screening and staff AI-literacy support are live obligations today; transparency labelling of AI-generated marketing content is live from August 2026; and any system that could fall under Annex III (for example AI used in recruitment or credit decisions) now has until December 2027, which is a planning window rather than a reprieve.</w:t>
      </w:r>
    </w:p>
    <w:p w14:paraId="56114ADC" w14:textId="7661E411" w:rsidR="3A123FE3" w:rsidRDefault="3A123FE3" w:rsidP="3A123FE3">
      <w:pPr>
        <w:pStyle w:val="Heading2"/>
      </w:pPr>
      <w:r w:rsidRPr="3A123FE3">
        <w:rPr>
          <w:color w:val="64381F"/>
        </w:rPr>
        <w:t>3.2 GDPR guidance on AI</w:t>
      </w:r>
    </w:p>
    <w:p w14:paraId="26A0B425" w14:textId="37E5CBD0" w:rsidR="3A123FE3" w:rsidRDefault="3A123FE3">
      <w:r>
        <w:t>The EDPB's Opinion on AI models addresses when a model can be considered anonymous, whether legitimate interest can be a legal basis for developing or using AI models, and the consequences of training on unlawfully processed data. In January 2026 the EDPB and EDPS issued Joint Opinion 1/2026 on the Commission's simplification proposal for the AI Act, supporting the goal of easing implementation while stressing effective protection of fundamental rights. Together these confirm that GDPR applies in full to AI development and use: a documented legal basis, a DPIA for high-risk processing, and lawful international-transfer mechanisms remain the baseline regardless of the AI Act timetable.</w:t>
      </w:r>
    </w:p>
    <w:p w14:paraId="733A7BF0" w14:textId="6B0EC26B" w:rsidR="3A123FE3" w:rsidRDefault="3A123FE3" w:rsidP="3A123FE3">
      <w:pPr>
        <w:pStyle w:val="Heading2"/>
      </w:pPr>
      <w:r w:rsidRPr="3A123FE3">
        <w:rPr>
          <w:color w:val="64381F"/>
        </w:rPr>
        <w:t>3.3 Recent enforcement examples</w:t>
      </w:r>
    </w:p>
    <w:p w14:paraId="28D8AFCE" w14:textId="5B055CAF" w:rsidR="3A123FE3" w:rsidRDefault="3A123FE3">
      <w:r>
        <w:t>Enforcement trackers (SecurityWall GDPR Fines Tracker, updated 19 June 2026, drawing on the CMS Enforcement Tracker 7th edition and DPA press releases) report cumulative GDPR fines above EUR 7.4 billion since 2018, roughly EUR 1.2 billion issued in 2025 and more than EUR 600 million in the first half of 2026, with insufficient legal basis the most common violation (about 34 percent of fines). Notable recent decisions relevant to this organisation's risk profile are summarised below.</w:t>
      </w:r>
    </w:p>
    <w:tbl>
      <w:tblPr>
        <w:tblStyle w:val="TableGrid"/>
        <w:tblW w:w="0" w:type="auto"/>
        <w:tblLook w:val="0000" w:firstRow="0" w:lastRow="0" w:firstColumn="0" w:lastColumn="0" w:noHBand="0" w:noVBand="0"/>
      </w:tblPr>
      <w:tblGrid>
        <w:gridCol w:w="2243"/>
        <w:gridCol w:w="2203"/>
        <w:gridCol w:w="2222"/>
        <w:gridCol w:w="2188"/>
      </w:tblGrid>
      <w:tr w:rsidR="3A123FE3" w14:paraId="2C9EE2C5" w14:textId="77777777" w:rsidTr="3A123FE3">
        <w:tc>
          <w:tcPr>
            <w:tcW w:w="2340" w:type="dxa"/>
          </w:tcPr>
          <w:p w14:paraId="66000FB8" w14:textId="31232434" w:rsidR="3A123FE3" w:rsidRDefault="3A123FE3">
            <w:r w:rsidRPr="3A123FE3">
              <w:rPr>
                <w:b/>
                <w:bCs/>
              </w:rPr>
              <w:t>Organisation</w:t>
            </w:r>
          </w:p>
        </w:tc>
        <w:tc>
          <w:tcPr>
            <w:tcW w:w="2340" w:type="dxa"/>
          </w:tcPr>
          <w:p w14:paraId="7BDC03A1" w14:textId="2A010AF8" w:rsidR="3A123FE3" w:rsidRDefault="3A123FE3">
            <w:r w:rsidRPr="3A123FE3">
              <w:rPr>
                <w:b/>
                <w:bCs/>
              </w:rPr>
              <w:t>Fine and authority</w:t>
            </w:r>
          </w:p>
        </w:tc>
        <w:tc>
          <w:tcPr>
            <w:tcW w:w="2340" w:type="dxa"/>
          </w:tcPr>
          <w:p w14:paraId="20C8566F" w14:textId="22DEF1BC" w:rsidR="3A123FE3" w:rsidRDefault="3A123FE3">
            <w:r w:rsidRPr="3A123FE3">
              <w:rPr>
                <w:b/>
                <w:bCs/>
              </w:rPr>
              <w:t>Primary issue</w:t>
            </w:r>
          </w:p>
        </w:tc>
        <w:tc>
          <w:tcPr>
            <w:tcW w:w="2340" w:type="dxa"/>
          </w:tcPr>
          <w:p w14:paraId="5B058882" w14:textId="1BBCD880" w:rsidR="3A123FE3" w:rsidRDefault="3A123FE3">
            <w:r w:rsidRPr="3A123FE3">
              <w:rPr>
                <w:b/>
                <w:bCs/>
              </w:rPr>
              <w:t>Status (June 2026)</w:t>
            </w:r>
          </w:p>
        </w:tc>
      </w:tr>
      <w:tr w:rsidR="3A123FE3" w14:paraId="1541AF3B" w14:textId="77777777" w:rsidTr="3A123FE3">
        <w:tc>
          <w:tcPr>
            <w:tcW w:w="2340" w:type="dxa"/>
          </w:tcPr>
          <w:p w14:paraId="1EBFEA75" w14:textId="32D238F5" w:rsidR="3A123FE3" w:rsidRDefault="3A123FE3">
            <w:r>
              <w:t>TikTok</w:t>
            </w:r>
          </w:p>
        </w:tc>
        <w:tc>
          <w:tcPr>
            <w:tcW w:w="2340" w:type="dxa"/>
          </w:tcPr>
          <w:p w14:paraId="17125832" w14:textId="2BB01FB9" w:rsidR="3A123FE3" w:rsidRDefault="3A123FE3">
            <w:r>
              <w:t>EUR 530M, Ireland DPC, May 2025</w:t>
            </w:r>
          </w:p>
        </w:tc>
        <w:tc>
          <w:tcPr>
            <w:tcW w:w="2340" w:type="dxa"/>
          </w:tcPr>
          <w:p w14:paraId="77CC9520" w14:textId="248E067D" w:rsidR="3A123FE3" w:rsidRDefault="3A123FE3">
            <w:r>
              <w:t>Unlawful transfers of EEA user data to China</w:t>
            </w:r>
          </w:p>
        </w:tc>
        <w:tc>
          <w:tcPr>
            <w:tcW w:w="2340" w:type="dxa"/>
          </w:tcPr>
          <w:p w14:paraId="2D8941D5" w14:textId="1D6BED41" w:rsidR="3A123FE3" w:rsidRDefault="3A123FE3">
            <w:r>
              <w:t>Under appeal</w:t>
            </w:r>
          </w:p>
        </w:tc>
      </w:tr>
      <w:tr w:rsidR="3A123FE3" w14:paraId="3443663A" w14:textId="77777777" w:rsidTr="3A123FE3">
        <w:tc>
          <w:tcPr>
            <w:tcW w:w="2340" w:type="dxa"/>
          </w:tcPr>
          <w:p w14:paraId="17DC8495" w14:textId="34814DB6" w:rsidR="3A123FE3" w:rsidRDefault="3A123FE3">
            <w:r>
              <w:t>Google LLC / Google Ireland</w:t>
            </w:r>
          </w:p>
        </w:tc>
        <w:tc>
          <w:tcPr>
            <w:tcW w:w="2340" w:type="dxa"/>
          </w:tcPr>
          <w:p w14:paraId="74A73BEA" w14:textId="2D5F347A" w:rsidR="3A123FE3" w:rsidRDefault="3A123FE3">
            <w:r>
              <w:t>EUR 325M combined, France CNIL, Sept 2025</w:t>
            </w:r>
          </w:p>
        </w:tc>
        <w:tc>
          <w:tcPr>
            <w:tcW w:w="2340" w:type="dxa"/>
          </w:tcPr>
          <w:p w14:paraId="14DE569A" w14:textId="263D1B3E" w:rsidR="3A123FE3" w:rsidRDefault="3A123FE3">
            <w:r>
              <w:t>Ads disguised as emails without consent; cookie consent failures at account creation</w:t>
            </w:r>
          </w:p>
        </w:tc>
        <w:tc>
          <w:tcPr>
            <w:tcW w:w="2340" w:type="dxa"/>
          </w:tcPr>
          <w:p w14:paraId="71FD6C67" w14:textId="1F1B0202" w:rsidR="3A123FE3" w:rsidRDefault="3A123FE3">
            <w:r>
              <w:t>Active</w:t>
            </w:r>
          </w:p>
        </w:tc>
      </w:tr>
      <w:tr w:rsidR="3A123FE3" w14:paraId="10217B59" w14:textId="77777777" w:rsidTr="3A123FE3">
        <w:tc>
          <w:tcPr>
            <w:tcW w:w="2340" w:type="dxa"/>
          </w:tcPr>
          <w:p w14:paraId="2D9A19AF" w14:textId="36306277" w:rsidR="3A123FE3" w:rsidRDefault="3A123FE3">
            <w:r>
              <w:t>SHEIN</w:t>
            </w:r>
          </w:p>
        </w:tc>
        <w:tc>
          <w:tcPr>
            <w:tcW w:w="2340" w:type="dxa"/>
          </w:tcPr>
          <w:p w14:paraId="44DFCE2E" w14:textId="2F0E493B" w:rsidR="3A123FE3" w:rsidRDefault="3A123FE3">
            <w:r>
              <w:t>EUR 150M, France CNIL, Sept 2025</w:t>
            </w:r>
          </w:p>
        </w:tc>
        <w:tc>
          <w:tcPr>
            <w:tcW w:w="2340" w:type="dxa"/>
          </w:tcPr>
          <w:p w14:paraId="3F21699B" w14:textId="27EC2FFF" w:rsidR="3A123FE3" w:rsidRDefault="3A123FE3">
            <w:r>
              <w:t>Advertising cookies placed before consent; broken opt-outs</w:t>
            </w:r>
          </w:p>
        </w:tc>
        <w:tc>
          <w:tcPr>
            <w:tcW w:w="2340" w:type="dxa"/>
          </w:tcPr>
          <w:p w14:paraId="6471C4FE" w14:textId="20CA16C3" w:rsidR="3A123FE3" w:rsidRDefault="3A123FE3">
            <w:r>
              <w:t>Active</w:t>
            </w:r>
          </w:p>
        </w:tc>
      </w:tr>
      <w:tr w:rsidR="3A123FE3" w14:paraId="56A8D088" w14:textId="77777777" w:rsidTr="3A123FE3">
        <w:tc>
          <w:tcPr>
            <w:tcW w:w="2340" w:type="dxa"/>
          </w:tcPr>
          <w:p w14:paraId="63145CB9" w14:textId="37DF7738" w:rsidR="3A123FE3" w:rsidRDefault="3A123FE3">
            <w:r>
              <w:t>Vodafone Germany</w:t>
            </w:r>
          </w:p>
        </w:tc>
        <w:tc>
          <w:tcPr>
            <w:tcW w:w="2340" w:type="dxa"/>
          </w:tcPr>
          <w:p w14:paraId="4D54CEB4" w14:textId="30BD5DFC" w:rsidR="3A123FE3" w:rsidRDefault="3A123FE3">
            <w:r>
              <w:t>EUR 45M, Germany BfDI, 2025</w:t>
            </w:r>
          </w:p>
        </w:tc>
        <w:tc>
          <w:tcPr>
            <w:tcW w:w="2340" w:type="dxa"/>
          </w:tcPr>
          <w:p w14:paraId="1F2D7A29" w14:textId="299B44C0" w:rsidR="3A123FE3" w:rsidRDefault="3A123FE3">
            <w:r>
              <w:t>Vendor security failures and weak data controls</w:t>
            </w:r>
          </w:p>
        </w:tc>
        <w:tc>
          <w:tcPr>
            <w:tcW w:w="2340" w:type="dxa"/>
          </w:tcPr>
          <w:p w14:paraId="2185554E" w14:textId="22792B84" w:rsidR="3A123FE3" w:rsidRDefault="3A123FE3">
            <w:r>
              <w:t>Active</w:t>
            </w:r>
          </w:p>
        </w:tc>
      </w:tr>
      <w:tr w:rsidR="3A123FE3" w14:paraId="23AAEA33" w14:textId="77777777" w:rsidTr="3A123FE3">
        <w:tc>
          <w:tcPr>
            <w:tcW w:w="2340" w:type="dxa"/>
          </w:tcPr>
          <w:p w14:paraId="5B8D5F32" w14:textId="398E8BF9" w:rsidR="3A123FE3" w:rsidRDefault="3A123FE3">
            <w:r>
              <w:t>Replika (Luka Inc.)</w:t>
            </w:r>
          </w:p>
        </w:tc>
        <w:tc>
          <w:tcPr>
            <w:tcW w:w="2340" w:type="dxa"/>
          </w:tcPr>
          <w:p w14:paraId="4E656E32" w14:textId="326C72BD" w:rsidR="3A123FE3" w:rsidRDefault="3A123FE3">
            <w:r>
              <w:t>EUR 5M, Italy Garante, 2025</w:t>
            </w:r>
          </w:p>
        </w:tc>
        <w:tc>
          <w:tcPr>
            <w:tcW w:w="2340" w:type="dxa"/>
          </w:tcPr>
          <w:p w14:paraId="17B06620" w14:textId="2B4A5981" w:rsidR="3A123FE3" w:rsidRDefault="3A123FE3">
            <w:r>
              <w:t>AI chatbot GDPR violations</w:t>
            </w:r>
          </w:p>
        </w:tc>
        <w:tc>
          <w:tcPr>
            <w:tcW w:w="2340" w:type="dxa"/>
          </w:tcPr>
          <w:p w14:paraId="65B8B006" w14:textId="24284045" w:rsidR="3A123FE3" w:rsidRDefault="3A123FE3">
            <w:r>
              <w:t>Active</w:t>
            </w:r>
          </w:p>
        </w:tc>
      </w:tr>
      <w:tr w:rsidR="3A123FE3" w14:paraId="27FF9942" w14:textId="77777777" w:rsidTr="3A123FE3">
        <w:tc>
          <w:tcPr>
            <w:tcW w:w="2340" w:type="dxa"/>
          </w:tcPr>
          <w:p w14:paraId="6C5BE60B" w14:textId="3B3DA0BA" w:rsidR="3A123FE3" w:rsidRDefault="3A123FE3">
            <w:r>
              <w:lastRenderedPageBreak/>
              <w:t>IQVIA Operations France</w:t>
            </w:r>
          </w:p>
        </w:tc>
        <w:tc>
          <w:tcPr>
            <w:tcW w:w="2340" w:type="dxa"/>
          </w:tcPr>
          <w:p w14:paraId="5246AD04" w14:textId="341B877E" w:rsidR="3A123FE3" w:rsidRDefault="3A123FE3">
            <w:r>
              <w:t>EUR 5M, France CNIL, 26 May 2026</w:t>
            </w:r>
          </w:p>
        </w:tc>
        <w:tc>
          <w:tcPr>
            <w:tcW w:w="2340" w:type="dxa"/>
          </w:tcPr>
          <w:p w14:paraId="207C63D8" w14:textId="2CF96E42" w:rsidR="3A123FE3" w:rsidRDefault="3A123FE3">
            <w:r>
              <w:t>Inadequate safeguards in health data warehouses</w:t>
            </w:r>
          </w:p>
        </w:tc>
        <w:tc>
          <w:tcPr>
            <w:tcW w:w="2340" w:type="dxa"/>
          </w:tcPr>
          <w:p w14:paraId="705D735A" w14:textId="25D75506" w:rsidR="3A123FE3" w:rsidRDefault="3A123FE3">
            <w:r>
              <w:t>New, active</w:t>
            </w:r>
          </w:p>
        </w:tc>
      </w:tr>
      <w:tr w:rsidR="3A123FE3" w14:paraId="2C08F4A5" w14:textId="77777777" w:rsidTr="3A123FE3">
        <w:tc>
          <w:tcPr>
            <w:tcW w:w="2340" w:type="dxa"/>
          </w:tcPr>
          <w:p w14:paraId="479560B6" w14:textId="3CECB57B" w:rsidR="3A123FE3" w:rsidRDefault="3A123FE3">
            <w:r>
              <w:t>OpenAI</w:t>
            </w:r>
          </w:p>
        </w:tc>
        <w:tc>
          <w:tcPr>
            <w:tcW w:w="2340" w:type="dxa"/>
          </w:tcPr>
          <w:p w14:paraId="1D8BE532" w14:textId="35CA9C3F" w:rsidR="3A123FE3" w:rsidRDefault="3A123FE3">
            <w:r>
              <w:t>EUR 15M, Italy Garante, Nov 2024</w:t>
            </w:r>
          </w:p>
        </w:tc>
        <w:tc>
          <w:tcPr>
            <w:tcW w:w="2340" w:type="dxa"/>
          </w:tcPr>
          <w:p w14:paraId="338B0A5D" w14:textId="2EA88303" w:rsidR="3A123FE3" w:rsidRDefault="3A123FE3">
            <w:r>
              <w:t>ChatGPT processing without legal basis</w:t>
            </w:r>
          </w:p>
        </w:tc>
        <w:tc>
          <w:tcPr>
            <w:tcW w:w="2340" w:type="dxa"/>
          </w:tcPr>
          <w:p w14:paraId="5CC7ACA4" w14:textId="278669C7" w:rsidR="3A123FE3" w:rsidRDefault="3A123FE3">
            <w:r>
              <w:t>Annulled March 2026</w:t>
            </w:r>
          </w:p>
        </w:tc>
      </w:tr>
    </w:tbl>
    <w:p w14:paraId="16E50106" w14:textId="35663345" w:rsidR="3A123FE3" w:rsidRDefault="3A123FE3">
      <w:r>
        <w:t>Three patterns matter here. Marketing-technology consent failures (Google, SHEIN) are drawing nine-figure fines, which is directly relevant to a marketing function running AI-assisted campaigns. Vendor and supplier control weaknesses (Vodafone Germany) are being penalised at the customer, not only the vendor, which is the risk the ERP procurement gap exposes. And AI-specific actions (Replika, OpenAI) show that supervisory authorities are already applying GDPR to AI services, even where the AI Act's high-risk rules are not yet in force.</w:t>
      </w:r>
    </w:p>
    <w:p w14:paraId="1096F88F" w14:textId="7C550186" w:rsidR="3A123FE3" w:rsidRDefault="3A123FE3" w:rsidP="3A123FE3">
      <w:pPr>
        <w:pStyle w:val="Heading1"/>
      </w:pPr>
      <w:r w:rsidRPr="3A123FE3">
        <w:rPr>
          <w:color w:val="64381F"/>
        </w:rPr>
        <w:t>4. Gap analysis</w:t>
      </w:r>
    </w:p>
    <w:p w14:paraId="116A291A" w14:textId="51499D26" w:rsidR="3A123FE3" w:rsidRDefault="3A123FE3">
      <w:r>
        <w:t xml:space="preserve">The table compares each regulatory expectation with the evidence found in the internal record. Ratings: High means a live obligation with no evidence of </w:t>
      </w:r>
      <w:proofErr w:type="gramStart"/>
      <w:r>
        <w:t>a control</w:t>
      </w:r>
      <w:proofErr w:type="gramEnd"/>
      <w:r>
        <w:t>; Medium means a control is designed but not evidenced as implemented; Low means the obligation is not yet in force or is largely covered.</w:t>
      </w:r>
    </w:p>
    <w:tbl>
      <w:tblPr>
        <w:tblStyle w:val="TableGrid"/>
        <w:tblW w:w="0" w:type="auto"/>
        <w:tblLook w:val="0000" w:firstRow="0" w:lastRow="0" w:firstColumn="0" w:lastColumn="0" w:noHBand="0" w:noVBand="0"/>
      </w:tblPr>
      <w:tblGrid>
        <w:gridCol w:w="1779"/>
        <w:gridCol w:w="1805"/>
        <w:gridCol w:w="1837"/>
        <w:gridCol w:w="1763"/>
        <w:gridCol w:w="1672"/>
      </w:tblGrid>
      <w:tr w:rsidR="3A123FE3" w14:paraId="5BB40EE6" w14:textId="77777777" w:rsidTr="3A123FE3">
        <w:tc>
          <w:tcPr>
            <w:tcW w:w="1872" w:type="dxa"/>
          </w:tcPr>
          <w:p w14:paraId="798886F2" w14:textId="2213654C" w:rsidR="3A123FE3" w:rsidRDefault="3A123FE3">
            <w:r>
              <w:t>Area</w:t>
            </w:r>
          </w:p>
        </w:tc>
        <w:tc>
          <w:tcPr>
            <w:tcW w:w="1872" w:type="dxa"/>
          </w:tcPr>
          <w:p w14:paraId="11687F73" w14:textId="1AF14C10" w:rsidR="3A123FE3" w:rsidRDefault="3A123FE3">
            <w:r w:rsidRPr="3A123FE3">
              <w:rPr>
                <w:b/>
                <w:bCs/>
              </w:rPr>
              <w:t>Regulatory expectation</w:t>
            </w:r>
          </w:p>
        </w:tc>
        <w:tc>
          <w:tcPr>
            <w:tcW w:w="1872" w:type="dxa"/>
          </w:tcPr>
          <w:p w14:paraId="59896AD5" w14:textId="13CF32D4" w:rsidR="3A123FE3" w:rsidRDefault="3A123FE3">
            <w:r w:rsidRPr="3A123FE3">
              <w:rPr>
                <w:b/>
                <w:bCs/>
              </w:rPr>
              <w:t>Internal evidence found</w:t>
            </w:r>
          </w:p>
        </w:tc>
        <w:tc>
          <w:tcPr>
            <w:tcW w:w="1872" w:type="dxa"/>
          </w:tcPr>
          <w:p w14:paraId="12AC1C6E" w14:textId="0CAD1998" w:rsidR="3A123FE3" w:rsidRDefault="3A123FE3">
            <w:r>
              <w:t>Gap</w:t>
            </w:r>
          </w:p>
        </w:tc>
        <w:tc>
          <w:tcPr>
            <w:tcW w:w="1872" w:type="dxa"/>
          </w:tcPr>
          <w:p w14:paraId="21DF6765" w14:textId="058B005C" w:rsidR="3A123FE3" w:rsidRDefault="3A123FE3">
            <w:r w:rsidRPr="3A123FE3">
              <w:rPr>
                <w:b/>
                <w:bCs/>
              </w:rPr>
              <w:t>Rating</w:t>
            </w:r>
          </w:p>
        </w:tc>
      </w:tr>
      <w:tr w:rsidR="3A123FE3" w14:paraId="23485474" w14:textId="77777777" w:rsidTr="3A123FE3">
        <w:tc>
          <w:tcPr>
            <w:tcW w:w="1872" w:type="dxa"/>
          </w:tcPr>
          <w:p w14:paraId="3599DD77" w14:textId="1CA060D1" w:rsidR="3A123FE3" w:rsidRDefault="3A123FE3">
            <w:r>
              <w:t>Vendor due diligence (ERP)</w:t>
            </w:r>
          </w:p>
        </w:tc>
        <w:tc>
          <w:tcPr>
            <w:tcW w:w="1872" w:type="dxa"/>
          </w:tcPr>
          <w:p w14:paraId="295FF9BD" w14:textId="157E4795" w:rsidR="3A123FE3" w:rsidRDefault="3A123FE3">
            <w:r>
              <w:t>GDPR Art. 28 processor terms; Chapter V transfer safeguards; security assurance (ISO 27001 / SOC 2)</w:t>
            </w:r>
          </w:p>
        </w:tc>
        <w:tc>
          <w:tcPr>
            <w:tcW w:w="1872" w:type="dxa"/>
          </w:tcPr>
          <w:p w14:paraId="795FBC73" w14:textId="0E5C2E59" w:rsidR="3A123FE3" w:rsidRDefault="3A123FE3">
            <w:r>
              <w:t>Vendor analysis of 26 Feb 2026 shows GDPR, residency, ISO 27001/SOC 2 and SLA evidence missing for all three bidders; actions still open in Sept 2026</w:t>
            </w:r>
          </w:p>
        </w:tc>
        <w:tc>
          <w:tcPr>
            <w:tcW w:w="1872" w:type="dxa"/>
          </w:tcPr>
          <w:p w14:paraId="58836822" w14:textId="073A151D" w:rsidR="3A123FE3" w:rsidRDefault="3A123FE3">
            <w:r>
              <w:t>No compliance evidence obtained before award decision</w:t>
            </w:r>
          </w:p>
        </w:tc>
        <w:tc>
          <w:tcPr>
            <w:tcW w:w="1872" w:type="dxa"/>
          </w:tcPr>
          <w:p w14:paraId="3B8159E2" w14:textId="0017FBE1" w:rsidR="3A123FE3" w:rsidRDefault="3A123FE3">
            <w:r>
              <w:t>High</w:t>
            </w:r>
          </w:p>
        </w:tc>
      </w:tr>
      <w:tr w:rsidR="3A123FE3" w14:paraId="1F40D883" w14:textId="77777777" w:rsidTr="3A123FE3">
        <w:tc>
          <w:tcPr>
            <w:tcW w:w="1872" w:type="dxa"/>
          </w:tcPr>
          <w:p w14:paraId="55686E6F" w14:textId="172D5C56" w:rsidR="3A123FE3" w:rsidRDefault="3A123FE3">
            <w:r>
              <w:t>AI system inventory and risk classification</w:t>
            </w:r>
          </w:p>
        </w:tc>
        <w:tc>
          <w:tcPr>
            <w:tcW w:w="1872" w:type="dxa"/>
          </w:tcPr>
          <w:p w14:paraId="2AC85F00" w14:textId="100B431A" w:rsidR="3A123FE3" w:rsidRDefault="3A123FE3">
            <w:r>
              <w:t>AI Act Art. 5 prohibited practices (in force); Annex III high-risk classification due 2 Dec 2027</w:t>
            </w:r>
          </w:p>
        </w:tc>
        <w:tc>
          <w:tcPr>
            <w:tcW w:w="1872" w:type="dxa"/>
          </w:tcPr>
          <w:p w14:paraId="2085FFD3" w14:textId="08E929DE" w:rsidR="3A123FE3" w:rsidRDefault="3A123FE3">
            <w:r>
              <w:t>Full AI Act text stored on TIGRES site; policy book cites AI Act alignment; no inventory or classification found</w:t>
            </w:r>
          </w:p>
        </w:tc>
        <w:tc>
          <w:tcPr>
            <w:tcW w:w="1872" w:type="dxa"/>
          </w:tcPr>
          <w:p w14:paraId="6C2A6904" w14:textId="01C710A2" w:rsidR="3A123FE3" w:rsidRDefault="3A123FE3">
            <w:r>
              <w:t>No register of AI systems or screening against Art. 5 / Annex III</w:t>
            </w:r>
          </w:p>
        </w:tc>
        <w:tc>
          <w:tcPr>
            <w:tcW w:w="1872" w:type="dxa"/>
          </w:tcPr>
          <w:p w14:paraId="520DD6ED" w14:textId="7AA4F766" w:rsidR="3A123FE3" w:rsidRDefault="3A123FE3">
            <w:r>
              <w:t>High</w:t>
            </w:r>
          </w:p>
        </w:tc>
      </w:tr>
      <w:tr w:rsidR="3A123FE3" w14:paraId="50708436" w14:textId="77777777" w:rsidTr="3A123FE3">
        <w:tc>
          <w:tcPr>
            <w:tcW w:w="1872" w:type="dxa"/>
          </w:tcPr>
          <w:p w14:paraId="75B252AA" w14:textId="11BA57DB" w:rsidR="3A123FE3" w:rsidRDefault="3A123FE3">
            <w:r>
              <w:t>Legal basis and DPIA for AI processing</w:t>
            </w:r>
          </w:p>
        </w:tc>
        <w:tc>
          <w:tcPr>
            <w:tcW w:w="1872" w:type="dxa"/>
          </w:tcPr>
          <w:p w14:paraId="7E7FD27F" w14:textId="0A983E9F" w:rsidR="3A123FE3" w:rsidRDefault="3A123FE3">
            <w:r>
              <w:t>GDPR Art. 6, Art. 35; EDPB Opinion on AI models</w:t>
            </w:r>
          </w:p>
        </w:tc>
        <w:tc>
          <w:tcPr>
            <w:tcW w:w="1872" w:type="dxa"/>
          </w:tcPr>
          <w:p w14:paraId="79E81E43" w14:textId="03762563" w:rsidR="3A123FE3" w:rsidRDefault="3A123FE3">
            <w:r>
              <w:t xml:space="preserve">Policy book commits to PII redaction and residency; no DPIA, legitimate-interest assessment or </w:t>
            </w:r>
            <w:r>
              <w:lastRenderedPageBreak/>
              <w:t>records of processing found</w:t>
            </w:r>
          </w:p>
        </w:tc>
        <w:tc>
          <w:tcPr>
            <w:tcW w:w="1872" w:type="dxa"/>
          </w:tcPr>
          <w:p w14:paraId="63713F02" w14:textId="7C540C27" w:rsidR="3A123FE3" w:rsidRDefault="3A123FE3">
            <w:proofErr w:type="gramStart"/>
            <w:r>
              <w:lastRenderedPageBreak/>
              <w:t>Controls</w:t>
            </w:r>
            <w:proofErr w:type="gramEnd"/>
            <w:r>
              <w:t xml:space="preserve"> designed, not evidenced</w:t>
            </w:r>
          </w:p>
        </w:tc>
        <w:tc>
          <w:tcPr>
            <w:tcW w:w="1872" w:type="dxa"/>
          </w:tcPr>
          <w:p w14:paraId="6EF1C3B0" w14:textId="7531F2EB" w:rsidR="3A123FE3" w:rsidRDefault="3A123FE3">
            <w:r>
              <w:t>Medium</w:t>
            </w:r>
          </w:p>
        </w:tc>
      </w:tr>
      <w:tr w:rsidR="3A123FE3" w14:paraId="30CE3F57" w14:textId="77777777" w:rsidTr="3A123FE3">
        <w:tc>
          <w:tcPr>
            <w:tcW w:w="1872" w:type="dxa"/>
          </w:tcPr>
          <w:p w14:paraId="190D8E32" w14:textId="0C475360" w:rsidR="3A123FE3" w:rsidRDefault="3A123FE3">
            <w:r>
              <w:t>AI transparency (Art. 50)</w:t>
            </w:r>
          </w:p>
        </w:tc>
        <w:tc>
          <w:tcPr>
            <w:tcW w:w="1872" w:type="dxa"/>
          </w:tcPr>
          <w:p w14:paraId="4428A536" w14:textId="05253A24" w:rsidR="3A123FE3" w:rsidRDefault="3A123FE3">
            <w:r>
              <w:t>Labelling of AI-generated content from 2 Aug 2026; Commission guidelines of 20 Jul 2026</w:t>
            </w:r>
          </w:p>
        </w:tc>
        <w:tc>
          <w:tcPr>
            <w:tcW w:w="1872" w:type="dxa"/>
          </w:tcPr>
          <w:p w14:paraId="25D13B9D" w14:textId="7E0320E8" w:rsidR="3A123FE3" w:rsidRDefault="3A123FE3">
            <w:r>
              <w:t>No policy or process for labelling AI-generated marketing content found</w:t>
            </w:r>
          </w:p>
        </w:tc>
        <w:tc>
          <w:tcPr>
            <w:tcW w:w="1872" w:type="dxa"/>
          </w:tcPr>
          <w:p w14:paraId="4760E7CB" w14:textId="76E107AC" w:rsidR="3A123FE3" w:rsidRDefault="3A123FE3">
            <w:r>
              <w:t>Live obligation with no documented control</w:t>
            </w:r>
          </w:p>
        </w:tc>
        <w:tc>
          <w:tcPr>
            <w:tcW w:w="1872" w:type="dxa"/>
          </w:tcPr>
          <w:p w14:paraId="3FCB193C" w14:textId="6FBEEE70" w:rsidR="3A123FE3" w:rsidRDefault="3A123FE3">
            <w:r>
              <w:t>High</w:t>
            </w:r>
          </w:p>
        </w:tc>
      </w:tr>
      <w:tr w:rsidR="3A123FE3" w14:paraId="1E0FE819" w14:textId="77777777" w:rsidTr="3A123FE3">
        <w:tc>
          <w:tcPr>
            <w:tcW w:w="1872" w:type="dxa"/>
          </w:tcPr>
          <w:p w14:paraId="41C9A3FE" w14:textId="06D44EE5" w:rsidR="3A123FE3" w:rsidRDefault="3A123FE3">
            <w:r>
              <w:t>AI literacy (Art. 4)</w:t>
            </w:r>
          </w:p>
        </w:tc>
        <w:tc>
          <w:tcPr>
            <w:tcW w:w="1872" w:type="dxa"/>
          </w:tcPr>
          <w:p w14:paraId="1A58F0A7" w14:textId="7FB235A9" w:rsidR="3A123FE3" w:rsidRDefault="3A123FE3">
            <w:r>
              <w:t>Support development of AI literacy for staff operating AI systems</w:t>
            </w:r>
          </w:p>
        </w:tc>
        <w:tc>
          <w:tcPr>
            <w:tcW w:w="1872" w:type="dxa"/>
          </w:tcPr>
          <w:p w14:paraId="463CB25E" w14:textId="78901C6D" w:rsidR="3A123FE3" w:rsidRDefault="3A123FE3">
            <w:r>
              <w:t>No training plan or literacy record found</w:t>
            </w:r>
          </w:p>
        </w:tc>
        <w:tc>
          <w:tcPr>
            <w:tcW w:w="1872" w:type="dxa"/>
          </w:tcPr>
          <w:p w14:paraId="7DB1B48E" w14:textId="716E0331" w:rsidR="3A123FE3" w:rsidRDefault="3A123FE3">
            <w:r>
              <w:t>No evidence of programme</w:t>
            </w:r>
          </w:p>
        </w:tc>
        <w:tc>
          <w:tcPr>
            <w:tcW w:w="1872" w:type="dxa"/>
          </w:tcPr>
          <w:p w14:paraId="5AF5A8E5" w14:textId="6A4BE9F5" w:rsidR="3A123FE3" w:rsidRDefault="3A123FE3">
            <w:r>
              <w:t>Medium</w:t>
            </w:r>
          </w:p>
        </w:tc>
      </w:tr>
      <w:tr w:rsidR="3A123FE3" w14:paraId="52F3D38F" w14:textId="77777777" w:rsidTr="3A123FE3">
        <w:tc>
          <w:tcPr>
            <w:tcW w:w="1872" w:type="dxa"/>
          </w:tcPr>
          <w:p w14:paraId="7A921C38" w14:textId="01614A6A" w:rsidR="3A123FE3" w:rsidRDefault="3A123FE3">
            <w:r>
              <w:t>DLP, identity and access controls</w:t>
            </w:r>
          </w:p>
        </w:tc>
        <w:tc>
          <w:tcPr>
            <w:tcW w:w="1872" w:type="dxa"/>
          </w:tcPr>
          <w:p w14:paraId="40EE6EEC" w14:textId="7A3F312E" w:rsidR="3A123FE3" w:rsidRDefault="3A123FE3">
            <w:r>
              <w:t>GDPR Art. 32 security of processing; internal policy book pillars 3 and 4</w:t>
            </w:r>
          </w:p>
        </w:tc>
        <w:tc>
          <w:tcPr>
            <w:tcW w:w="1872" w:type="dxa"/>
          </w:tcPr>
          <w:p w14:paraId="3133394F" w14:textId="731D17F2" w:rsidR="3A123FE3" w:rsidRDefault="3A123FE3">
            <w:r>
              <w:t>Checklist and RACI describe DLP in Copilot Studio, Entra ID, least privilege; Microsoft notice requires Authentication Methods Policy change before 1 Feb 2027; no implementation evidence</w:t>
            </w:r>
          </w:p>
        </w:tc>
        <w:tc>
          <w:tcPr>
            <w:tcW w:w="1872" w:type="dxa"/>
          </w:tcPr>
          <w:p w14:paraId="11B7E174" w14:textId="6BFAFEB6" w:rsidR="3A123FE3" w:rsidRDefault="3A123FE3">
            <w:r>
              <w:t>Designed, not evidenced; MFA policy change pending</w:t>
            </w:r>
          </w:p>
        </w:tc>
        <w:tc>
          <w:tcPr>
            <w:tcW w:w="1872" w:type="dxa"/>
          </w:tcPr>
          <w:p w14:paraId="7FC6925A" w14:textId="64D8E57A" w:rsidR="3A123FE3" w:rsidRDefault="3A123FE3">
            <w:r>
              <w:t>Medium</w:t>
            </w:r>
          </w:p>
        </w:tc>
      </w:tr>
      <w:tr w:rsidR="3A123FE3" w14:paraId="200DD7B3" w14:textId="77777777" w:rsidTr="3A123FE3">
        <w:tc>
          <w:tcPr>
            <w:tcW w:w="1872" w:type="dxa"/>
          </w:tcPr>
          <w:p w14:paraId="643450E3" w14:textId="7BEE45EF" w:rsidR="3A123FE3" w:rsidRDefault="3A123FE3">
            <w:r>
              <w:t>Governance ownership and cadence</w:t>
            </w:r>
          </w:p>
        </w:tc>
        <w:tc>
          <w:tcPr>
            <w:tcW w:w="1872" w:type="dxa"/>
          </w:tcPr>
          <w:p w14:paraId="5702FE85" w14:textId="74CC2CB3" w:rsidR="3A123FE3" w:rsidRDefault="3A123FE3">
            <w:r>
              <w:t>Accountability (GDPR Art. 5(2)); AI Act deployer obligations</w:t>
            </w:r>
          </w:p>
        </w:tc>
        <w:tc>
          <w:tcPr>
            <w:tcW w:w="1872" w:type="dxa"/>
          </w:tcPr>
          <w:p w14:paraId="78403FDC" w14:textId="6DAA1377" w:rsidR="3A123FE3" w:rsidRDefault="3A123FE3">
            <w:r>
              <w:t>RACI names roles, not people; ZAG-5 compliance criteria overdue; no compliance meetings on calendar in six months</w:t>
            </w:r>
          </w:p>
        </w:tc>
        <w:tc>
          <w:tcPr>
            <w:tcW w:w="1872" w:type="dxa"/>
          </w:tcPr>
          <w:p w14:paraId="6BC5655F" w14:textId="6687FA3B" w:rsidR="3A123FE3" w:rsidRDefault="3A123FE3">
            <w:r>
              <w:t>No named owners, no review cadence</w:t>
            </w:r>
          </w:p>
        </w:tc>
        <w:tc>
          <w:tcPr>
            <w:tcW w:w="1872" w:type="dxa"/>
          </w:tcPr>
          <w:p w14:paraId="59133052" w14:textId="5F65E0FF" w:rsidR="3A123FE3" w:rsidRDefault="3A123FE3">
            <w:r>
              <w:t>High</w:t>
            </w:r>
          </w:p>
        </w:tc>
      </w:tr>
      <w:tr w:rsidR="3A123FE3" w14:paraId="1ED28F88" w14:textId="77777777" w:rsidTr="3A123FE3">
        <w:tc>
          <w:tcPr>
            <w:tcW w:w="1872" w:type="dxa"/>
          </w:tcPr>
          <w:p w14:paraId="722649B6" w14:textId="767B4174" w:rsidR="3A123FE3" w:rsidRDefault="3A123FE3">
            <w:r>
              <w:t>Incident response and connector health</w:t>
            </w:r>
          </w:p>
        </w:tc>
        <w:tc>
          <w:tcPr>
            <w:tcW w:w="1872" w:type="dxa"/>
          </w:tcPr>
          <w:p w14:paraId="5BB02C17" w14:textId="6F592838" w:rsidR="3A123FE3" w:rsidRDefault="3A123FE3">
            <w:r>
              <w:t>GDPR Art. 33 breach notification within 72 hours; AI Act post-market monitoring</w:t>
            </w:r>
          </w:p>
        </w:tc>
        <w:tc>
          <w:tcPr>
            <w:tcW w:w="1872" w:type="dxa"/>
          </w:tcPr>
          <w:p w14:paraId="5F236865" w14:textId="68370EFC" w:rsidR="3A123FE3" w:rsidRDefault="3A123FE3">
            <w:r>
              <w:t>Policy book lists escalation workflows; ServiceNow and Jira connector issues open since Aug 2026 flagged as compliance and data-integrity risks</w:t>
            </w:r>
          </w:p>
        </w:tc>
        <w:tc>
          <w:tcPr>
            <w:tcW w:w="1872" w:type="dxa"/>
          </w:tcPr>
          <w:p w14:paraId="33BA9570" w14:textId="6114F5C0" w:rsidR="3A123FE3" w:rsidRDefault="3A123FE3">
            <w:r>
              <w:t>Process described, not tested; known issues unresolved</w:t>
            </w:r>
          </w:p>
        </w:tc>
        <w:tc>
          <w:tcPr>
            <w:tcW w:w="1872" w:type="dxa"/>
          </w:tcPr>
          <w:p w14:paraId="706B1A07" w14:textId="59F2DC84" w:rsidR="3A123FE3" w:rsidRDefault="3A123FE3">
            <w:r>
              <w:t>Medium</w:t>
            </w:r>
          </w:p>
        </w:tc>
      </w:tr>
    </w:tbl>
    <w:p w14:paraId="4569D538" w14:textId="11A41D52" w:rsidR="3A123FE3" w:rsidRDefault="3A123FE3" w:rsidP="3A123FE3">
      <w:pPr>
        <w:pStyle w:val="Heading1"/>
      </w:pPr>
      <w:r w:rsidRPr="3A123FE3">
        <w:rPr>
          <w:color w:val="64381F"/>
        </w:rPr>
        <w:lastRenderedPageBreak/>
        <w:t>5. Prioritised remediation actions</w:t>
      </w:r>
    </w:p>
    <w:p w14:paraId="5A208BE3" w14:textId="307E3438" w:rsidR="3A123FE3" w:rsidRDefault="3A123FE3">
      <w:r>
        <w:t>Owners are drawn from the roles in AI_Governance_Strategy_RACI and from the people already attached to the open items in the task digests. Where the RACI names a role rather than a person, the role is given and should be mapped to an individual as the first action. Target dates assume a start in the week of 7 September 2026.</w:t>
      </w:r>
    </w:p>
    <w:tbl>
      <w:tblPr>
        <w:tblStyle w:val="TableGrid"/>
        <w:tblW w:w="0" w:type="auto"/>
        <w:tblLook w:val="0000" w:firstRow="0" w:lastRow="0" w:firstColumn="0" w:lastColumn="0" w:noHBand="0" w:noVBand="0"/>
      </w:tblPr>
      <w:tblGrid>
        <w:gridCol w:w="1720"/>
        <w:gridCol w:w="1827"/>
        <w:gridCol w:w="1812"/>
        <w:gridCol w:w="1697"/>
        <w:gridCol w:w="1800"/>
      </w:tblGrid>
      <w:tr w:rsidR="3A123FE3" w14:paraId="339C3002" w14:textId="77777777" w:rsidTr="3A123FE3">
        <w:tc>
          <w:tcPr>
            <w:tcW w:w="1872" w:type="dxa"/>
          </w:tcPr>
          <w:p w14:paraId="36758ACE" w14:textId="5BA1F145" w:rsidR="3A123FE3" w:rsidRDefault="3A123FE3">
            <w:r w:rsidRPr="3A123FE3">
              <w:rPr>
                <w:b/>
                <w:bCs/>
              </w:rPr>
              <w:t>Priority</w:t>
            </w:r>
          </w:p>
        </w:tc>
        <w:tc>
          <w:tcPr>
            <w:tcW w:w="1872" w:type="dxa"/>
          </w:tcPr>
          <w:p w14:paraId="3003BBD3" w14:textId="547FD809" w:rsidR="3A123FE3" w:rsidRDefault="3A123FE3">
            <w:r>
              <w:t>Action</w:t>
            </w:r>
          </w:p>
        </w:tc>
        <w:tc>
          <w:tcPr>
            <w:tcW w:w="1872" w:type="dxa"/>
          </w:tcPr>
          <w:p w14:paraId="41F58E2F" w14:textId="4D5DBECD" w:rsidR="3A123FE3" w:rsidRDefault="3A123FE3">
            <w:r w:rsidRPr="3A123FE3">
              <w:rPr>
                <w:b/>
                <w:bCs/>
              </w:rPr>
              <w:t>Owner</w:t>
            </w:r>
          </w:p>
        </w:tc>
        <w:tc>
          <w:tcPr>
            <w:tcW w:w="1872" w:type="dxa"/>
          </w:tcPr>
          <w:p w14:paraId="72B14743" w14:textId="463BA591" w:rsidR="3A123FE3" w:rsidRDefault="3A123FE3">
            <w:r w:rsidRPr="3A123FE3">
              <w:rPr>
                <w:b/>
                <w:bCs/>
              </w:rPr>
              <w:t>Target date</w:t>
            </w:r>
          </w:p>
        </w:tc>
        <w:tc>
          <w:tcPr>
            <w:tcW w:w="1872" w:type="dxa"/>
          </w:tcPr>
          <w:p w14:paraId="4BA28F19" w14:textId="3F198C55" w:rsidR="3A123FE3" w:rsidRDefault="3A123FE3">
            <w:r w:rsidRPr="3A123FE3">
              <w:rPr>
                <w:b/>
                <w:bCs/>
              </w:rPr>
              <w:t>Closes gap</w:t>
            </w:r>
          </w:p>
        </w:tc>
      </w:tr>
      <w:tr w:rsidR="3A123FE3" w14:paraId="63C6A90B" w14:textId="77777777" w:rsidTr="3A123FE3">
        <w:tc>
          <w:tcPr>
            <w:tcW w:w="1872" w:type="dxa"/>
          </w:tcPr>
          <w:p w14:paraId="6D4A349A" w14:textId="562EECCA" w:rsidR="3A123FE3" w:rsidRDefault="3A123FE3">
            <w:r>
              <w:t>1</w:t>
            </w:r>
          </w:p>
        </w:tc>
        <w:tc>
          <w:tcPr>
            <w:tcW w:w="1872" w:type="dxa"/>
          </w:tcPr>
          <w:p w14:paraId="775ED68B" w14:textId="4F0CD38E" w:rsidR="3A123FE3" w:rsidRDefault="3A123FE3">
            <w:r>
              <w:t>Issue the formal clarification request to ERPMax and IntegraPro for GDPR processor terms, EMEA data-centre locations, ISO 27001 / SOC 2 certificates and SLA penalties; make evidence a condition of award</w:t>
            </w:r>
          </w:p>
        </w:tc>
        <w:tc>
          <w:tcPr>
            <w:tcW w:w="1872" w:type="dxa"/>
          </w:tcPr>
          <w:p w14:paraId="513128D8" w14:textId="47EABA52" w:rsidR="3A123FE3" w:rsidRDefault="3A123FE3">
            <w:r>
              <w:t>Corey Gray (procurement owner) with Compliance Officer</w:t>
            </w:r>
          </w:p>
        </w:tc>
        <w:tc>
          <w:tcPr>
            <w:tcW w:w="1872" w:type="dxa"/>
          </w:tcPr>
          <w:p w14:paraId="7349AD92" w14:textId="40C8A116" w:rsidR="3A123FE3" w:rsidRDefault="3A123FE3">
            <w:r>
              <w:t>19 Sept 2026</w:t>
            </w:r>
          </w:p>
        </w:tc>
        <w:tc>
          <w:tcPr>
            <w:tcW w:w="1872" w:type="dxa"/>
          </w:tcPr>
          <w:p w14:paraId="4B181F45" w14:textId="39A687DA" w:rsidR="3A123FE3" w:rsidRDefault="3A123FE3">
            <w:r>
              <w:t>Vendor due diligence</w:t>
            </w:r>
          </w:p>
        </w:tc>
      </w:tr>
      <w:tr w:rsidR="3A123FE3" w14:paraId="28D3B951" w14:textId="77777777" w:rsidTr="3A123FE3">
        <w:tc>
          <w:tcPr>
            <w:tcW w:w="1872" w:type="dxa"/>
          </w:tcPr>
          <w:p w14:paraId="4F3E4E6C" w14:textId="50BBE84F" w:rsidR="3A123FE3" w:rsidRDefault="3A123FE3">
            <w:r>
              <w:t>2</w:t>
            </w:r>
          </w:p>
        </w:tc>
        <w:tc>
          <w:tcPr>
            <w:tcW w:w="1872" w:type="dxa"/>
          </w:tcPr>
          <w:p w14:paraId="46497898" w14:textId="4999CF13" w:rsidR="3A123FE3" w:rsidRDefault="3A123FE3">
            <w:r>
              <w:t>Complete ZAG-4 and ZAG-5: define governance scope and compliance criteria for agent behaviour, and reply to Adil Eli with the S2P agent status</w:t>
            </w:r>
          </w:p>
        </w:tc>
        <w:tc>
          <w:tcPr>
            <w:tcW w:w="1872" w:type="dxa"/>
          </w:tcPr>
          <w:p w14:paraId="2198349B" w14:textId="4277B5D7" w:rsidR="3A123FE3" w:rsidRDefault="3A123FE3">
            <w:r>
              <w:t>Corey Gray; Daichi Maruyama informed</w:t>
            </w:r>
          </w:p>
        </w:tc>
        <w:tc>
          <w:tcPr>
            <w:tcW w:w="1872" w:type="dxa"/>
          </w:tcPr>
          <w:p w14:paraId="30E6523F" w14:textId="3B559C9B" w:rsidR="3A123FE3" w:rsidRDefault="3A123FE3">
            <w:r>
              <w:t>19 Sept 2026</w:t>
            </w:r>
          </w:p>
        </w:tc>
        <w:tc>
          <w:tcPr>
            <w:tcW w:w="1872" w:type="dxa"/>
          </w:tcPr>
          <w:p w14:paraId="18F3FDCD" w14:textId="3433835F" w:rsidR="3A123FE3" w:rsidRDefault="3A123FE3">
            <w:r>
              <w:t>Governance ownership</w:t>
            </w:r>
          </w:p>
        </w:tc>
      </w:tr>
      <w:tr w:rsidR="3A123FE3" w14:paraId="4B1D7934" w14:textId="77777777" w:rsidTr="3A123FE3">
        <w:tc>
          <w:tcPr>
            <w:tcW w:w="1872" w:type="dxa"/>
          </w:tcPr>
          <w:p w14:paraId="7834F23D" w14:textId="4B48E3D4" w:rsidR="3A123FE3" w:rsidRDefault="3A123FE3">
            <w:r>
              <w:t>3</w:t>
            </w:r>
          </w:p>
        </w:tc>
        <w:tc>
          <w:tcPr>
            <w:tcW w:w="1872" w:type="dxa"/>
          </w:tcPr>
          <w:p w14:paraId="35271BBE" w14:textId="4426CA98" w:rsidR="3A123FE3" w:rsidRDefault="3A123FE3">
            <w:r>
              <w:t>Map every RACI role (AI Governance Lead, Compliance Officer, Security Officer, Platform Admin) to a named individual and set a monthly compliance review on the calendar</w:t>
            </w:r>
          </w:p>
        </w:tc>
        <w:tc>
          <w:tcPr>
            <w:tcW w:w="1872" w:type="dxa"/>
          </w:tcPr>
          <w:p w14:paraId="1A4AE76A" w14:textId="3D04B15C" w:rsidR="3A123FE3" w:rsidRDefault="3A123FE3">
            <w:r>
              <w:t>Daichi Maruyama (accountable) with AI Governance Lead</w:t>
            </w:r>
          </w:p>
        </w:tc>
        <w:tc>
          <w:tcPr>
            <w:tcW w:w="1872" w:type="dxa"/>
          </w:tcPr>
          <w:p w14:paraId="670382F3" w14:textId="35E29820" w:rsidR="3A123FE3" w:rsidRDefault="3A123FE3">
            <w:r>
              <w:t>30 Sept 2026</w:t>
            </w:r>
          </w:p>
        </w:tc>
        <w:tc>
          <w:tcPr>
            <w:tcW w:w="1872" w:type="dxa"/>
          </w:tcPr>
          <w:p w14:paraId="319A0DEE" w14:textId="2EC07EE4" w:rsidR="3A123FE3" w:rsidRDefault="3A123FE3">
            <w:r>
              <w:t>Governance ownership</w:t>
            </w:r>
          </w:p>
        </w:tc>
      </w:tr>
      <w:tr w:rsidR="3A123FE3" w14:paraId="29B9C4B6" w14:textId="77777777" w:rsidTr="3A123FE3">
        <w:tc>
          <w:tcPr>
            <w:tcW w:w="1872" w:type="dxa"/>
          </w:tcPr>
          <w:p w14:paraId="613EA7FD" w14:textId="45D5DF59" w:rsidR="3A123FE3" w:rsidRDefault="3A123FE3">
            <w:r>
              <w:t>4</w:t>
            </w:r>
          </w:p>
        </w:tc>
        <w:tc>
          <w:tcPr>
            <w:tcW w:w="1872" w:type="dxa"/>
          </w:tcPr>
          <w:p w14:paraId="3BB19AFC" w14:textId="3EB3C61D" w:rsidR="3A123FE3" w:rsidRDefault="3A123FE3">
            <w:r>
              <w:t xml:space="preserve">Build an AI system </w:t>
            </w:r>
            <w:r>
              <w:lastRenderedPageBreak/>
              <w:t>inventory covering Copilot Studio agents, Azure AI Foundry and custom agents; screen each against AI Act Art. 5 and Annex III and record the classification</w:t>
            </w:r>
          </w:p>
        </w:tc>
        <w:tc>
          <w:tcPr>
            <w:tcW w:w="1872" w:type="dxa"/>
          </w:tcPr>
          <w:p w14:paraId="4AAB6569" w14:textId="3791ACE1" w:rsidR="3A123FE3" w:rsidRDefault="3A123FE3">
            <w:r>
              <w:lastRenderedPageBreak/>
              <w:t xml:space="preserve">AI Governance Lead with </w:t>
            </w:r>
            <w:r>
              <w:lastRenderedPageBreak/>
              <w:t>Platform Admin</w:t>
            </w:r>
          </w:p>
        </w:tc>
        <w:tc>
          <w:tcPr>
            <w:tcW w:w="1872" w:type="dxa"/>
          </w:tcPr>
          <w:p w14:paraId="376A9466" w14:textId="306F93A5" w:rsidR="3A123FE3" w:rsidRDefault="3A123FE3">
            <w:r>
              <w:lastRenderedPageBreak/>
              <w:t>31 Oct 2026</w:t>
            </w:r>
          </w:p>
        </w:tc>
        <w:tc>
          <w:tcPr>
            <w:tcW w:w="1872" w:type="dxa"/>
          </w:tcPr>
          <w:p w14:paraId="5933A84C" w14:textId="294D7A69" w:rsidR="3A123FE3" w:rsidRDefault="3A123FE3">
            <w:r>
              <w:t>AI inventory and classification</w:t>
            </w:r>
          </w:p>
        </w:tc>
      </w:tr>
      <w:tr w:rsidR="3A123FE3" w14:paraId="432050F9" w14:textId="77777777" w:rsidTr="3A123FE3">
        <w:tc>
          <w:tcPr>
            <w:tcW w:w="1872" w:type="dxa"/>
          </w:tcPr>
          <w:p w14:paraId="5B8FACC1" w14:textId="4062DADE" w:rsidR="3A123FE3" w:rsidRDefault="3A123FE3">
            <w:r>
              <w:t>5</w:t>
            </w:r>
          </w:p>
        </w:tc>
        <w:tc>
          <w:tcPr>
            <w:tcW w:w="1872" w:type="dxa"/>
          </w:tcPr>
          <w:p w14:paraId="5DC3711B" w14:textId="3940C1A2" w:rsidR="3A123FE3" w:rsidRDefault="3A123FE3">
            <w:r>
              <w:t>Adopt a labelling standard for AI-generated marketing content in line with the Commission's Art. 50 guidelines of 20 July 2026</w:t>
            </w:r>
          </w:p>
        </w:tc>
        <w:tc>
          <w:tcPr>
            <w:tcW w:w="1872" w:type="dxa"/>
          </w:tcPr>
          <w:p w14:paraId="18EA25BE" w14:textId="321EA866" w:rsidR="3A123FE3" w:rsidRDefault="3A123FE3">
            <w:r>
              <w:t>Marketing (Corey Gray) with Compliance Officer</w:t>
            </w:r>
          </w:p>
        </w:tc>
        <w:tc>
          <w:tcPr>
            <w:tcW w:w="1872" w:type="dxa"/>
          </w:tcPr>
          <w:p w14:paraId="3CB90432" w14:textId="2AFC8F2A" w:rsidR="3A123FE3" w:rsidRDefault="3A123FE3">
            <w:r>
              <w:t>31 Oct 2026</w:t>
            </w:r>
          </w:p>
        </w:tc>
        <w:tc>
          <w:tcPr>
            <w:tcW w:w="1872" w:type="dxa"/>
          </w:tcPr>
          <w:p w14:paraId="27B5241E" w14:textId="23DA75EE" w:rsidR="3A123FE3" w:rsidRDefault="3A123FE3">
            <w:r>
              <w:t>AI transparency</w:t>
            </w:r>
          </w:p>
        </w:tc>
      </w:tr>
      <w:tr w:rsidR="3A123FE3" w14:paraId="5A969E71" w14:textId="77777777" w:rsidTr="3A123FE3">
        <w:tc>
          <w:tcPr>
            <w:tcW w:w="1872" w:type="dxa"/>
          </w:tcPr>
          <w:p w14:paraId="3386A5F6" w14:textId="3AEFD663" w:rsidR="3A123FE3" w:rsidRDefault="3A123FE3">
            <w:r>
              <w:t>6</w:t>
            </w:r>
          </w:p>
        </w:tc>
        <w:tc>
          <w:tcPr>
            <w:tcW w:w="1872" w:type="dxa"/>
          </w:tcPr>
          <w:p w14:paraId="1F140FD6" w14:textId="33CDBD27" w:rsidR="3A123FE3" w:rsidRDefault="3A123FE3">
            <w:r>
              <w:t>Document legal basis and complete DPIAs for AI processing of personal data, using the EDPB Opinion on AI models; expand the policy book into the full framework its comments promise</w:t>
            </w:r>
          </w:p>
        </w:tc>
        <w:tc>
          <w:tcPr>
            <w:tcW w:w="1872" w:type="dxa"/>
          </w:tcPr>
          <w:p w14:paraId="53B1D2FF" w14:textId="2CABA3EB" w:rsidR="3A123FE3" w:rsidRDefault="3A123FE3">
            <w:r>
              <w:t>Compliance Officer with AI Governance Lead</w:t>
            </w:r>
          </w:p>
        </w:tc>
        <w:tc>
          <w:tcPr>
            <w:tcW w:w="1872" w:type="dxa"/>
          </w:tcPr>
          <w:p w14:paraId="76356C95" w14:textId="25898AAF" w:rsidR="3A123FE3" w:rsidRDefault="3A123FE3">
            <w:r>
              <w:t>30 Nov 2026</w:t>
            </w:r>
          </w:p>
        </w:tc>
        <w:tc>
          <w:tcPr>
            <w:tcW w:w="1872" w:type="dxa"/>
          </w:tcPr>
          <w:p w14:paraId="6097E65C" w14:textId="1E677173" w:rsidR="3A123FE3" w:rsidRDefault="3A123FE3">
            <w:r>
              <w:t>Legal basis and DPIA</w:t>
            </w:r>
          </w:p>
        </w:tc>
      </w:tr>
      <w:tr w:rsidR="3A123FE3" w14:paraId="2E9BAAB8" w14:textId="77777777" w:rsidTr="3A123FE3">
        <w:tc>
          <w:tcPr>
            <w:tcW w:w="1872" w:type="dxa"/>
          </w:tcPr>
          <w:p w14:paraId="242C7417" w14:textId="357CD1E8" w:rsidR="3A123FE3" w:rsidRDefault="3A123FE3">
            <w:r>
              <w:t>7</w:t>
            </w:r>
          </w:p>
        </w:tc>
        <w:tc>
          <w:tcPr>
            <w:tcW w:w="1872" w:type="dxa"/>
          </w:tcPr>
          <w:p w14:paraId="6671EABA" w14:textId="2E5AB8AC" w:rsidR="3A123FE3" w:rsidRDefault="3A123FE3">
            <w:r>
              <w:t>Resolve the ServiceNow and Jira connector issues and record the outcome; test the escalation workflow against the 72-hour breach notification requirement</w:t>
            </w:r>
          </w:p>
        </w:tc>
        <w:tc>
          <w:tcPr>
            <w:tcW w:w="1872" w:type="dxa"/>
          </w:tcPr>
          <w:p w14:paraId="5FE9C70C" w14:textId="27389F70" w:rsidR="3A123FE3" w:rsidRDefault="3A123FE3">
            <w:r>
              <w:t>Platform Admin with Security Officer</w:t>
            </w:r>
          </w:p>
        </w:tc>
        <w:tc>
          <w:tcPr>
            <w:tcW w:w="1872" w:type="dxa"/>
          </w:tcPr>
          <w:p w14:paraId="647049E1" w14:textId="20168634" w:rsidR="3A123FE3" w:rsidRDefault="3A123FE3">
            <w:r>
              <w:t>30 Sept 2026</w:t>
            </w:r>
          </w:p>
        </w:tc>
        <w:tc>
          <w:tcPr>
            <w:tcW w:w="1872" w:type="dxa"/>
          </w:tcPr>
          <w:p w14:paraId="47291CB4" w14:textId="18F46CF8" w:rsidR="3A123FE3" w:rsidRDefault="3A123FE3">
            <w:r>
              <w:t>Incident response and connector health</w:t>
            </w:r>
          </w:p>
        </w:tc>
      </w:tr>
      <w:tr w:rsidR="3A123FE3" w14:paraId="4FB800C7" w14:textId="77777777" w:rsidTr="3A123FE3">
        <w:tc>
          <w:tcPr>
            <w:tcW w:w="1872" w:type="dxa"/>
          </w:tcPr>
          <w:p w14:paraId="36BAA6C1" w14:textId="3009CD6D" w:rsidR="3A123FE3" w:rsidRDefault="3A123FE3">
            <w:r>
              <w:t>8</w:t>
            </w:r>
          </w:p>
        </w:tc>
        <w:tc>
          <w:tcPr>
            <w:tcW w:w="1872" w:type="dxa"/>
          </w:tcPr>
          <w:p w14:paraId="48503DB4" w14:textId="28E7B431" w:rsidR="3A123FE3" w:rsidRDefault="3A123FE3">
            <w:r>
              <w:t xml:space="preserve">Implement the DLP, Entra ID and least-privilege </w:t>
            </w:r>
            <w:r>
              <w:lastRenderedPageBreak/>
              <w:t>controls in the checklist and update the Authentication Methods Policy ahead of the 1 Feb 2027 SMS/voice retirement; launch an AI-literacy briefing for staff using AI tools</w:t>
            </w:r>
          </w:p>
        </w:tc>
        <w:tc>
          <w:tcPr>
            <w:tcW w:w="1872" w:type="dxa"/>
          </w:tcPr>
          <w:p w14:paraId="5DDB9C32" w14:textId="21C59AF5" w:rsidR="3A123FE3" w:rsidRDefault="3A123FE3">
            <w:r>
              <w:lastRenderedPageBreak/>
              <w:t xml:space="preserve">Security Officer and Identity Management Team; AI </w:t>
            </w:r>
            <w:r>
              <w:lastRenderedPageBreak/>
              <w:t>Governance Lead for literacy</w:t>
            </w:r>
          </w:p>
        </w:tc>
        <w:tc>
          <w:tcPr>
            <w:tcW w:w="1872" w:type="dxa"/>
          </w:tcPr>
          <w:p w14:paraId="5E756088" w14:textId="1AA381B9" w:rsidR="3A123FE3" w:rsidRDefault="3A123FE3">
            <w:r>
              <w:lastRenderedPageBreak/>
              <w:t>31 Dec 2026</w:t>
            </w:r>
          </w:p>
        </w:tc>
        <w:tc>
          <w:tcPr>
            <w:tcW w:w="1872" w:type="dxa"/>
          </w:tcPr>
          <w:p w14:paraId="4ED4F11F" w14:textId="1381687D" w:rsidR="3A123FE3" w:rsidRDefault="3A123FE3">
            <w:r>
              <w:t>DLP and identity; AI literacy</w:t>
            </w:r>
          </w:p>
        </w:tc>
      </w:tr>
    </w:tbl>
    <w:p w14:paraId="7D680BE5" w14:textId="1A0AF226" w:rsidR="3A123FE3" w:rsidRDefault="3A123FE3" w:rsidP="3A123FE3">
      <w:pPr>
        <w:pStyle w:val="Heading1"/>
      </w:pPr>
      <w:r w:rsidRPr="3A123FE3">
        <w:rPr>
          <w:color w:val="64381F"/>
        </w:rPr>
        <w:t>6. Sources</w:t>
      </w:r>
    </w:p>
    <w:p w14:paraId="67B29935" w14:textId="702A9D28" w:rsidR="3A123FE3" w:rsidRDefault="3A123FE3" w:rsidP="3A123FE3">
      <w:pPr>
        <w:pStyle w:val="Heading2"/>
      </w:pPr>
      <w:r w:rsidRPr="3A123FE3">
        <w:rPr>
          <w:color w:val="64381F"/>
        </w:rPr>
        <w:t>Internal (Microsoft 365)</w:t>
      </w:r>
    </w:p>
    <w:p w14:paraId="301A1CC3" w14:textId="154BD4DD" w:rsidR="3A123FE3" w:rsidRDefault="3A123FE3">
      <w:r>
        <w:t>AI_Governance_Policy_Book.docx, Corey Gray, 4 February 2026 (OneDrive). AI_Governance_QuickStart_Checklist.docx, Corey Gray (OneDrive). AI_Governance_Strategy_RACI.docx, Corey Gray (OneDrive). Teams chat with Contoso S2P, Cloud ERP Software Procurement Vendor Offer Analysis, RFP-2026-001, 26 February 2026. Email, Daily Task Digest, Sunday 6 September 2026 (Jira ZAG items, connector issues, ERP procurement actions). Email from Microsoft, Passkeys by default and retirement of Microsoft-provided SMS and voice authentication, 7 August 2026. EU AI ACT-202401689.pdf and NIST AI RMF 100-1.pdf, TIGRES site, AI Frameworks library. Pillar5-Security_and_Governance.docx, AI Strategy site.</w:t>
      </w:r>
    </w:p>
    <w:p w14:paraId="331A3A05" w14:textId="3804707F" w:rsidR="3A123FE3" w:rsidRDefault="3A123FE3" w:rsidP="3A123FE3">
      <w:pPr>
        <w:pStyle w:val="Heading2"/>
      </w:pPr>
      <w:r w:rsidRPr="3A123FE3">
        <w:rPr>
          <w:color w:val="64381F"/>
        </w:rPr>
        <w:t>External (public web)</w:t>
      </w:r>
    </w:p>
    <w:p w14:paraId="645EAA97" w14:textId="68748117" w:rsidR="3A123FE3" w:rsidRDefault="3A123FE3">
      <w:r>
        <w:t>Future of Privacy Forum, The AI Act implementation timeline: what changes under the AI Omnibus, 28 July 2026, https://fpf.org/blog/the-ai-act-implementation-timeline-what-changes-under-the-ai-omnibus/. Elevate Consulting, EU AI Act Timeline: New 2026 to 2028 Deadlines, https://elevateconsult.com/insights/eu-ai-act-timeline-2026-deadlines/. European Data Protection Board, EDPB opinion on AI models: GDPR principles support responsible AI, https://www.edpb.europa.eu/news/edpb-opinion-on-ai-models-gdpr-principles-support-responsible-ai_en. EDPB-EDPS Joint Opinion 1/2026 on the simplification of the implementation of harmonised rules on AI, January 2026, https://www.edps.europa.eu/system/files/2026-01/2025-1124-edpb-edps-joint-opinion_simplification-implementation-harmonised-rules-ai_en.pdf. SecurityWall, GDPR Fines Tracker 2026, updated 19 June 2026, https://securitywall.co/blog/gdpr-fines-tracker-2026. CMS GDPR Enforcement Tracker, https://www.enforcementtracker.com/.</w:t>
      </w:r>
    </w:p>
    <w:sectPr w:rsidR="3A123FE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4866650">
    <w:abstractNumId w:val="8"/>
  </w:num>
  <w:num w:numId="2" w16cid:durableId="389773359">
    <w:abstractNumId w:val="6"/>
  </w:num>
  <w:num w:numId="3" w16cid:durableId="111750590">
    <w:abstractNumId w:val="5"/>
  </w:num>
  <w:num w:numId="4" w16cid:durableId="1677077834">
    <w:abstractNumId w:val="4"/>
  </w:num>
  <w:num w:numId="5" w16cid:durableId="782840948">
    <w:abstractNumId w:val="7"/>
  </w:num>
  <w:num w:numId="6" w16cid:durableId="1726416744">
    <w:abstractNumId w:val="3"/>
  </w:num>
  <w:num w:numId="7" w16cid:durableId="554700057">
    <w:abstractNumId w:val="2"/>
  </w:num>
  <w:num w:numId="8" w16cid:durableId="1533299970">
    <w:abstractNumId w:val="1"/>
  </w:num>
  <w:num w:numId="9" w16cid:durableId="1544517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78A9"/>
    <w:rsid w:val="0006063C"/>
    <w:rsid w:val="0015074B"/>
    <w:rsid w:val="001E2CE4"/>
    <w:rsid w:val="0029639D"/>
    <w:rsid w:val="00326F90"/>
    <w:rsid w:val="00335327"/>
    <w:rsid w:val="00AA1D8D"/>
    <w:rsid w:val="00B47730"/>
    <w:rsid w:val="00CB0664"/>
    <w:rsid w:val="00FC693F"/>
    <w:rsid w:val="0A43DF96"/>
    <w:rsid w:val="0DC5CC0F"/>
    <w:rsid w:val="10778987"/>
    <w:rsid w:val="107C31B4"/>
    <w:rsid w:val="1D2951E1"/>
    <w:rsid w:val="28B39C70"/>
    <w:rsid w:val="28CD68AE"/>
    <w:rsid w:val="2C82A7A9"/>
    <w:rsid w:val="31BC0E32"/>
    <w:rsid w:val="356CD522"/>
    <w:rsid w:val="39F88A91"/>
    <w:rsid w:val="3A123FE3"/>
    <w:rsid w:val="3B3F429E"/>
    <w:rsid w:val="444085CA"/>
    <w:rsid w:val="453AE3CF"/>
    <w:rsid w:val="4A78C43E"/>
    <w:rsid w:val="4F5F8A7F"/>
    <w:rsid w:val="532AC618"/>
    <w:rsid w:val="54DCB68E"/>
    <w:rsid w:val="56B79243"/>
    <w:rsid w:val="692326ED"/>
    <w:rsid w:val="6A5F67DE"/>
    <w:rsid w:val="6C12E372"/>
    <w:rsid w:val="6CDEA6F7"/>
    <w:rsid w:val="7665A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D9D4FF3-A6CF-4709-B699-334D969C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ece1660-89e4-4efe-8613-f619625afc8d" xsi:nil="true"/>
    <_ip_UnifiedCompliancePolicyProperties xmlns="http://schemas.microsoft.com/sharepoint/v3" xsi:nil="true"/>
    <lcf76f155ced4ddcb4097134ff3c332f xmlns="debf2d1a-3119-443f-9311-2f3fb0fd7de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F49461-6D51-4EEC-BEAD-DDE095B5B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1C8F5BD4-6F5C-4981-BAC9-2F3A9A5F15D9}">
  <ds:schemaRefs>
    <ds:schemaRef ds:uri="http://schemas.microsoft.com/office/2006/metadata/properties"/>
    <ds:schemaRef ds:uri="http://schemas.microsoft.com/office/infopath/2007/PartnerControls"/>
    <ds:schemaRef ds:uri="http://schemas.microsoft.com/sharepoint/v3"/>
    <ds:schemaRef ds:uri="9ece1660-89e4-4efe-8613-f619625afc8d"/>
    <ds:schemaRef ds:uri="debf2d1a-3119-443f-9311-2f3fb0fd7de8"/>
  </ds:schemaRefs>
</ds:datastoreItem>
</file>

<file path=customXml/itemProps4.xml><?xml version="1.0" encoding="utf-8"?>
<ds:datastoreItem xmlns:ds="http://schemas.openxmlformats.org/officeDocument/2006/customXml" ds:itemID="{BC34F797-EFB9-457F-A2C3-D2CC48A6943E}">
  <ds:schemaRefs>
    <ds:schemaRef ds:uri="http://schemas.microsoft.com/sharepoint/v3/contenttype/forms"/>
  </ds:schemaRefs>
</ds:datastoreItem>
</file>

<file path=docMetadata/LabelInfo.xml><?xml version="1.0" encoding="utf-8"?>
<clbl:labelList xmlns:clbl="http://schemas.microsoft.com/office/2020/mipLabelMetadata">
  <clbl:label id="{3b9917a3-e84c-4503-9de4-49e31e5f2dc2}" enabled="0" method="" siteId="{3b9917a3-e84c-4503-9de4-49e31e5f2dc2}" removed="1"/>
  <clbl:label id="{87867195-f2b8-4ac2-b0b6-6bb73cb33af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2799</Words>
  <Characters>15960</Characters>
  <Application>Microsoft Office Word</Application>
  <DocSecurity>0</DocSecurity>
  <Lines>133</Lines>
  <Paragraphs>37</Paragraphs>
  <ScaleCrop>false</ScaleCrop>
  <Manager/>
  <Company/>
  <LinksUpToDate>false</LinksUpToDate>
  <CharactersWithSpaces>18722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4</cp:revision>
  <dcterms:created xsi:type="dcterms:W3CDTF">2026-09-07T07:32:00Z</dcterms:created>
  <dcterms:modified xsi:type="dcterms:W3CDTF">2026-09-07T07:40:00Z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3" name="MediaServiceImageTags">
    <vt:lpwstr/>
  </property>
</Properties>
</file>