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3C595" w14:textId="5AC892B8" w:rsidR="482305F8" w:rsidRDefault="482305F8" w:rsidP="482305F8">
      <w:pPr>
        <w:pStyle w:val="Title"/>
      </w:pPr>
      <w:r w:rsidRPr="482305F8">
        <w:rPr>
          <w:color w:val="64381F"/>
        </w:rPr>
        <w:t>Compliance Readiness Brief</w:t>
      </w:r>
    </w:p>
    <w:p w14:paraId="5CFF716C" w14:textId="5D23B006" w:rsidR="482305F8" w:rsidRDefault="482305F8">
      <w:r w:rsidRPr="482305F8">
        <w:rPr>
          <w:i/>
          <w:iCs/>
          <w:color w:val="595959" w:themeColor="text1" w:themeTint="A6"/>
          <w:sz w:val="24"/>
          <w:szCs w:val="24"/>
        </w:rPr>
        <w:t>AI governance, data protection and regulatory exposure: internal review and external benchmark</w:t>
      </w:r>
    </w:p>
    <w:p w14:paraId="42CE0FCF" w14:textId="505F0103" w:rsidR="482305F8" w:rsidRDefault="482305F8">
      <w:r w:rsidRPr="482305F8">
        <w:rPr>
          <w:color w:val="595959" w:themeColor="text1" w:themeTint="A6"/>
          <w:sz w:val="20"/>
          <w:szCs w:val="20"/>
        </w:rPr>
        <w:t>Prepared for Corey Gray, Marketing (Paris). Draft dated 7 September 2026. Review window: 7 March to 7 September 2026.</w:t>
      </w:r>
    </w:p>
    <w:p w14:paraId="71558C1A" w14:textId="5DB477B8" w:rsidR="482305F8" w:rsidRDefault="482305F8" w:rsidP="482305F8">
      <w:pPr>
        <w:pStyle w:val="Heading1"/>
      </w:pPr>
      <w:r w:rsidRPr="482305F8">
        <w:rPr>
          <w:color w:val="64381F"/>
        </w:rPr>
        <w:t>1. Scope and approach</w:t>
      </w:r>
    </w:p>
    <w:p w14:paraId="58628D3E" w14:textId="2F5A75F2" w:rsidR="482305F8" w:rsidRDefault="482305F8">
      <w:r>
        <w:t>This brief assesses how ready Corey Gray's AI governance and procurement workstreams are for the regulatory obligations that now apply, or will shortly apply, to organisations deploying AI and processing personal data in the European Union. It covers the six months from 7 March to 7 September 2026 and draws on two evidence bases: internal Microsoft 365 content (Outlook email, Teams chats, meetings and OneDrive/SharePoint files) as the primary source, and public web research for the current status of the EU AI Act, GDPR enforcement and recent penalty examples as an external benchmark.</w:t>
      </w:r>
    </w:p>
    <w:p w14:paraId="428640A1" w14:textId="3A30109A" w:rsidR="482305F8" w:rsidRDefault="482305F8">
      <w:r>
        <w:t>In scope are the AI agent initiatives documented in the AI Strategy and TIGRES SharePoint sites and in Corey's OneDrive (Copilot Studio, Azure AI Foundry, M365 Agent SDK and custom agents, including the Source-to-Pay agent), the ERP cloud procurement and vendor evaluation, and the Microsoft 365 connector estate that feeds those agents. Out of scope are financial reporting controls, HR policy and any non-EU jurisdiction. Where a source is silent, the brief says so rather than assuming a control exists.</w:t>
      </w:r>
    </w:p>
    <w:p w14:paraId="56ED5ECD" w14:textId="741918C9" w:rsidR="482305F8" w:rsidRDefault="482305F8">
      <w:r>
        <w:t>Two limitations shape the findings. First, no meeting transcripts were available for the period, and the email and Teams searches surfaced relatively few substantive compliance discussions; most internal evidence therefore comes from governance documents and from the automated Daily Task Digest that tracks open commitments. Second, most of the governance documents were authored in February 2026 and have not been updated since, so their status should be read as intended controls rather than verified operating controls.</w:t>
      </w:r>
    </w:p>
    <w:p w14:paraId="18A443AC" w14:textId="6C6FD948" w:rsidR="482305F8" w:rsidRDefault="482305F8" w:rsidP="482305F8">
      <w:pPr>
        <w:pStyle w:val="Heading1"/>
      </w:pPr>
      <w:r w:rsidRPr="482305F8">
        <w:rPr>
          <w:color w:val="64381F"/>
        </w:rPr>
        <w:t>2. Executive summary</w:t>
      </w:r>
    </w:p>
    <w:p w14:paraId="23EB7F24" w14:textId="65AE7687" w:rsidR="482305F8" w:rsidRDefault="482305F8">
      <w:r>
        <w:t>The organisation has a well-articulated governance design but thin evidence that it is operating. The AI Governance Policy Book, the Actionable Strategy Plan with RACI and the Quick-Start Checklist (all dated February 2026) set out four pillars, a 12-week implementation timeline and named accountable roles, and they explicitly reference GDPR, EU data boundary residency and alignment with the EU AI Act. Six months later, however, the Daily Task Digest shows the governance backlog still open: Jira item ZAG-5 (draft compliance criteria for agent behaviour) is overdue, ZAG-4 (identify scope of governance) is still active, and two Microsoft 365 connectors (ServiceNow and Jira) have carried unresolved compliance and data-integrity flags since August.</w:t>
      </w:r>
    </w:p>
    <w:p w14:paraId="6FC2B2F5" w14:textId="6FB77DD5" w:rsidR="482305F8" w:rsidRDefault="482305F8">
      <w:r>
        <w:t xml:space="preserve">Externally, the regulatory clock has moved in the organisation's favour on one front and against it on another. The Digital Omnibus on AI (Regulation (EU) 2026/1744, published 24 July 2026) pushes the high-risk obligations of the EU AI Act to 2 December 2027 for stand-alone Annex III systems and 2 August 2028 for embedded systems. But the Article 50 transparency duties, the </w:t>
      </w:r>
      <w:r>
        <w:lastRenderedPageBreak/>
        <w:t>AI Office's enforcement powers over general-purpose AI providers and the national penalty regimes all became applicable on 2 August 2026, and the GDPR remains fully enforced: the Dutch regulator's EUR 825 million fine against Uber on 21 August 2026 for fully automated decisions is the largest of the year, and the EDPB's 2026 coordinated enforcement action is targeting transparency and information duties across 25 data protection authorities.</w:t>
      </w:r>
    </w:p>
    <w:p w14:paraId="4FD2136C" w14:textId="12FB92EF" w:rsidR="482305F8" w:rsidRDefault="482305F8">
      <w:r>
        <w:t>The recommended priorities are therefore to close the two connector flags and the ZAG-5 compliance criteria within two weeks, to convert the February governance design into an evidenced operating model (DLP policies, PII redaction and residency actually configured and tested) within the quarter, and to run an AI Act transparency and GDPR Article 12 to 14 readiness check on every customer-facing agent before the end of 2026. Owners are proposed against the roles already named in the RACI.</w:t>
      </w:r>
    </w:p>
    <w:p w14:paraId="1251A3B4" w14:textId="745EEC41" w:rsidR="482305F8" w:rsidRDefault="482305F8" w:rsidP="482305F8">
      <w:pPr>
        <w:pStyle w:val="Heading1"/>
      </w:pPr>
      <w:r w:rsidRPr="482305F8">
        <w:rPr>
          <w:color w:val="64381F"/>
        </w:rPr>
        <w:t>3. Internal findings</w:t>
      </w:r>
    </w:p>
    <w:p w14:paraId="6321E5CB" w14:textId="6A5BFFA9" w:rsidR="482305F8" w:rsidRDefault="482305F8" w:rsidP="482305F8">
      <w:pPr>
        <w:pStyle w:val="Heading2"/>
      </w:pPr>
      <w:r w:rsidRPr="482305F8">
        <w:rPr>
          <w:color w:val="B5742E"/>
        </w:rPr>
        <w:t>3.1 Governance framework is designed, not yet evidenced</w:t>
      </w:r>
    </w:p>
    <w:p w14:paraId="6DE356F6" w14:textId="34CF05AF" w:rsidR="482305F8" w:rsidRDefault="482305F8">
      <w:r>
        <w:t xml:space="preserve">The AI Governance Policy Book (OneDrive, 4 February 2026) frames governance around four pillars: Compliance &amp; Privacy, Security &amp; Identity, Reliability &amp; Quality, and Financial Governance. Its Compliance &amp; Privacy section commits to data residency enforcement (EUDB, GDPR, HIPAA), PII detection and redaction, and regulatory alignment with the EU AI Act; its Copilot Studio section commits to DLP policies for connectors and connector approval workflows; and its Incident Response section calls for an AI risk assessment matrix and escalation workflows. The document's own author comments describe it as a condensed version to be expanded to a </w:t>
      </w:r>
      <w:proofErr w:type="gramStart"/>
      <w:r>
        <w:t>20 to 40 page</w:t>
      </w:r>
      <w:proofErr w:type="gramEnd"/>
      <w:r>
        <w:t xml:space="preserve"> book with compliance matrices and playbooks. No expanded version was found.</w:t>
      </w:r>
    </w:p>
    <w:p w14:paraId="2FF45A2B" w14:textId="28333F59" w:rsidR="482305F8" w:rsidRDefault="482305F8">
      <w:r>
        <w:t xml:space="preserve">The AI Governance Actionable Strategy Plan with RACI (OneDrive, February 2026) assigns each control to a role. Applying DLP policies </w:t>
      </w:r>
      <w:proofErr w:type="gramStart"/>
      <w:r>
        <w:t>sits</w:t>
      </w:r>
      <w:proofErr w:type="gramEnd"/>
      <w:r>
        <w:t xml:space="preserve"> with the Security Officer (responsible) and Compliance Officer (accountable); defining governance principles and evaluation metrics sits with the AI Governance Lead, accountable to the CIO; environment set-up and monitoring </w:t>
      </w:r>
      <w:proofErr w:type="gramStart"/>
      <w:r>
        <w:t>sit</w:t>
      </w:r>
      <w:proofErr w:type="gramEnd"/>
      <w:r>
        <w:t xml:space="preserve"> with the Platform Admin, accountable to the IT Director. Its timeline promised Phase 1 (governance principles, environments, DLP) in weeks 1 to 4 and Phase 3 (automation, monitoring, cost governance) by week 12. The AI Governance Quick-Start Checklist repeats the same controls as a 30-day action plan. Neither document has been updated since February, and no email or Teams evidence of completed phases was found in the review window.</w:t>
      </w:r>
    </w:p>
    <w:p w14:paraId="22C8549A" w14:textId="4D9770E6" w:rsidR="482305F8" w:rsidRDefault="482305F8" w:rsidP="482305F8">
      <w:pPr>
        <w:pStyle w:val="Heading2"/>
      </w:pPr>
      <w:r w:rsidRPr="482305F8">
        <w:rPr>
          <w:color w:val="B5742E"/>
        </w:rPr>
        <w:t>3.2 Governance backlog is overdue</w:t>
      </w:r>
    </w:p>
    <w:p w14:paraId="7AFD70E1" w14:textId="66170639" w:rsidR="482305F8" w:rsidRDefault="482305F8">
      <w:r>
        <w:t>The Daily Task Digest emailed on 6 September 2026 lists Jira work items ZAG-1 to ZAG-5 assigned to Corey Gray, including ZAG-4 (identify scope of governance) and ZAG-5 (draft compliance criteria for agent behaviour), with ZAG-5 reported as overdue. The same digest records that Adil Eli has been awaiting a status update on the S2P agent since 22 April 2026, that a document review requested by Adil is overdue, and that a required update originally due 25 June 2026 remains unconfirmed. Taken together, the compliance criteria that should govern agent behaviour have not been written, and the principal stakeholder for the S2P agent has had no status report for over four months.</w:t>
      </w:r>
    </w:p>
    <w:p w14:paraId="32CBA6C5" w14:textId="5BD4286F" w:rsidR="482305F8" w:rsidRDefault="482305F8" w:rsidP="482305F8">
      <w:pPr>
        <w:pStyle w:val="Heading2"/>
      </w:pPr>
      <w:r w:rsidRPr="482305F8">
        <w:rPr>
          <w:color w:val="B5742E"/>
        </w:rPr>
        <w:lastRenderedPageBreak/>
        <w:t>3.3 Connector health flags carry compliance and data-integrity risk</w:t>
      </w:r>
    </w:p>
    <w:p w14:paraId="44EB830B" w14:textId="26D694D3" w:rsidR="482305F8" w:rsidRDefault="482305F8">
      <w:r>
        <w:t xml:space="preserve">Two Microsoft 365 system notifications remain unresolved. The ServiceNow connector was flagged on 21 August 2026 with the instruction to review the connection status in the Microsoft 365 Admin Portal, and the digest classifies it as a compliance risk. The Jira connector was flagged on 12 August 2026 </w:t>
      </w:r>
      <w:proofErr w:type="gramStart"/>
      <w:r>
        <w:t>with the instruction</w:t>
      </w:r>
      <w:proofErr w:type="gramEnd"/>
      <w:r>
        <w:t xml:space="preserve"> to resolve the issue so that data stays up to date, classified as </w:t>
      </w:r>
      <w:proofErr w:type="gramStart"/>
      <w:r>
        <w:t>a data</w:t>
      </w:r>
      <w:proofErr w:type="gramEnd"/>
      <w:r>
        <w:t>-integrity risk. A separate Azure notification in August asked for a review of processes that add email recipients to Azure Monitor action groups, and a Power Automate flow (Cowork Plan Approval) has been failing. Connectors that feed AI agents with stale or unsynchronised data undermine the accuracy and record-keeping commitments in the Policy Book, and an unreviewed admin-portal alert is exactly the kind of control gap an auditor will test.</w:t>
      </w:r>
    </w:p>
    <w:p w14:paraId="11C62A61" w14:textId="3A9A1518" w:rsidR="482305F8" w:rsidRDefault="482305F8" w:rsidP="482305F8">
      <w:pPr>
        <w:pStyle w:val="Heading2"/>
      </w:pPr>
      <w:r w:rsidRPr="482305F8">
        <w:rPr>
          <w:color w:val="B5742E"/>
        </w:rPr>
        <w:t>3.4 Procurement evaluation treats compliance as a scored criterion</w:t>
      </w:r>
    </w:p>
    <w:p w14:paraId="14AAE175" w14:textId="76B99A4A" w:rsidR="482305F8" w:rsidRDefault="482305F8">
      <w:r>
        <w:t xml:space="preserve">The Contoso S2P agent's Teams output for the ERP cloud procurement weighted vendor scoring as technical 40 percent, commercial 25 percent, risk and vendor stability 20 percent, and CSR &amp; compliance 15 percent (GDPR, ISO 27001 and SOC 2 certifications, sustainability), ranking ERPMax Solutions first at 92 out of 100. The agent also warned that pricing, SLA and compliance sheets were not retrievable for any vendor and that the commercial, SLA and compliance scores were provisional. This exchange dates from late February 2026, just before the review window, but the ERP procurement actions (stakeholder briefings, budget </w:t>
      </w:r>
      <w:proofErr w:type="gramStart"/>
      <w:r>
        <w:t>sign-offs</w:t>
      </w:r>
      <w:proofErr w:type="gramEnd"/>
      <w:r>
        <w:t>, vendor notifications) remain open in the September digest. A vendor recommendation issued on provisional compliance data should not proceed to award without the missing evidence.</w:t>
      </w:r>
    </w:p>
    <w:p w14:paraId="2AD7D9DF" w14:textId="18CCAE25" w:rsidR="482305F8" w:rsidRDefault="482305F8" w:rsidP="482305F8">
      <w:pPr>
        <w:pStyle w:val="Heading2"/>
      </w:pPr>
      <w:r w:rsidRPr="482305F8">
        <w:rPr>
          <w:color w:val="B5742E"/>
        </w:rPr>
        <w:t>3.5 Reference frameworks are on file</w:t>
      </w:r>
    </w:p>
    <w:p w14:paraId="6C233D93" w14:textId="48D7C508" w:rsidR="482305F8" w:rsidRDefault="482305F8">
      <w:r>
        <w:t>The TIGRES SharePoint site holds the full text of Regulation (EU) 2024/1689 (the EU AI Act), the NIST AI Risk Management Framework 1.0 and a NIST playbook workbook. The AI Strategy site holds the GovernedAI Governance Framework for the S2P Agent, which commits to fairness, transparency and oversight principles, tiered sandbox, team and enterprise governance, and regular audits of agent performance. Two Teams Workflows idea cards in April 2026 tagged the Security and Compliance operations department, but their content could not be retrieved. The frameworks are a sound foundation; what is missing is a mapping from their requirements to the organisation's own controls and evidence.</w:t>
      </w:r>
    </w:p>
    <w:p w14:paraId="4571C804" w14:textId="2000BE47" w:rsidR="482305F8" w:rsidRDefault="482305F8" w:rsidP="482305F8">
      <w:pPr>
        <w:pStyle w:val="Heading1"/>
      </w:pPr>
      <w:r w:rsidRPr="482305F8">
        <w:rPr>
          <w:color w:val="64381F"/>
        </w:rPr>
        <w:t>4. Regulatory landscape</w:t>
      </w:r>
    </w:p>
    <w:p w14:paraId="38150D0C" w14:textId="67E71722" w:rsidR="482305F8" w:rsidRDefault="482305F8" w:rsidP="482305F8">
      <w:pPr>
        <w:pStyle w:val="Heading2"/>
      </w:pPr>
      <w:r w:rsidRPr="482305F8">
        <w:rPr>
          <w:color w:val="B5742E"/>
        </w:rPr>
        <w:t>4.1 EU AI Act: amended timeline after the Digital Omnibus</w:t>
      </w:r>
    </w:p>
    <w:p w14:paraId="2926F117" w14:textId="3777640C" w:rsidR="482305F8" w:rsidRDefault="482305F8">
      <w:r>
        <w:t>The European Parliament approved the Digital Omnibus on AI on 16 June 2026 (423 votes to 57), the Council gave its final green light on 29 June 2026, and the amending act was published in the Official Journal on 24 July 2026 as Regulation (EU) 2026/1744, which is now in force (Council press release, 29 June 2026; EUR-Lex). The omnibus keeps the risk-based architecture of the AI Act intact but moves the compliance deadline for stand-alone high-risk systems under Annex III (including employment, education, biometric identification and critical infrastructure uses) from 2 August 2026 to 2 December 2027, and for high-risk AI embedded in regulated products under Annex I to 2 August 2028 (Licentium, 1 and 3 July 2026).</w:t>
      </w:r>
    </w:p>
    <w:p w14:paraId="31AD68FE" w14:textId="526EC0FF" w:rsidR="482305F8" w:rsidRDefault="482305F8">
      <w:r>
        <w:lastRenderedPageBreak/>
        <w:t>What did not move matters more for marketing and agent deployments. Most Article 50 transparency obligations applied from 2 August 2026, including the duty to tell people when they are interacting with an AI system such as a chatbot and the duty for deployers to label deepfakes and AI-generated text on matters of public interest; only the provider watermarking requirement for generative systems already on the market is deferred to 2 December 2026 (Elevate Consult, 22 June 2026). The omnibus also adds a new Article 5 prohibition on systems that generate non-consensual intimate imagery or child sexual abuse material, with compliance required by 2 December 2026, and it explicitly permits processing special-category data to detect and correct bias where strictly necessary. Member states must have regulatory sandboxes in place by 2 August 2027.</w:t>
      </w:r>
    </w:p>
    <w:p w14:paraId="75C3796B" w14:textId="4DC7BCF3" w:rsidR="482305F8" w:rsidRDefault="482305F8">
      <w:r>
        <w:t>Enforcement is live. From 2 August 2026 the European AI Office holds investigative and enforcement powers over general-purpose AI model providers, with fines of up to 3 percent of global turnover or EUR 15 million, and national market-surveillance authorities can apply the Act's penalty regime (sota.io, 5 June 2026; Robotics Media; ISMS Copilot). For a deployer building on Microsoft Copilot Studio and Azure AI Foundry, the practical exposure in 2026 is transparency labelling and record-keeping rather than high-risk conformity assessment, but the December 2027 deadline means high-risk classification work for any HR, credit or biometric use case should start now.</w:t>
      </w:r>
    </w:p>
    <w:p w14:paraId="31A91F12" w14:textId="3F8D77BC" w:rsidR="482305F8" w:rsidRDefault="482305F8" w:rsidP="482305F8">
      <w:pPr>
        <w:pStyle w:val="Heading2"/>
      </w:pPr>
      <w:r w:rsidRPr="482305F8">
        <w:rPr>
          <w:color w:val="B5742E"/>
        </w:rPr>
        <w:t>4.2 GDPR: enforcement focus on transparency and automated decisions</w:t>
      </w:r>
    </w:p>
    <w:p w14:paraId="5B6C45A7" w14:textId="53D1D015" w:rsidR="482305F8" w:rsidRDefault="482305F8">
      <w:r>
        <w:t>GDPR enforcement remains the most immediate financial risk. Cumulative fines since May 2018 exceed EUR 7.1 billion across more than 2,800 penalties, with EUR 1.15 billion issued in 2025 alone (Recording Law tracker, reviewed 3 September 2026, citing the DLA Piper January 2026 survey). The public GDPR Enforcement Tracker lists 3,215 actions in total, 169 of them in 2026 and 83 in the last six months, the majority being small to mid-size fines for Article 5 and Article 32 security and breach-notification failures in sectors from healthcare to banking (enforcementtracker.com).</w:t>
      </w:r>
    </w:p>
    <w:p w14:paraId="682E7882" w14:textId="59367B92" w:rsidR="482305F8" w:rsidRDefault="482305F8">
      <w:r>
        <w:t>Three 2026 developments are directly relevant. On 21 August 2026 the Dutch Autoriteit Persoonsgegevens fined Uber EUR 824,990,000 for fully automated driver deactivations, the second-largest GDPR fine on record and the largest of 2026; Uber has appealed (Recording Law; Engage Compliance, reviewed 26 August 2026). In March 2026 a Luxembourg court annulled Amazon's EUR 746 million fine and returned it to the regulator, a reminder that procedural rigour matters on both sides. And on 19 March 2026 the EDPB launched its 2026 Coordinated Enforcement Framework action on transparency and information obligations under Articles 12 to 14, with 25 data protection authorities contacting controllers across sectors during the year and a consolidated report due after the second half (EDPB news, 19 March 2026). The EDPB also adopted Binding Decision 1/2026 on 28 May 2026 and published its 2025 annual report, which flags artificial intelligence and anonymisation as cross-regulatory priorities.</w:t>
      </w:r>
    </w:p>
    <w:p w14:paraId="4D106584" w14:textId="214FB209" w:rsidR="482305F8" w:rsidRDefault="482305F8">
      <w:r>
        <w:t>For an organisation deploying agents that make or support decisions about individuals, the Uber decision confirms that Article 22 automated decision-making is now a headline enforcement theme, and the CEF action means privacy notices and in-product information for AI features are likely to be tested by a regulator this year. Commentators put the realistic exposure for a mid-size technology deployer at EUR 50,000 to EUR 500,000 per finding plus reputational damage (Engage Compliance), but the two-tier Article 83 ceiling of 4 percent of global turnover applies to core-principle and data-subject-rights breaches.</w:t>
      </w:r>
    </w:p>
    <w:p w14:paraId="10407E9E" w14:textId="79678355" w:rsidR="482305F8" w:rsidRDefault="482305F8" w:rsidP="482305F8">
      <w:pPr>
        <w:pStyle w:val="Heading1"/>
      </w:pPr>
      <w:r w:rsidRPr="482305F8">
        <w:rPr>
          <w:color w:val="64381F"/>
        </w:rPr>
        <w:lastRenderedPageBreak/>
        <w:t>5. Gap analysis</w:t>
      </w:r>
    </w:p>
    <w:p w14:paraId="66D7A656" w14:textId="201CDB59" w:rsidR="482305F8" w:rsidRDefault="482305F8">
      <w:r>
        <w:t>The table maps each regulatory or policy requirement to the internal evidence found in the review window and rates the residual gap. Ratings are High where a live obligation has no evidenced control, Medium where a control is designed but not evidenced, and Low where evidence exists or the obligation is not yet applicable.</w:t>
      </w:r>
    </w:p>
    <w:tbl>
      <w:tblPr>
        <w:tblStyle w:val="TableGrid"/>
        <w:tblW w:w="0" w:type="auto"/>
        <w:tblLook w:val="0000" w:firstRow="0" w:lastRow="0" w:firstColumn="0" w:lastColumn="0" w:noHBand="0" w:noVBand="0"/>
      </w:tblPr>
      <w:tblGrid>
        <w:gridCol w:w="2000"/>
        <w:gridCol w:w="1900"/>
        <w:gridCol w:w="2300"/>
        <w:gridCol w:w="2000"/>
        <w:gridCol w:w="991"/>
      </w:tblGrid>
      <w:tr w:rsidR="482305F8" w14:paraId="3E35A3FE" w14:textId="77777777" w:rsidTr="482305F8">
        <w:tc>
          <w:tcPr>
            <w:tcW w:w="2000" w:type="dxa"/>
          </w:tcPr>
          <w:p w14:paraId="426BC18D" w14:textId="149ABF44" w:rsidR="482305F8" w:rsidRDefault="482305F8">
            <w:r w:rsidRPr="482305F8">
              <w:rPr>
                <w:b/>
                <w:bCs/>
              </w:rPr>
              <w:t>Requirement</w:t>
            </w:r>
          </w:p>
        </w:tc>
        <w:tc>
          <w:tcPr>
            <w:tcW w:w="1900" w:type="dxa"/>
          </w:tcPr>
          <w:p w14:paraId="1314C827" w14:textId="0D78A608" w:rsidR="482305F8" w:rsidRDefault="482305F8">
            <w:r w:rsidRPr="482305F8">
              <w:rPr>
                <w:b/>
                <w:bCs/>
              </w:rPr>
              <w:t>Source of obligation</w:t>
            </w:r>
          </w:p>
        </w:tc>
        <w:tc>
          <w:tcPr>
            <w:tcW w:w="2300" w:type="dxa"/>
          </w:tcPr>
          <w:p w14:paraId="44F4EB7E" w14:textId="06568CCC" w:rsidR="482305F8" w:rsidRDefault="482305F8">
            <w:r w:rsidRPr="482305F8">
              <w:rPr>
                <w:b/>
                <w:bCs/>
              </w:rPr>
              <w:t>Internal evidence found</w:t>
            </w:r>
          </w:p>
        </w:tc>
        <w:tc>
          <w:tcPr>
            <w:tcW w:w="2000" w:type="dxa"/>
          </w:tcPr>
          <w:p w14:paraId="6E56715D" w14:textId="7F347390" w:rsidR="482305F8" w:rsidRDefault="482305F8">
            <w:r>
              <w:t>Gap</w:t>
            </w:r>
          </w:p>
        </w:tc>
        <w:tc>
          <w:tcPr>
            <w:tcW w:w="826" w:type="dxa"/>
          </w:tcPr>
          <w:p w14:paraId="31AC04F0" w14:textId="78125A54" w:rsidR="482305F8" w:rsidRDefault="482305F8">
            <w:r w:rsidRPr="482305F8">
              <w:rPr>
                <w:b/>
                <w:bCs/>
              </w:rPr>
              <w:t>Rating</w:t>
            </w:r>
          </w:p>
        </w:tc>
      </w:tr>
      <w:tr w:rsidR="482305F8" w14:paraId="69A9A473" w14:textId="77777777" w:rsidTr="482305F8">
        <w:tc>
          <w:tcPr>
            <w:tcW w:w="2000" w:type="dxa"/>
          </w:tcPr>
          <w:p w14:paraId="26C8B8C3" w14:textId="0F27BAC9" w:rsidR="482305F8" w:rsidRDefault="482305F8">
            <w:r>
              <w:t>Tell users when they interact with an AI system; label AI-generated content</w:t>
            </w:r>
          </w:p>
        </w:tc>
        <w:tc>
          <w:tcPr>
            <w:tcW w:w="1900" w:type="dxa"/>
          </w:tcPr>
          <w:p w14:paraId="3E5C340B" w14:textId="0805A18D" w:rsidR="482305F8" w:rsidRDefault="482305F8">
            <w:r>
              <w:t>EU AI Act Art. 50, applicable 2 Aug 2026</w:t>
            </w:r>
          </w:p>
        </w:tc>
        <w:tc>
          <w:tcPr>
            <w:tcW w:w="2300" w:type="dxa"/>
          </w:tcPr>
          <w:p w14:paraId="39FF7A21" w14:textId="00E38851" w:rsidR="482305F8" w:rsidRDefault="482305F8">
            <w:r>
              <w:t>No labelling standard or disclosure text found in governance documents or Teams</w:t>
            </w:r>
          </w:p>
        </w:tc>
        <w:tc>
          <w:tcPr>
            <w:tcW w:w="2000" w:type="dxa"/>
          </w:tcPr>
          <w:p w14:paraId="5A16D7EC" w14:textId="79C16F15" w:rsidR="482305F8" w:rsidRDefault="482305F8">
            <w:r>
              <w:t>Transparency duty is live with no documented control</w:t>
            </w:r>
          </w:p>
        </w:tc>
        <w:tc>
          <w:tcPr>
            <w:tcW w:w="826" w:type="dxa"/>
          </w:tcPr>
          <w:p w14:paraId="158132B3" w14:textId="729F55D9" w:rsidR="482305F8" w:rsidRDefault="482305F8">
            <w:r>
              <w:t>High</w:t>
            </w:r>
          </w:p>
        </w:tc>
      </w:tr>
      <w:tr w:rsidR="482305F8" w14:paraId="4018D289" w14:textId="77777777" w:rsidTr="482305F8">
        <w:tc>
          <w:tcPr>
            <w:tcW w:w="2000" w:type="dxa"/>
          </w:tcPr>
          <w:p w14:paraId="737E7258" w14:textId="09B4B64E" w:rsidR="482305F8" w:rsidRDefault="482305F8">
            <w:r>
              <w:t>Compliance criteria for agent behaviour</w:t>
            </w:r>
          </w:p>
        </w:tc>
        <w:tc>
          <w:tcPr>
            <w:tcW w:w="1900" w:type="dxa"/>
          </w:tcPr>
          <w:p w14:paraId="5BEB62E8" w14:textId="02929D12" w:rsidR="482305F8" w:rsidRDefault="482305F8">
            <w:r>
              <w:t>Policy Book s.3 and s.12; Jira ZAG-5</w:t>
            </w:r>
          </w:p>
        </w:tc>
        <w:tc>
          <w:tcPr>
            <w:tcW w:w="2300" w:type="dxa"/>
          </w:tcPr>
          <w:p w14:paraId="47582F20" w14:textId="7B7083D6" w:rsidR="482305F8" w:rsidRDefault="482305F8">
            <w:r>
              <w:t>ZAG-5 overdue; ZAG-4 scope still active (Daily Task Digest, 6 Sep 2026)</w:t>
            </w:r>
          </w:p>
        </w:tc>
        <w:tc>
          <w:tcPr>
            <w:tcW w:w="2000" w:type="dxa"/>
          </w:tcPr>
          <w:p w14:paraId="1137CDFF" w14:textId="744E6A9A" w:rsidR="482305F8" w:rsidRDefault="482305F8">
            <w:r>
              <w:t>Criteria unwritten six months after governance plan</w:t>
            </w:r>
          </w:p>
        </w:tc>
        <w:tc>
          <w:tcPr>
            <w:tcW w:w="826" w:type="dxa"/>
          </w:tcPr>
          <w:p w14:paraId="4828C8D4" w14:textId="6D2C515E" w:rsidR="482305F8" w:rsidRDefault="482305F8">
            <w:r>
              <w:t>High</w:t>
            </w:r>
          </w:p>
        </w:tc>
      </w:tr>
      <w:tr w:rsidR="482305F8" w14:paraId="15283DA1" w14:textId="77777777" w:rsidTr="482305F8">
        <w:tc>
          <w:tcPr>
            <w:tcW w:w="2000" w:type="dxa"/>
          </w:tcPr>
          <w:p w14:paraId="71E87F44" w14:textId="0441B1D3" w:rsidR="482305F8" w:rsidRDefault="482305F8">
            <w:r>
              <w:t>Connector health and data integrity for agent data sources</w:t>
            </w:r>
          </w:p>
        </w:tc>
        <w:tc>
          <w:tcPr>
            <w:tcW w:w="1900" w:type="dxa"/>
          </w:tcPr>
          <w:p w14:paraId="1BDF833E" w14:textId="7D1F9897" w:rsidR="482305F8" w:rsidRDefault="482305F8">
            <w:r>
              <w:t>GDPR Art. 5(1)(d) accuracy and Art. 32; Policy Book s.7 connector governance</w:t>
            </w:r>
          </w:p>
        </w:tc>
        <w:tc>
          <w:tcPr>
            <w:tcW w:w="2300" w:type="dxa"/>
          </w:tcPr>
          <w:p w14:paraId="5C2FCA41" w14:textId="75FD7F5B" w:rsidR="482305F8" w:rsidRDefault="482305F8">
            <w:r>
              <w:t>ServiceNow (21 Aug) and Jira (12 Aug) connector flags unresolved</w:t>
            </w:r>
          </w:p>
        </w:tc>
        <w:tc>
          <w:tcPr>
            <w:tcW w:w="2000" w:type="dxa"/>
          </w:tcPr>
          <w:p w14:paraId="68760B95" w14:textId="6EDB661F" w:rsidR="482305F8" w:rsidRDefault="482305F8">
            <w:r>
              <w:t>Open compliance and data-integrity alerts with no owner action</w:t>
            </w:r>
          </w:p>
        </w:tc>
        <w:tc>
          <w:tcPr>
            <w:tcW w:w="826" w:type="dxa"/>
          </w:tcPr>
          <w:p w14:paraId="187404ED" w14:textId="67B94CE3" w:rsidR="482305F8" w:rsidRDefault="482305F8">
            <w:r>
              <w:t>High</w:t>
            </w:r>
          </w:p>
        </w:tc>
      </w:tr>
      <w:tr w:rsidR="482305F8" w14:paraId="37E4AB37" w14:textId="77777777" w:rsidTr="482305F8">
        <w:tc>
          <w:tcPr>
            <w:tcW w:w="2000" w:type="dxa"/>
          </w:tcPr>
          <w:p w14:paraId="14DEE1F8" w14:textId="7ECEAD58" w:rsidR="482305F8" w:rsidRDefault="482305F8">
            <w:r>
              <w:t>DLP policies, PII redaction and EU data residency for Copilot Studio and Foundry</w:t>
            </w:r>
          </w:p>
        </w:tc>
        <w:tc>
          <w:tcPr>
            <w:tcW w:w="1900" w:type="dxa"/>
          </w:tcPr>
          <w:p w14:paraId="6F0596A2" w14:textId="77AC941C" w:rsidR="482305F8" w:rsidRDefault="482305F8">
            <w:r>
              <w:t>GDPR Art. 25 and Art. 32; Policy Book s.3 and s.7; RACI Phase 1</w:t>
            </w:r>
          </w:p>
        </w:tc>
        <w:tc>
          <w:tcPr>
            <w:tcW w:w="2300" w:type="dxa"/>
          </w:tcPr>
          <w:p w14:paraId="3158161C" w14:textId="708A7AE0" w:rsidR="482305F8" w:rsidRDefault="482305F8">
            <w:r>
              <w:t>Controls designed in Feb 2026; no configuration or test evidence in email, Teams or files</w:t>
            </w:r>
          </w:p>
        </w:tc>
        <w:tc>
          <w:tcPr>
            <w:tcW w:w="2000" w:type="dxa"/>
          </w:tcPr>
          <w:p w14:paraId="3057B9AD" w14:textId="696861A4" w:rsidR="482305F8" w:rsidRDefault="482305F8">
            <w:r>
              <w:t>Designed, not evidenced</w:t>
            </w:r>
          </w:p>
        </w:tc>
        <w:tc>
          <w:tcPr>
            <w:tcW w:w="826" w:type="dxa"/>
          </w:tcPr>
          <w:p w14:paraId="717E0E7B" w14:textId="62464868" w:rsidR="482305F8" w:rsidRDefault="482305F8">
            <w:r>
              <w:t>Medium</w:t>
            </w:r>
          </w:p>
        </w:tc>
      </w:tr>
      <w:tr w:rsidR="482305F8" w14:paraId="1364C750" w14:textId="77777777" w:rsidTr="482305F8">
        <w:tc>
          <w:tcPr>
            <w:tcW w:w="2000" w:type="dxa"/>
          </w:tcPr>
          <w:p w14:paraId="63370A32" w14:textId="795BA8DD" w:rsidR="482305F8" w:rsidRDefault="482305F8">
            <w:r>
              <w:t>Privacy notices and information for AI features</w:t>
            </w:r>
          </w:p>
        </w:tc>
        <w:tc>
          <w:tcPr>
            <w:tcW w:w="1900" w:type="dxa"/>
          </w:tcPr>
          <w:p w14:paraId="69B4C856" w14:textId="72398FA1" w:rsidR="482305F8" w:rsidRDefault="482305F8">
            <w:r>
              <w:t>GDPR Art. 12 to 14; EDPB CEF 2026 focus</w:t>
            </w:r>
          </w:p>
        </w:tc>
        <w:tc>
          <w:tcPr>
            <w:tcW w:w="2300" w:type="dxa"/>
          </w:tcPr>
          <w:p w14:paraId="570938EC" w14:textId="6B177665" w:rsidR="482305F8" w:rsidRDefault="482305F8">
            <w:r>
              <w:t>No privacy notice or DPIA referenced in any retrieved source</w:t>
            </w:r>
          </w:p>
        </w:tc>
        <w:tc>
          <w:tcPr>
            <w:tcW w:w="2000" w:type="dxa"/>
          </w:tcPr>
          <w:p w14:paraId="4ACFD564" w14:textId="63F55D29" w:rsidR="482305F8" w:rsidRDefault="482305F8">
            <w:r>
              <w:t>No evidence of transparency documentation</w:t>
            </w:r>
          </w:p>
        </w:tc>
        <w:tc>
          <w:tcPr>
            <w:tcW w:w="826" w:type="dxa"/>
          </w:tcPr>
          <w:p w14:paraId="342C029D" w14:textId="5CD343ED" w:rsidR="482305F8" w:rsidRDefault="482305F8">
            <w:r>
              <w:t>Medium</w:t>
            </w:r>
          </w:p>
        </w:tc>
      </w:tr>
      <w:tr w:rsidR="482305F8" w14:paraId="6871885A" w14:textId="77777777" w:rsidTr="482305F8">
        <w:tc>
          <w:tcPr>
            <w:tcW w:w="2000" w:type="dxa"/>
          </w:tcPr>
          <w:p w14:paraId="2FB79ACA" w14:textId="73E8A462" w:rsidR="482305F8" w:rsidRDefault="482305F8">
            <w:r>
              <w:t>Human oversight of automated decisions affecting individuals</w:t>
            </w:r>
          </w:p>
        </w:tc>
        <w:tc>
          <w:tcPr>
            <w:tcW w:w="1900" w:type="dxa"/>
          </w:tcPr>
          <w:p w14:paraId="71E77DCC" w14:textId="6CC68B26" w:rsidR="482305F8" w:rsidRDefault="482305F8">
            <w:r>
              <w:t>GDPR Art. 22 (Uber, EUR 825m, Aug 2026); Policy Book s.5 human-in-the-loop</w:t>
            </w:r>
          </w:p>
        </w:tc>
        <w:tc>
          <w:tcPr>
            <w:tcW w:w="2300" w:type="dxa"/>
          </w:tcPr>
          <w:p w14:paraId="58FE196C" w14:textId="65A471EA" w:rsidR="482305F8" w:rsidRDefault="482305F8">
            <w:r>
              <w:t>GovernedAI framework and checklist commit to human-in-the-loop; no evidence it is configured</w:t>
            </w:r>
          </w:p>
        </w:tc>
        <w:tc>
          <w:tcPr>
            <w:tcW w:w="2000" w:type="dxa"/>
          </w:tcPr>
          <w:p w14:paraId="210C2B62" w14:textId="5E8258AE" w:rsidR="482305F8" w:rsidRDefault="482305F8">
            <w:r>
              <w:t>Principle stated, operation unverified</w:t>
            </w:r>
          </w:p>
        </w:tc>
        <w:tc>
          <w:tcPr>
            <w:tcW w:w="826" w:type="dxa"/>
          </w:tcPr>
          <w:p w14:paraId="6E954429" w14:textId="57603F72" w:rsidR="482305F8" w:rsidRDefault="482305F8">
            <w:r>
              <w:t>Medium</w:t>
            </w:r>
          </w:p>
        </w:tc>
      </w:tr>
      <w:tr w:rsidR="482305F8" w14:paraId="657C2365" w14:textId="77777777" w:rsidTr="482305F8">
        <w:tc>
          <w:tcPr>
            <w:tcW w:w="2000" w:type="dxa"/>
          </w:tcPr>
          <w:p w14:paraId="6FF8B59A" w14:textId="6E759FE7" w:rsidR="482305F8" w:rsidRDefault="482305F8">
            <w:r>
              <w:t>Vendor compliance evidence before ERP award</w:t>
            </w:r>
          </w:p>
        </w:tc>
        <w:tc>
          <w:tcPr>
            <w:tcW w:w="1900" w:type="dxa"/>
          </w:tcPr>
          <w:p w14:paraId="78067C03" w14:textId="675386AB" w:rsidR="482305F8" w:rsidRDefault="482305F8">
            <w:r>
              <w:t>Procurement policy; GDPR Art. 28 processor terms</w:t>
            </w:r>
          </w:p>
        </w:tc>
        <w:tc>
          <w:tcPr>
            <w:tcW w:w="2300" w:type="dxa"/>
          </w:tcPr>
          <w:p w14:paraId="3BA8DA9B" w14:textId="60316D6F" w:rsidR="482305F8" w:rsidRDefault="482305F8">
            <w:r>
              <w:t>S2P agent scored compliance at 15% on provisional data; sheets not retrievable; actions still open</w:t>
            </w:r>
          </w:p>
        </w:tc>
        <w:tc>
          <w:tcPr>
            <w:tcW w:w="2000" w:type="dxa"/>
          </w:tcPr>
          <w:p w14:paraId="730A177F" w14:textId="590F5433" w:rsidR="482305F8" w:rsidRDefault="482305F8">
            <w:r>
              <w:t>Award risk on incomplete compliance sheets</w:t>
            </w:r>
          </w:p>
        </w:tc>
        <w:tc>
          <w:tcPr>
            <w:tcW w:w="826" w:type="dxa"/>
          </w:tcPr>
          <w:p w14:paraId="77C75597" w14:textId="51ED3AF7" w:rsidR="482305F8" w:rsidRDefault="482305F8">
            <w:r>
              <w:t>Medium</w:t>
            </w:r>
          </w:p>
        </w:tc>
      </w:tr>
      <w:tr w:rsidR="482305F8" w14:paraId="3D0C861A" w14:textId="77777777" w:rsidTr="482305F8">
        <w:tc>
          <w:tcPr>
            <w:tcW w:w="2000" w:type="dxa"/>
          </w:tcPr>
          <w:p w14:paraId="6C7781D3" w14:textId="69029B6C" w:rsidR="482305F8" w:rsidRDefault="482305F8">
            <w:r>
              <w:t>High-risk AI classification and conformity assessment</w:t>
            </w:r>
          </w:p>
        </w:tc>
        <w:tc>
          <w:tcPr>
            <w:tcW w:w="1900" w:type="dxa"/>
          </w:tcPr>
          <w:p w14:paraId="462B652C" w14:textId="61E08230" w:rsidR="482305F8" w:rsidRDefault="482305F8">
            <w:r>
              <w:t>EU AI Act Annex III, now 2 Dec 2027 (Reg. 2026/1744)</w:t>
            </w:r>
          </w:p>
        </w:tc>
        <w:tc>
          <w:tcPr>
            <w:tcW w:w="2300" w:type="dxa"/>
          </w:tcPr>
          <w:p w14:paraId="6911A6AC" w14:textId="5ABE68F4" w:rsidR="482305F8" w:rsidRDefault="482305F8">
            <w:r>
              <w:t>EU AI Act and NIST AI RMF held on TIGRES site; no use-case classification found</w:t>
            </w:r>
          </w:p>
        </w:tc>
        <w:tc>
          <w:tcPr>
            <w:tcW w:w="2000" w:type="dxa"/>
          </w:tcPr>
          <w:p w14:paraId="1763A5D7" w14:textId="539C4FB8" w:rsidR="482305F8" w:rsidRDefault="482305F8">
            <w:r>
              <w:t>Deadline deferred; inventory and classification not started</w:t>
            </w:r>
          </w:p>
        </w:tc>
        <w:tc>
          <w:tcPr>
            <w:tcW w:w="826" w:type="dxa"/>
          </w:tcPr>
          <w:p w14:paraId="792CD3EB" w14:textId="4C7A367C" w:rsidR="482305F8" w:rsidRDefault="482305F8">
            <w:r>
              <w:t>Low</w:t>
            </w:r>
          </w:p>
        </w:tc>
      </w:tr>
    </w:tbl>
    <w:p w14:paraId="6B0FD5FC" w14:textId="5F7ABCCA" w:rsidR="482305F8" w:rsidRDefault="482305F8">
      <w:r>
        <w:t xml:space="preserve"> </w:t>
      </w:r>
    </w:p>
    <w:p w14:paraId="3C8B1FAB" w14:textId="2266E835" w:rsidR="482305F8" w:rsidRDefault="482305F8" w:rsidP="482305F8">
      <w:pPr>
        <w:pStyle w:val="Heading1"/>
      </w:pPr>
      <w:r w:rsidRPr="482305F8">
        <w:rPr>
          <w:color w:val="64381F"/>
        </w:rPr>
        <w:lastRenderedPageBreak/>
        <w:t>6. Prioritised remediation actions</w:t>
      </w:r>
    </w:p>
    <w:p w14:paraId="10ECCA3D" w14:textId="71666F9F" w:rsidR="482305F8" w:rsidRDefault="482305F8">
      <w:r>
        <w:t>Actions are ordered by priority. Owners use the roles defined in the AI Governance Actionable Strategy Plan with RACI; where the digest already names an individual, that person is listed. Target dates assume a start in the week of 7 September 2026.</w:t>
      </w:r>
    </w:p>
    <w:tbl>
      <w:tblPr>
        <w:tblStyle w:val="TableGrid"/>
        <w:tblW w:w="0" w:type="auto"/>
        <w:tblLook w:val="0000" w:firstRow="0" w:lastRow="0" w:firstColumn="0" w:lastColumn="0" w:noHBand="0" w:noVBand="0"/>
      </w:tblPr>
      <w:tblGrid>
        <w:gridCol w:w="1015"/>
        <w:gridCol w:w="3400"/>
        <w:gridCol w:w="2100"/>
        <w:gridCol w:w="1100"/>
        <w:gridCol w:w="1626"/>
      </w:tblGrid>
      <w:tr w:rsidR="482305F8" w14:paraId="3D035B1C" w14:textId="77777777" w:rsidTr="482305F8">
        <w:tc>
          <w:tcPr>
            <w:tcW w:w="800" w:type="dxa"/>
          </w:tcPr>
          <w:p w14:paraId="1B3293D3" w14:textId="4E294B3D" w:rsidR="482305F8" w:rsidRDefault="482305F8">
            <w:r w:rsidRPr="482305F8">
              <w:rPr>
                <w:b/>
                <w:bCs/>
              </w:rPr>
              <w:t>Priority</w:t>
            </w:r>
          </w:p>
        </w:tc>
        <w:tc>
          <w:tcPr>
            <w:tcW w:w="3400" w:type="dxa"/>
          </w:tcPr>
          <w:p w14:paraId="56039637" w14:textId="47073201" w:rsidR="482305F8" w:rsidRDefault="482305F8">
            <w:r>
              <w:t>Action</w:t>
            </w:r>
          </w:p>
        </w:tc>
        <w:tc>
          <w:tcPr>
            <w:tcW w:w="2100" w:type="dxa"/>
          </w:tcPr>
          <w:p w14:paraId="7FDE9A96" w14:textId="3FE518C5" w:rsidR="482305F8" w:rsidRDefault="482305F8">
            <w:r w:rsidRPr="482305F8">
              <w:rPr>
                <w:b/>
                <w:bCs/>
              </w:rPr>
              <w:t>Owner (R) / Accountable (A)</w:t>
            </w:r>
          </w:p>
        </w:tc>
        <w:tc>
          <w:tcPr>
            <w:tcW w:w="1100" w:type="dxa"/>
          </w:tcPr>
          <w:p w14:paraId="7CE2B618" w14:textId="38C2FF89" w:rsidR="482305F8" w:rsidRDefault="482305F8">
            <w:r w:rsidRPr="482305F8">
              <w:rPr>
                <w:b/>
                <w:bCs/>
              </w:rPr>
              <w:t>Target date</w:t>
            </w:r>
          </w:p>
        </w:tc>
        <w:tc>
          <w:tcPr>
            <w:tcW w:w="1626" w:type="dxa"/>
          </w:tcPr>
          <w:p w14:paraId="7547D273" w14:textId="31A0E64D" w:rsidR="482305F8" w:rsidRDefault="482305F8">
            <w:r w:rsidRPr="482305F8">
              <w:rPr>
                <w:b/>
                <w:bCs/>
              </w:rPr>
              <w:t>Closes gap</w:t>
            </w:r>
          </w:p>
        </w:tc>
      </w:tr>
      <w:tr w:rsidR="482305F8" w14:paraId="79360D46" w14:textId="77777777" w:rsidTr="482305F8">
        <w:tc>
          <w:tcPr>
            <w:tcW w:w="800" w:type="dxa"/>
          </w:tcPr>
          <w:p w14:paraId="36FEA0D6" w14:textId="48B646C2" w:rsidR="482305F8" w:rsidRDefault="482305F8">
            <w:r>
              <w:t>P1</w:t>
            </w:r>
          </w:p>
        </w:tc>
        <w:tc>
          <w:tcPr>
            <w:tcW w:w="3400" w:type="dxa"/>
          </w:tcPr>
          <w:p w14:paraId="44B8973A" w14:textId="41942D86" w:rsidR="482305F8" w:rsidRDefault="482305F8">
            <w:r>
              <w:t>Review and remediate the ServiceNow and Jira connector alerts in the Microsoft 365 Admin Portal; record root cause and confirm data sync restored</w:t>
            </w:r>
          </w:p>
        </w:tc>
        <w:tc>
          <w:tcPr>
            <w:tcW w:w="2100" w:type="dxa"/>
          </w:tcPr>
          <w:p w14:paraId="541A46C2" w14:textId="3A72144A" w:rsidR="482305F8" w:rsidRDefault="482305F8">
            <w:r>
              <w:t>Corey Gray (R) / Platform Admin, IT Director (A)</w:t>
            </w:r>
          </w:p>
        </w:tc>
        <w:tc>
          <w:tcPr>
            <w:tcW w:w="1100" w:type="dxa"/>
          </w:tcPr>
          <w:p w14:paraId="22882385" w14:textId="334FFB0E" w:rsidR="482305F8" w:rsidRDefault="482305F8">
            <w:r>
              <w:t>18 Sep 2026</w:t>
            </w:r>
          </w:p>
        </w:tc>
        <w:tc>
          <w:tcPr>
            <w:tcW w:w="1626" w:type="dxa"/>
          </w:tcPr>
          <w:p w14:paraId="7F29F54F" w14:textId="2C2DE1D2" w:rsidR="482305F8" w:rsidRDefault="482305F8">
            <w:r>
              <w:t>Connector health and data integrity</w:t>
            </w:r>
          </w:p>
        </w:tc>
      </w:tr>
      <w:tr w:rsidR="482305F8" w14:paraId="729E1218" w14:textId="77777777" w:rsidTr="482305F8">
        <w:tc>
          <w:tcPr>
            <w:tcW w:w="800" w:type="dxa"/>
          </w:tcPr>
          <w:p w14:paraId="27AE5125" w14:textId="43434247" w:rsidR="482305F8" w:rsidRDefault="482305F8">
            <w:r>
              <w:t>P1</w:t>
            </w:r>
          </w:p>
        </w:tc>
        <w:tc>
          <w:tcPr>
            <w:tcW w:w="3400" w:type="dxa"/>
          </w:tcPr>
          <w:p w14:paraId="4D38DF09" w14:textId="3C21290B" w:rsidR="482305F8" w:rsidRDefault="482305F8">
            <w:r>
              <w:t>Draft and approve the compliance criteria for agent behaviour (Jira ZAG-5) and confirm governance scope (ZAG-4)</w:t>
            </w:r>
          </w:p>
        </w:tc>
        <w:tc>
          <w:tcPr>
            <w:tcW w:w="2100" w:type="dxa"/>
          </w:tcPr>
          <w:p w14:paraId="710A2A62" w14:textId="34FF0FCF" w:rsidR="482305F8" w:rsidRDefault="482305F8">
            <w:r>
              <w:t>Corey Gray (R) / AI Governance Lead, Compliance Officer (A)</w:t>
            </w:r>
          </w:p>
        </w:tc>
        <w:tc>
          <w:tcPr>
            <w:tcW w:w="1100" w:type="dxa"/>
          </w:tcPr>
          <w:p w14:paraId="1ECCCA45" w14:textId="2DDCF693" w:rsidR="482305F8" w:rsidRDefault="482305F8">
            <w:r>
              <w:t>25 Sep 2026</w:t>
            </w:r>
          </w:p>
        </w:tc>
        <w:tc>
          <w:tcPr>
            <w:tcW w:w="1626" w:type="dxa"/>
          </w:tcPr>
          <w:p w14:paraId="750C1118" w14:textId="26BADD57" w:rsidR="482305F8" w:rsidRDefault="482305F8">
            <w:r>
              <w:t>Compliance criteria for agent behaviour</w:t>
            </w:r>
          </w:p>
        </w:tc>
      </w:tr>
      <w:tr w:rsidR="482305F8" w14:paraId="49F203D7" w14:textId="77777777" w:rsidTr="482305F8">
        <w:tc>
          <w:tcPr>
            <w:tcW w:w="800" w:type="dxa"/>
          </w:tcPr>
          <w:p w14:paraId="764D31E0" w14:textId="3DD03DCC" w:rsidR="482305F8" w:rsidRDefault="482305F8">
            <w:r>
              <w:t>P1</w:t>
            </w:r>
          </w:p>
        </w:tc>
        <w:tc>
          <w:tcPr>
            <w:tcW w:w="3400" w:type="dxa"/>
          </w:tcPr>
          <w:p w14:paraId="37F441F4" w14:textId="36AE2490" w:rsidR="482305F8" w:rsidRDefault="482305F8">
            <w:r>
              <w:t>Send S2P agent status update and overdue document feedback to Adil Eli, including the compliance position of the agent</w:t>
            </w:r>
          </w:p>
        </w:tc>
        <w:tc>
          <w:tcPr>
            <w:tcW w:w="2100" w:type="dxa"/>
          </w:tcPr>
          <w:p w14:paraId="46640867" w14:textId="2F8C0B54" w:rsidR="482305F8" w:rsidRDefault="482305F8">
            <w:r>
              <w:t>Corey Gray (R) / Adil Eli (A)</w:t>
            </w:r>
          </w:p>
        </w:tc>
        <w:tc>
          <w:tcPr>
            <w:tcW w:w="1100" w:type="dxa"/>
          </w:tcPr>
          <w:p w14:paraId="273CAA10" w14:textId="2869F218" w:rsidR="482305F8" w:rsidRDefault="482305F8">
            <w:r>
              <w:t>11 Sep 2026</w:t>
            </w:r>
          </w:p>
        </w:tc>
        <w:tc>
          <w:tcPr>
            <w:tcW w:w="1626" w:type="dxa"/>
          </w:tcPr>
          <w:p w14:paraId="3D6D05DD" w14:textId="2147D8DC" w:rsidR="482305F8" w:rsidRDefault="482305F8">
            <w:r>
              <w:t>Stakeholder reporting</w:t>
            </w:r>
          </w:p>
        </w:tc>
      </w:tr>
      <w:tr w:rsidR="482305F8" w14:paraId="22EA2EA5" w14:textId="77777777" w:rsidTr="482305F8">
        <w:tc>
          <w:tcPr>
            <w:tcW w:w="800" w:type="dxa"/>
          </w:tcPr>
          <w:p w14:paraId="14C09396" w14:textId="385D3951" w:rsidR="482305F8" w:rsidRDefault="482305F8">
            <w:r>
              <w:t>P2</w:t>
            </w:r>
          </w:p>
        </w:tc>
        <w:tc>
          <w:tcPr>
            <w:tcW w:w="3400" w:type="dxa"/>
          </w:tcPr>
          <w:p w14:paraId="2C3778C8" w14:textId="313B2015" w:rsidR="482305F8" w:rsidRDefault="482305F8">
            <w:r>
              <w:t>Define and apply an AI disclosure and content-labelling standard for every user-facing agent and generated marketing asset (EU AI Act Art. 50)</w:t>
            </w:r>
          </w:p>
        </w:tc>
        <w:tc>
          <w:tcPr>
            <w:tcW w:w="2100" w:type="dxa"/>
          </w:tcPr>
          <w:p w14:paraId="75B4CAF6" w14:textId="2A1906D9" w:rsidR="482305F8" w:rsidRDefault="482305F8">
            <w:r>
              <w:t>AI Governance Lead (R) / Compliance Officer (A); Marketing consulted</w:t>
            </w:r>
          </w:p>
        </w:tc>
        <w:tc>
          <w:tcPr>
            <w:tcW w:w="1100" w:type="dxa"/>
          </w:tcPr>
          <w:p w14:paraId="601CF42F" w14:textId="22F6ED9D" w:rsidR="482305F8" w:rsidRDefault="482305F8">
            <w:r>
              <w:t>31 Oct 2026</w:t>
            </w:r>
          </w:p>
        </w:tc>
        <w:tc>
          <w:tcPr>
            <w:tcW w:w="1626" w:type="dxa"/>
          </w:tcPr>
          <w:p w14:paraId="52C73673" w14:textId="1BD4D461" w:rsidR="482305F8" w:rsidRDefault="482305F8">
            <w:r>
              <w:t>Transparency duty</w:t>
            </w:r>
          </w:p>
        </w:tc>
      </w:tr>
      <w:tr w:rsidR="482305F8" w14:paraId="3FA758DA" w14:textId="77777777" w:rsidTr="482305F8">
        <w:tc>
          <w:tcPr>
            <w:tcW w:w="800" w:type="dxa"/>
          </w:tcPr>
          <w:p w14:paraId="6AE0CA41" w14:textId="32EA34D6" w:rsidR="482305F8" w:rsidRDefault="482305F8">
            <w:r>
              <w:t>P2</w:t>
            </w:r>
          </w:p>
        </w:tc>
        <w:tc>
          <w:tcPr>
            <w:tcW w:w="3400" w:type="dxa"/>
          </w:tcPr>
          <w:p w14:paraId="44CF9558" w14:textId="2BC81B9A" w:rsidR="482305F8" w:rsidRDefault="482305F8">
            <w:r>
              <w:t>Configure and evidence DLP policies, PII redaction and EU data residency in Copilot Studio and Azure AI Foundry; retain test evidence</w:t>
            </w:r>
          </w:p>
        </w:tc>
        <w:tc>
          <w:tcPr>
            <w:tcW w:w="2100" w:type="dxa"/>
          </w:tcPr>
          <w:p w14:paraId="762280EA" w14:textId="24A6025E" w:rsidR="482305F8" w:rsidRDefault="482305F8">
            <w:r>
              <w:t>Security Officer (R) / Compliance Officer (A)</w:t>
            </w:r>
          </w:p>
        </w:tc>
        <w:tc>
          <w:tcPr>
            <w:tcW w:w="1100" w:type="dxa"/>
          </w:tcPr>
          <w:p w14:paraId="6B76B5F2" w14:textId="1D83E922" w:rsidR="482305F8" w:rsidRDefault="482305F8">
            <w:r>
              <w:t>30 Nov 2026</w:t>
            </w:r>
          </w:p>
        </w:tc>
        <w:tc>
          <w:tcPr>
            <w:tcW w:w="1626" w:type="dxa"/>
          </w:tcPr>
          <w:p w14:paraId="1F938946" w14:textId="1661CFE6" w:rsidR="482305F8" w:rsidRDefault="482305F8">
            <w:r>
              <w:t>DLP, PII and residency controls</w:t>
            </w:r>
          </w:p>
        </w:tc>
      </w:tr>
      <w:tr w:rsidR="482305F8" w14:paraId="2678D87F" w14:textId="77777777" w:rsidTr="482305F8">
        <w:tc>
          <w:tcPr>
            <w:tcW w:w="800" w:type="dxa"/>
          </w:tcPr>
          <w:p w14:paraId="37FE3786" w14:textId="2D77305B" w:rsidR="482305F8" w:rsidRDefault="482305F8">
            <w:r>
              <w:t>P2</w:t>
            </w:r>
          </w:p>
        </w:tc>
        <w:tc>
          <w:tcPr>
            <w:tcW w:w="3400" w:type="dxa"/>
          </w:tcPr>
          <w:p w14:paraId="3D329E7C" w14:textId="2655171F" w:rsidR="482305F8" w:rsidRDefault="482305F8">
            <w:r>
              <w:t>Obtain the missing pricing, SLA and compliance sheets from ERP vendors and re-score before any award; confirm GDPR Art. 28 processor terms</w:t>
            </w:r>
          </w:p>
        </w:tc>
        <w:tc>
          <w:tcPr>
            <w:tcW w:w="2100" w:type="dxa"/>
          </w:tcPr>
          <w:p w14:paraId="51DA0ED7" w14:textId="1F32FDE3" w:rsidR="482305F8" w:rsidRDefault="482305F8">
            <w:r>
              <w:t>Procurement Team, Corey Gray (R) / Executive Sponsor (A)</w:t>
            </w:r>
          </w:p>
        </w:tc>
        <w:tc>
          <w:tcPr>
            <w:tcW w:w="1100" w:type="dxa"/>
          </w:tcPr>
          <w:p w14:paraId="136831E6" w14:textId="1810E4A7" w:rsidR="482305F8" w:rsidRDefault="482305F8">
            <w:r>
              <w:t>31 Oct 2026</w:t>
            </w:r>
          </w:p>
        </w:tc>
        <w:tc>
          <w:tcPr>
            <w:tcW w:w="1626" w:type="dxa"/>
          </w:tcPr>
          <w:p w14:paraId="6F6EB7B9" w14:textId="10EECB6B" w:rsidR="482305F8" w:rsidRDefault="482305F8">
            <w:r>
              <w:t>Vendor compliance evidence</w:t>
            </w:r>
          </w:p>
        </w:tc>
      </w:tr>
      <w:tr w:rsidR="482305F8" w14:paraId="3DF3930F" w14:textId="77777777" w:rsidTr="482305F8">
        <w:tc>
          <w:tcPr>
            <w:tcW w:w="800" w:type="dxa"/>
          </w:tcPr>
          <w:p w14:paraId="4E038DFF" w14:textId="28042BE0" w:rsidR="482305F8" w:rsidRDefault="482305F8">
            <w:r>
              <w:t>P3</w:t>
            </w:r>
          </w:p>
        </w:tc>
        <w:tc>
          <w:tcPr>
            <w:tcW w:w="3400" w:type="dxa"/>
          </w:tcPr>
          <w:p w14:paraId="6CBB86F2" w14:textId="20E212A4" w:rsidR="482305F8" w:rsidRDefault="482305F8">
            <w:r>
              <w:t>Review privacy notices and in-product information for AI features against GDPR Art. 12 to 14 and the EDPB CEF 2026 focus; complete a DPIA for the S2P agent</w:t>
            </w:r>
          </w:p>
        </w:tc>
        <w:tc>
          <w:tcPr>
            <w:tcW w:w="2100" w:type="dxa"/>
          </w:tcPr>
          <w:p w14:paraId="2555407E" w14:textId="19BFF968" w:rsidR="482305F8" w:rsidRDefault="482305F8">
            <w:r>
              <w:t>Compliance Officer (R) / Data Protection lead (A)</w:t>
            </w:r>
          </w:p>
        </w:tc>
        <w:tc>
          <w:tcPr>
            <w:tcW w:w="1100" w:type="dxa"/>
          </w:tcPr>
          <w:p w14:paraId="101EE669" w14:textId="129DE02C" w:rsidR="482305F8" w:rsidRDefault="482305F8">
            <w:r>
              <w:t>15 Dec 2026</w:t>
            </w:r>
          </w:p>
        </w:tc>
        <w:tc>
          <w:tcPr>
            <w:tcW w:w="1626" w:type="dxa"/>
          </w:tcPr>
          <w:p w14:paraId="53947C58" w14:textId="0B7BC6F0" w:rsidR="482305F8" w:rsidRDefault="482305F8">
            <w:r>
              <w:t>Privacy notices; human oversight</w:t>
            </w:r>
          </w:p>
        </w:tc>
      </w:tr>
      <w:tr w:rsidR="482305F8" w14:paraId="253359DE" w14:textId="77777777" w:rsidTr="482305F8">
        <w:tc>
          <w:tcPr>
            <w:tcW w:w="800" w:type="dxa"/>
          </w:tcPr>
          <w:p w14:paraId="2EBDC42E" w14:textId="22912765" w:rsidR="482305F8" w:rsidRDefault="482305F8">
            <w:r>
              <w:t>P3</w:t>
            </w:r>
          </w:p>
        </w:tc>
        <w:tc>
          <w:tcPr>
            <w:tcW w:w="3400" w:type="dxa"/>
          </w:tcPr>
          <w:p w14:paraId="3FFC8F3D" w14:textId="1B6F0E29" w:rsidR="482305F8" w:rsidRDefault="482305F8">
            <w:r>
              <w:t>Build an AI system inventory and classify each use case against EU AI Act Annex III; confirm human-in-the-loop for any decision affecting individuals</w:t>
            </w:r>
          </w:p>
        </w:tc>
        <w:tc>
          <w:tcPr>
            <w:tcW w:w="2100" w:type="dxa"/>
          </w:tcPr>
          <w:p w14:paraId="63C10C58" w14:textId="144CF4ED" w:rsidR="482305F8" w:rsidRDefault="482305F8">
            <w:r>
              <w:t>AI Governance Lead (R) / CIO (A)</w:t>
            </w:r>
          </w:p>
        </w:tc>
        <w:tc>
          <w:tcPr>
            <w:tcW w:w="1100" w:type="dxa"/>
          </w:tcPr>
          <w:p w14:paraId="4D2937FB" w14:textId="0D2ADBB1" w:rsidR="482305F8" w:rsidRDefault="482305F8">
            <w:r>
              <w:t>31 Mar 2027</w:t>
            </w:r>
          </w:p>
        </w:tc>
        <w:tc>
          <w:tcPr>
            <w:tcW w:w="1626" w:type="dxa"/>
          </w:tcPr>
          <w:p w14:paraId="72E2E0CC" w14:textId="0608C275" w:rsidR="482305F8" w:rsidRDefault="482305F8">
            <w:r>
              <w:t>High-risk classification; human oversight</w:t>
            </w:r>
          </w:p>
        </w:tc>
      </w:tr>
      <w:tr w:rsidR="482305F8" w14:paraId="2E066CB2" w14:textId="77777777" w:rsidTr="482305F8">
        <w:tc>
          <w:tcPr>
            <w:tcW w:w="800" w:type="dxa"/>
          </w:tcPr>
          <w:p w14:paraId="55E052F2" w14:textId="1D1E22EA" w:rsidR="482305F8" w:rsidRDefault="482305F8">
            <w:r>
              <w:t>P3</w:t>
            </w:r>
          </w:p>
        </w:tc>
        <w:tc>
          <w:tcPr>
            <w:tcW w:w="3400" w:type="dxa"/>
          </w:tcPr>
          <w:p w14:paraId="6B9FF7BF" w14:textId="15FC09AE" w:rsidR="482305F8" w:rsidRDefault="482305F8">
            <w:r>
              <w:t xml:space="preserve">Update the Policy Book, RACI and Quick-Start Checklist with Regulation (EU) 2026/1744 dates and an evidence log; schedule a quarterly compliance </w:t>
            </w:r>
            <w:r>
              <w:lastRenderedPageBreak/>
              <w:t>review</w:t>
            </w:r>
          </w:p>
        </w:tc>
        <w:tc>
          <w:tcPr>
            <w:tcW w:w="2100" w:type="dxa"/>
          </w:tcPr>
          <w:p w14:paraId="73C11347" w14:textId="0ED9F072" w:rsidR="482305F8" w:rsidRDefault="482305F8">
            <w:r>
              <w:lastRenderedPageBreak/>
              <w:t>AI Governance Lead (R) / CIO (A)</w:t>
            </w:r>
          </w:p>
        </w:tc>
        <w:tc>
          <w:tcPr>
            <w:tcW w:w="1100" w:type="dxa"/>
          </w:tcPr>
          <w:p w14:paraId="387B9F20" w14:textId="07B7D736" w:rsidR="482305F8" w:rsidRDefault="482305F8">
            <w:r>
              <w:t>31 Dec 2026</w:t>
            </w:r>
          </w:p>
        </w:tc>
        <w:tc>
          <w:tcPr>
            <w:tcW w:w="1626" w:type="dxa"/>
          </w:tcPr>
          <w:p w14:paraId="6EED45FF" w14:textId="0095BDFA" w:rsidR="482305F8" w:rsidRDefault="482305F8">
            <w:r>
              <w:t>Governance framework evidence</w:t>
            </w:r>
          </w:p>
        </w:tc>
      </w:tr>
    </w:tbl>
    <w:p w14:paraId="3A4B8726" w14:textId="37C0B290" w:rsidR="482305F8" w:rsidRDefault="482305F8">
      <w:r>
        <w:t xml:space="preserve"> </w:t>
      </w:r>
    </w:p>
    <w:p w14:paraId="22CBD981" w14:textId="40CEF6FD" w:rsidR="482305F8" w:rsidRDefault="482305F8" w:rsidP="482305F8">
      <w:pPr>
        <w:pStyle w:val="Heading1"/>
      </w:pPr>
      <w:r w:rsidRPr="482305F8">
        <w:rPr>
          <w:color w:val="64381F"/>
        </w:rPr>
        <w:t>7. Sources</w:t>
      </w:r>
    </w:p>
    <w:p w14:paraId="354BBB13" w14:textId="5EDC9235" w:rsidR="482305F8" w:rsidRDefault="482305F8" w:rsidP="482305F8">
      <w:pPr>
        <w:pStyle w:val="Heading2"/>
      </w:pPr>
      <w:r w:rsidRPr="482305F8">
        <w:rPr>
          <w:color w:val="B5742E"/>
        </w:rPr>
        <w:t>Internal (Microsoft 365)</w:t>
      </w:r>
    </w:p>
    <w:p w14:paraId="37F490C2" w14:textId="15B88C0A" w:rsidR="482305F8" w:rsidRDefault="482305F8" w:rsidP="482305F8">
      <w:pPr>
        <w:pStyle w:val="ListBullet"/>
      </w:pPr>
      <w:r>
        <w:t>AI_Governance_Policy_Book.docx, Corey Gray, OneDrive, 4 February 2026.</w:t>
      </w:r>
    </w:p>
    <w:p w14:paraId="4DE89EEE" w14:textId="27D417C6" w:rsidR="482305F8" w:rsidRDefault="482305F8" w:rsidP="482305F8">
      <w:pPr>
        <w:pStyle w:val="ListBullet"/>
      </w:pPr>
      <w:r>
        <w:t>AI_Governance_Strategy_RACI.docx, Corey Gray, OneDrive, February 2026.</w:t>
      </w:r>
    </w:p>
    <w:p w14:paraId="26457D69" w14:textId="3198FA90" w:rsidR="482305F8" w:rsidRDefault="482305F8" w:rsidP="482305F8">
      <w:pPr>
        <w:pStyle w:val="ListBullet"/>
      </w:pPr>
      <w:r>
        <w:t>AI_Governance_QuickStart_Checklist.docx, Corey Gray, OneDrive, February 2026.</w:t>
      </w:r>
    </w:p>
    <w:p w14:paraId="32361070" w14:textId="5B2B6475" w:rsidR="482305F8" w:rsidRDefault="482305F8" w:rsidP="482305F8">
      <w:pPr>
        <w:pStyle w:val="ListBullet"/>
      </w:pPr>
      <w:r>
        <w:t>GovernedAI Governance Framework for S2P Agent.docx, AI Strategy SharePoint site, Agent Artifacts library.</w:t>
      </w:r>
    </w:p>
    <w:p w14:paraId="53CD6742" w14:textId="61900D9F" w:rsidR="482305F8" w:rsidRDefault="482305F8" w:rsidP="482305F8">
      <w:pPr>
        <w:pStyle w:val="ListBullet"/>
      </w:pPr>
      <w:r>
        <w:t>EU AI ACT-202401689.pdf, NIST AI RMF 100-1.pdf and NIST_playbook.xlsx, TIGRES SharePoint site, AI Frameworks library.</w:t>
      </w:r>
    </w:p>
    <w:p w14:paraId="1882574B" w14:textId="6D574E25" w:rsidR="482305F8" w:rsidRDefault="482305F8" w:rsidP="482305F8">
      <w:pPr>
        <w:pStyle w:val="ListBullet"/>
      </w:pPr>
      <w:r>
        <w:t>Email: Daily Task Digest, Sunday 6 September 2026 (Corey Gray to Corey Gray), incorporating Microsoft 365 connector notifications of 12 and 21 August 2026 and Jira digests for ZAG-1 to ZAG-5.</w:t>
      </w:r>
    </w:p>
    <w:p w14:paraId="3E44E831" w14:textId="76AC1863" w:rsidR="482305F8" w:rsidRDefault="482305F8" w:rsidP="482305F8">
      <w:pPr>
        <w:pStyle w:val="ListBullet"/>
      </w:pPr>
      <w:r>
        <w:t>Teams: Contoso S2P agent chat, ERP vendor evaluation and scoring messages, 26 February 2026; Workflows idea cards tagged Security and Compliance operations, April 2026.</w:t>
      </w:r>
    </w:p>
    <w:p w14:paraId="13A2D20A" w14:textId="1171B17E" w:rsidR="482305F8" w:rsidRDefault="482305F8" w:rsidP="482305F8">
      <w:pPr>
        <w:pStyle w:val="Heading2"/>
      </w:pPr>
      <w:r w:rsidRPr="482305F8">
        <w:rPr>
          <w:color w:val="B5742E"/>
        </w:rPr>
        <w:t>External (web)</w:t>
      </w:r>
    </w:p>
    <w:p w14:paraId="4A8C06FC" w14:textId="315AC659" w:rsidR="482305F8" w:rsidRDefault="482305F8" w:rsidP="482305F8">
      <w:pPr>
        <w:pStyle w:val="ListBullet"/>
      </w:pPr>
      <w:r>
        <w:t>Council of the EU, press release, Artificial Intelligence: Council gives final green light to simplify and streamline rules, 29 June 2026. https://www.consilium.europa.eu/en/press/press-releases/2026/06/29/artificial-intelligence-council-gives-final-green-light-to-simplify-and-streamline-rules/</w:t>
      </w:r>
    </w:p>
    <w:p w14:paraId="23E959E2" w14:textId="40D91CBB" w:rsidR="482305F8" w:rsidRDefault="482305F8" w:rsidP="482305F8">
      <w:pPr>
        <w:pStyle w:val="ListBullet"/>
      </w:pPr>
      <w:r>
        <w:t>EUR-Lex, Regulation (EU) 2026/1744 of 8 July 2026 (Digital Omnibus on AI), OJ L 24 July 2026. https://eur-lex.europa.eu/eli/reg/2026/1744/oj/eng</w:t>
      </w:r>
    </w:p>
    <w:p w14:paraId="58A6A24E" w14:textId="664EA240" w:rsidR="482305F8" w:rsidRDefault="482305F8" w:rsidP="482305F8">
      <w:pPr>
        <w:pStyle w:val="ListBullet"/>
      </w:pPr>
      <w:r>
        <w:t>Licentium, EU Council Formally Adopts AI Omnibus Amending EU AI Act, 3 July 2026. https://www.licentium.io/post/eu-council-formally-adopts-ai-omnibus-amending-eu-ai-act-29-june-2026</w:t>
      </w:r>
    </w:p>
    <w:p w14:paraId="636723F9" w14:textId="7BDEF032" w:rsidR="482305F8" w:rsidRDefault="482305F8" w:rsidP="482305F8">
      <w:pPr>
        <w:pStyle w:val="ListBullet"/>
      </w:pPr>
      <w:r>
        <w:t>Elevate Consult, EU AI Act Timeline: New 2026 to 2028 Deadlines, 22 June 2026. https://elevateconsult.com/insights/eu-ai-act-timeline-2026-deadlines/</w:t>
      </w:r>
    </w:p>
    <w:p w14:paraId="2E907316" w14:textId="54CBDB3F" w:rsidR="482305F8" w:rsidRDefault="482305F8" w:rsidP="482305F8">
      <w:pPr>
        <w:pStyle w:val="ListBullet"/>
      </w:pPr>
      <w:r>
        <w:t>sota.io, GPAI Code of Practice: Enforcement, Audit Readiness &amp; August 2026 Compliance Checklist, 5 June 2026. https://sota.io/blog/eu-ai-act-gpai-code-of-practice-enforcement-audit-readiness-august-2026</w:t>
      </w:r>
    </w:p>
    <w:p w14:paraId="79A3B4AD" w14:textId="3B22BAE0" w:rsidR="482305F8" w:rsidRDefault="482305F8" w:rsidP="482305F8">
      <w:pPr>
        <w:pStyle w:val="ListBullet"/>
      </w:pPr>
      <w:r>
        <w:t>EDPB, CEF 2026: EDPB launches coordinated enforcement action on transparency and information obligations under the GDPR, 19 March 2026. https://www.edpb.europa.eu/news/cef-2026-edpb-launches-coordinated-enforcement-action-on-transparency-and-information_en</w:t>
      </w:r>
    </w:p>
    <w:p w14:paraId="10804E44" w14:textId="11E3649D" w:rsidR="482305F8" w:rsidRDefault="482305F8" w:rsidP="482305F8">
      <w:pPr>
        <w:pStyle w:val="ListBullet"/>
      </w:pPr>
      <w:r>
        <w:t>EDPB, GDPR enforcement topic page (Binding Decision 1/2026; Annual Report 2025). https://www.edpb.europa.eu/topics/cooperation-enforcement/gdpr-enforcement_en</w:t>
      </w:r>
    </w:p>
    <w:p w14:paraId="4FB222B0" w14:textId="5A08C9BA" w:rsidR="482305F8" w:rsidRDefault="482305F8" w:rsidP="482305F8">
      <w:pPr>
        <w:pStyle w:val="ListBullet"/>
      </w:pPr>
      <w:r>
        <w:t>Recording Law, GDPR Fines and Penalties: Latest Enforcement Tracker (2026), reviewed 3 September 2026. https://www.recordinglaw.com/world-laws/world-data-privacy-laws/eu-data-privacy-laws/gdpr-fines-and-penalties/</w:t>
      </w:r>
    </w:p>
    <w:p w14:paraId="3F59FD75" w14:textId="69328110" w:rsidR="482305F8" w:rsidRDefault="482305F8" w:rsidP="482305F8">
      <w:pPr>
        <w:pStyle w:val="ListBullet"/>
      </w:pPr>
      <w:r>
        <w:t>Engage Compliance, GDPR Fines 2026: Recent Enforcement Explained, reviewed 26 August 2026. https://www.engagecompliance.co/gdpr-fines-2026</w:t>
      </w:r>
    </w:p>
    <w:p w14:paraId="12C607DC" w14:textId="5270E238" w:rsidR="482305F8" w:rsidRDefault="482305F8" w:rsidP="482305F8">
      <w:pPr>
        <w:pStyle w:val="ListBullet"/>
      </w:pPr>
      <w:r>
        <w:lastRenderedPageBreak/>
        <w:t>CMS GDPR Enforcement Tracker, fines database (3,215 actions). https://www.enforcementtracker.com/</w:t>
      </w:r>
    </w:p>
    <w:sectPr w:rsidR="482305F8" w:rsidSect="0003461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40819093">
    <w:abstractNumId w:val="8"/>
  </w:num>
  <w:num w:numId="2" w16cid:durableId="1992515885">
    <w:abstractNumId w:val="6"/>
  </w:num>
  <w:num w:numId="3" w16cid:durableId="1470128488">
    <w:abstractNumId w:val="5"/>
  </w:num>
  <w:num w:numId="4" w16cid:durableId="1909462896">
    <w:abstractNumId w:val="4"/>
  </w:num>
  <w:num w:numId="5" w16cid:durableId="1230338323">
    <w:abstractNumId w:val="7"/>
  </w:num>
  <w:num w:numId="6" w16cid:durableId="1914854498">
    <w:abstractNumId w:val="3"/>
  </w:num>
  <w:num w:numId="7" w16cid:durableId="1114514732">
    <w:abstractNumId w:val="2"/>
  </w:num>
  <w:num w:numId="8" w16cid:durableId="194118948">
    <w:abstractNumId w:val="1"/>
  </w:num>
  <w:num w:numId="9" w16cid:durableId="11132858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C7F12"/>
    <w:rsid w:val="0015074B"/>
    <w:rsid w:val="0029639D"/>
    <w:rsid w:val="00326F90"/>
    <w:rsid w:val="00A838C0"/>
    <w:rsid w:val="00AA1D8D"/>
    <w:rsid w:val="00B47730"/>
    <w:rsid w:val="00CB0664"/>
    <w:rsid w:val="00FC693F"/>
    <w:rsid w:val="01C607B1"/>
    <w:rsid w:val="06711E55"/>
    <w:rsid w:val="0AA44BD7"/>
    <w:rsid w:val="0FB7B048"/>
    <w:rsid w:val="16F7C980"/>
    <w:rsid w:val="188FE5A8"/>
    <w:rsid w:val="19B04F46"/>
    <w:rsid w:val="1ABA383B"/>
    <w:rsid w:val="1B9FAEEA"/>
    <w:rsid w:val="20E092C7"/>
    <w:rsid w:val="26DF30EC"/>
    <w:rsid w:val="2B208A2B"/>
    <w:rsid w:val="2FCA6D59"/>
    <w:rsid w:val="313F0F21"/>
    <w:rsid w:val="346D8A68"/>
    <w:rsid w:val="372314FB"/>
    <w:rsid w:val="39E3AFD1"/>
    <w:rsid w:val="3AB4DBDC"/>
    <w:rsid w:val="43F98D40"/>
    <w:rsid w:val="45BF888F"/>
    <w:rsid w:val="482305F8"/>
    <w:rsid w:val="495144DC"/>
    <w:rsid w:val="4D90A729"/>
    <w:rsid w:val="4DFAA066"/>
    <w:rsid w:val="4E00B1CD"/>
    <w:rsid w:val="4E259F6F"/>
    <w:rsid w:val="510D2690"/>
    <w:rsid w:val="5D816F6E"/>
    <w:rsid w:val="5DD938B2"/>
    <w:rsid w:val="63E9BF3C"/>
    <w:rsid w:val="649725DB"/>
    <w:rsid w:val="6981CA67"/>
    <w:rsid w:val="6E39A460"/>
    <w:rsid w:val="75C6D7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136FA577-F3C4-44AC-94DE-D77003227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2410C10365B41458A488A2E06A7CDDA" ma:contentTypeVersion="16" ma:contentTypeDescription="Create a new document." ma:contentTypeScope="" ma:versionID="8fc8c9c986ff763fb0d30ebcc45645fb">
  <xsd:schema xmlns:xsd="http://www.w3.org/2001/XMLSchema" xmlns:xs="http://www.w3.org/2001/XMLSchema" xmlns:p="http://schemas.microsoft.com/office/2006/metadata/properties" xmlns:ns1="http://schemas.microsoft.com/sharepoint/v3" xmlns:ns2="debf2d1a-3119-443f-9311-2f3fb0fd7de8" xmlns:ns3="9ece1660-89e4-4efe-8613-f619625afc8d" targetNamespace="http://schemas.microsoft.com/office/2006/metadata/properties" ma:root="true" ma:fieldsID="8a6a739d9051ad82eb6b3b4cb1429ef8" ns1:_="" ns2:_="" ns3:_="">
    <xsd:import namespace="http://schemas.microsoft.com/sharepoint/v3"/>
    <xsd:import namespace="debf2d1a-3119-443f-9311-2f3fb0fd7de8"/>
    <xsd:import namespace="9ece1660-89e4-4efe-8613-f619625afc8d"/>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HasDigitalSignature" minOccurs="0"/>
                <xsd:element ref="ns2:DigitalSignatureProvider"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bf2d1a-3119-443f-9311-2f3fb0fd7de8"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HasDigitalSignature" ma:index="14" nillable="true" ma:displayName="Signed electronically" ma:internalName="HasDigitalSignature" ma:readOnly="true">
      <xsd:simpleType>
        <xsd:restriction base="dms:Boolean"/>
      </xsd:simpleType>
    </xsd:element>
    <xsd:element name="DigitalSignatureProvider" ma:index="15" nillable="true" ma:displayName="Signature provider" ma:internalName="DigitalSignatureProvider"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ece1660-89e4-4efe-8613-f619625afc8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f42c6ae-3fbc-4b15-b29b-26f803fb8319}" ma:internalName="TaxCatchAll" ma:showField="CatchAllData" ma:web="9ece1660-89e4-4efe-8613-f619625afc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ebf2d1a-3119-443f-9311-2f3fb0fd7de8">
      <Terms xmlns="http://schemas.microsoft.com/office/infopath/2007/PartnerControls"/>
    </lcf76f155ced4ddcb4097134ff3c332f>
    <TaxCatchAll xmlns="9ece1660-89e4-4efe-8613-f619625afc8d"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C18B546C-F7A4-4C69-A4AB-5A3B4D111E81}"/>
</file>

<file path=customXml/itemProps3.xml><?xml version="1.0" encoding="utf-8"?>
<ds:datastoreItem xmlns:ds="http://schemas.openxmlformats.org/officeDocument/2006/customXml" ds:itemID="{E0947BE3-0187-4B65-8195-334639DACF51}"/>
</file>

<file path=customXml/itemProps4.xml><?xml version="1.0" encoding="utf-8"?>
<ds:datastoreItem xmlns:ds="http://schemas.openxmlformats.org/officeDocument/2006/customXml" ds:itemID="{C2ED0A88-F24E-4BF7-B00C-998A08BCA5CD}"/>
</file>

<file path=docMetadata/LabelInfo.xml><?xml version="1.0" encoding="utf-8"?>
<clbl:labelList xmlns:clbl="http://schemas.microsoft.com/office/2020/mipLabelMetadata">
  <clbl:label id="{87867195-f2b8-4ac2-b0b6-6bb73cb33afc}" enabled="1" method="Privileged" siteId="{72f988bf-86f1-41af-91ab-2d7cd011db47}" removed="0"/>
  <clbl:label id="{defa4170-0d19-0005-0004-bc88714345d2}" enabled="1" method="Standard" siteId="{3b9917a3-e84c-4503-9de4-49e31e5f2dc2}"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8</Pages>
  <Words>3125</Words>
  <Characters>17815</Characters>
  <Application>Microsoft Office Word</Application>
  <DocSecurity>0</DocSecurity>
  <Lines>148</Lines>
  <Paragraphs>41</Paragraphs>
  <ScaleCrop>false</ScaleCrop>
  <Manager/>
  <Company/>
  <LinksUpToDate>false</LinksUpToDate>
  <CharactersWithSpaces>20899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Corey Gray</cp:lastModifiedBy>
  <cp:revision>3</cp:revision>
  <dcterms:created xsi:type="dcterms:W3CDTF">2026-09-07T07:32:00Z</dcterms:created>
  <dcterms:modified xsi:type="dcterms:W3CDTF">2026-09-07T07:41:00Z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0x01010042410C10365B41458A488A2E06A7CDDA</vt:lpwstr>
  </property>
  <property fmtid="{D5CDD505-2E9C-101B-9397-08002B2CF9AE}" pid="4" name="docLang">
    <vt:lpwstr>en</vt:lpwstr>
  </property>
</Properties>
</file>