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B34E0" w:rsidRDefault="002B34E0"/>
    <w:p w14:paraId="2844FA37" w14:textId="5F8E8ACB" w:rsidR="24AD45AB" w:rsidRDefault="24AD45AB" w:rsidP="24AD45AB">
      <w:pPr>
        <w:pStyle w:val="Title"/>
      </w:pPr>
      <w:r>
        <w:t>Compliance Readiness Brief</w:t>
      </w:r>
    </w:p>
    <w:p w14:paraId="7604D747" w14:textId="116AF239" w:rsidR="24AD45AB" w:rsidRDefault="24AD45AB">
      <w:r w:rsidRPr="24AD45AB">
        <w:rPr>
          <w:i/>
          <w:iCs/>
          <w:color w:val="7A7A7A"/>
          <w:sz w:val="20"/>
          <w:szCs w:val="20"/>
        </w:rPr>
        <w:t>AI governance, data privacy and regulatory posture — prepared for Corey Gray, Marketing, Paris. 7 September 2026.</w:t>
      </w:r>
    </w:p>
    <w:p w14:paraId="1A273FFD" w14:textId="4CDC8694" w:rsidR="24AD45AB" w:rsidRDefault="24AD45AB" w:rsidP="24AD45AB">
      <w:pPr>
        <w:pStyle w:val="Heading1"/>
      </w:pPr>
      <w:r w:rsidRPr="24AD45AB">
        <w:rPr>
          <w:color w:val="794E1F"/>
        </w:rPr>
        <w:t>1. Scope</w:t>
      </w:r>
    </w:p>
    <w:p w14:paraId="7365F6BF" w14:textId="4CD5A3B1" w:rsidR="24AD45AB" w:rsidRDefault="24AD45AB">
      <w:r>
        <w:t>This brief assesses readiness against the compliance obligations that bear on our AI, data privacy and platform governance work. The internal evidence base is the material held in the user's Microsoft 365 environment: the AI Governance Policy Book (4 February 2026), the AI Governance Quick-Start Checklist, the AI Governance Actionable Strategy Plan with RACI, the Pillar Five: Security &amp; Governance template held on the AI Strategy site, and the copy of Regulation (EU) 2024/1689 filed under AI Frameworks on the TIGRES site. External benchmarking draws on published regulatory trackers and the EDPB's 2025 annual reporting.</w:t>
      </w:r>
    </w:p>
    <w:p w14:paraId="45B0BB66" w14:textId="16D599B1" w:rsidR="24AD45AB" w:rsidRDefault="24AD45AB">
      <w:r>
        <w:t>Two boundaries should be stated plainly. First, a search of email and Teams messages over the last six months returned no substantive policy, audit, privacy or regulatory discussion threads; the internal picture therefore rests on documents rather than on correspondence, and no audit correspondence, regulator exchange or incident record was found. Second, the RACI in the strategy plan assigns roles by function — AI Governance Lead, Security Officer, Compliance Officer, Platform Admin — and not to named individuals, so the owners in section 5 are stated as those functional roles.</w:t>
      </w:r>
    </w:p>
    <w:p w14:paraId="2D4FA19A" w14:textId="6419E958" w:rsidR="24AD45AB" w:rsidRDefault="24AD45AB" w:rsidP="24AD45AB">
      <w:pPr>
        <w:pStyle w:val="Heading1"/>
      </w:pPr>
      <w:r w:rsidRPr="24AD45AB">
        <w:rPr>
          <w:color w:val="794E1F"/>
        </w:rPr>
        <w:t>2. Internal findings</w:t>
      </w:r>
    </w:p>
    <w:p w14:paraId="1DC329DA" w14:textId="354B47A1" w:rsidR="24AD45AB" w:rsidRDefault="24AD45AB">
      <w:r>
        <w:t xml:space="preserve">The policy framework is written and coherent. The AI Governance Policy Book sets out a four-pillar model — Compliance and Privacy, Security and Identity, Reliability and Quality, and Financial Governance — and states that each pillar carries mandatory controls, recommended practices and monitoring guidelines. Its compliance section names data residency enforcement (EUDB, GDPR, HIPAA), PII detection and redaction, and regulatory alignment with the EU AI Act. Platform-specific chapters cover Copilot Studio, Azure AI Foundry, the M365 Agent SDK and custom agents, and an incident response chapter </w:t>
      </w:r>
      <w:proofErr w:type="gramStart"/>
      <w:r>
        <w:t>describes</w:t>
      </w:r>
      <w:proofErr w:type="gramEnd"/>
      <w:r>
        <w:t xml:space="preserve"> an AI risk assessment matrix, escalation workflows and post-incident review.</w:t>
      </w:r>
    </w:p>
    <w:p w14:paraId="245C3030" w14:textId="71725B22" w:rsidR="24AD45AB" w:rsidRDefault="24AD45AB">
      <w:r>
        <w:t xml:space="preserve">Delivery intent is equally clear. The Quick-Start Checklist commits to enabling DLP policies in Copilot Studio, PII redaction on all AI outputs, EU data residency, Entra ID and OAuth2 authentication, least-privilege connector scoping, prompt injection mitigation, human-in-the-loop review for high-risk decisions, and separate Dev, Test and Production environments with environment-specific DLP and connector restrictions. Its thirty-day plan </w:t>
      </w:r>
      <w:r>
        <w:lastRenderedPageBreak/>
        <w:t>sequences those into four weeks, and the strategy plan extends the same sequence across three phases running to week twelve.</w:t>
      </w:r>
    </w:p>
    <w:p w14:paraId="6F4FDE8F" w14:textId="5F162FF1" w:rsidR="24AD45AB" w:rsidRDefault="24AD45AB">
      <w:r>
        <w:t xml:space="preserve">What is missing is evidence of execution. The policy book's own closing note records that architecture diagrams were still to be embedded in a final version, and its comment thread from 4 February 2026 shows an expansion into risk matrices and operational playbooks that </w:t>
      </w:r>
      <w:proofErr w:type="gramStart"/>
      <w:r>
        <w:t>was</w:t>
      </w:r>
      <w:proofErr w:type="gramEnd"/>
      <w:r>
        <w:t xml:space="preserve"> in progress rather than finished. The Pillar Five: Security &amp; Governance workbook remains an unfilled template inviting the reader to document their governance model, security controls and responsible AI safeguards. No completed control attestation, DLP configuration record, audit log, penetration or evaluation report </w:t>
      </w:r>
      <w:proofErr w:type="gramStart"/>
      <w:r>
        <w:t>was</w:t>
      </w:r>
      <w:proofErr w:type="gramEnd"/>
      <w:r>
        <w:t xml:space="preserve"> found in the searched material, and no calendar entries indicate a governance forum, audit checkpoint or privacy review in the period.</w:t>
      </w:r>
    </w:p>
    <w:p w14:paraId="46A16819" w14:textId="17EDE8A0" w:rsidR="24AD45AB" w:rsidRDefault="24AD45AB">
      <w:r>
        <w:t>Two further gaps follow from that. The strategy plan's timeline is expressed in relative weeks with no start date, so there is nothing to measure slippage against, and none of the internal documents carries a data protection impact assessment, a record of processing activities, or an inventory classifying deployed AI systems by risk tier — the three artefacts a regulator would ask for first.</w:t>
      </w:r>
    </w:p>
    <w:p w14:paraId="73B65654" w14:textId="2C97E6A4" w:rsidR="24AD45AB" w:rsidRDefault="24AD45AB" w:rsidP="24AD45AB">
      <w:pPr>
        <w:pStyle w:val="Heading1"/>
      </w:pPr>
      <w:r w:rsidRPr="24AD45AB">
        <w:rPr>
          <w:color w:val="794E1F"/>
        </w:rPr>
        <w:t>3. Regulatory landscape</w:t>
      </w:r>
    </w:p>
    <w:p w14:paraId="6C9EB666" w14:textId="60A2414C" w:rsidR="24AD45AB" w:rsidRDefault="24AD45AB" w:rsidP="24AD45AB">
      <w:pPr>
        <w:pStyle w:val="Heading2"/>
      </w:pPr>
      <w:r w:rsidRPr="24AD45AB">
        <w:rPr>
          <w:color w:val="794E1F"/>
        </w:rPr>
        <w:t>EU AI Act</w:t>
      </w:r>
    </w:p>
    <w:p w14:paraId="3BBF36AF" w14:textId="43C6FA54" w:rsidR="24AD45AB" w:rsidRDefault="24AD45AB">
      <w:r>
        <w:t>Regulation (EU) 2024/1689 is in force and phasing in, and the phasing changed materially this summer. The Digital Omnibus on AI, Regulation (EU) 2026/1744, entered into force on 27 July 2026 and moved the Annex III high-risk obligations to 2 December 2027, while the transparency duties went live as scheduled on 2 August 2026 (gosign.de, EU AI Act 2026: Status, Deadlines, Action Items; aiact-navigator.com timeline). Any compliance calendar drafted before that omnibus is now wrong, and our policy book predates it by five months.</w:t>
      </w:r>
    </w:p>
    <w:p w14:paraId="6D176C56" w14:textId="19C9E78F" w:rsidR="24AD45AB" w:rsidRDefault="24AD45AB">
      <w:r>
        <w:t>Enforcement, by contrast, has not been deferred. General-purpose AI model obligations under Chapter V have applied since 2 August 2025, and from 2 August 2026 the Commission may investigate and fine GPAI providers under Article 101 (ismscopilot.com, EU AI Act: what applies from 2 August 2026). The practical consequence for us is that transparency and GPAI duties are live obligations today, while the high-risk classification work has fifteen months of runway — a sequencing our internal plan does not reflect.</w:t>
      </w:r>
    </w:p>
    <w:p w14:paraId="72DF9C2E" w14:textId="7D555B1C" w:rsidR="24AD45AB" w:rsidRDefault="24AD45AB" w:rsidP="24AD45AB">
      <w:pPr>
        <w:pStyle w:val="Heading2"/>
      </w:pPr>
      <w:r w:rsidRPr="24AD45AB">
        <w:rPr>
          <w:color w:val="794E1F"/>
        </w:rPr>
        <w:t>GDPR and enforcement benchmarks</w:t>
      </w:r>
    </w:p>
    <w:p w14:paraId="346C66B4" w14:textId="4D693877" w:rsidR="24AD45AB" w:rsidRDefault="24AD45AB">
      <w:r>
        <w:t xml:space="preserve">European data protection authorities issued a combined 1.15 billion euros in GDPR fines during 2025, a figure set out in the EDPB's 2025 Annual Report published on 9 April 2026 (euaiaudit.io analysis of the EDPB 2025 Annual Report). Published enforcement trackers place the largest penalties in three clusters: behavioural advertising by large platforms, international data transfer compliance, and — newly — automated decision-making, with Meta Ireland's </w:t>
      </w:r>
      <w:proofErr w:type="gramStart"/>
      <w:r>
        <w:t>1.2 billion euro</w:t>
      </w:r>
      <w:proofErr w:type="gramEnd"/>
      <w:r>
        <w:t xml:space="preserve"> penalty for unlawful EU-to-US transfers still the reference point (engagecompliance.co, GDPR Fines 2026; securitywall.co GDPR Fines Tracker 2026).</w:t>
      </w:r>
    </w:p>
    <w:p w14:paraId="40A2D46B" w14:textId="6585DF73" w:rsidR="24AD45AB" w:rsidRDefault="24AD45AB">
      <w:r>
        <w:lastRenderedPageBreak/>
        <w:t>The direction of travel matters more than any single number. Commentary on the EDPB's coordinated enforcement framework describes a structural shift in which coordinated actions across member states, nine-figure penalties and converging data protection and anti-money-laundering obligations are becoming the normal operating environment (limitedliability.solutions, July 2026). Automated decision-making entering the top fine categories is the point of direct relevance: it is the precise overlap between our AI deployments and our GDPR exposure, and it is the area where our internal evidence is thinnest.</w:t>
      </w:r>
    </w:p>
    <w:p w14:paraId="67517B36" w14:textId="3B92FFFF" w:rsidR="24AD45AB" w:rsidRDefault="24AD45AB" w:rsidP="24AD45AB">
      <w:pPr>
        <w:pStyle w:val="Heading1"/>
      </w:pPr>
      <w:r w:rsidRPr="24AD45AB">
        <w:rPr>
          <w:color w:val="794E1F"/>
        </w:rPr>
        <w:t>4. Gap analysis</w:t>
      </w:r>
    </w:p>
    <w:p w14:paraId="48DB0F66" w14:textId="7F377635" w:rsidR="24AD45AB" w:rsidRDefault="24AD45AB">
      <w:r>
        <w:t>The table below sets each obligation against the internal evidence available and rates the gap. Ratings are: High — a live obligation with no evidence of control; Medium — policy written, implementation unevidenced; Low — policy written and deadline distant.</w:t>
      </w:r>
    </w:p>
    <w:tbl>
      <w:tblPr>
        <w:tblStyle w:val="TableGrid"/>
        <w:tblW w:w="0" w:type="auto"/>
        <w:tblLook w:val="0000" w:firstRow="0" w:lastRow="0" w:firstColumn="0" w:lastColumn="0" w:noHBand="0" w:noVBand="0"/>
      </w:tblPr>
      <w:tblGrid>
        <w:gridCol w:w="1885"/>
        <w:gridCol w:w="2994"/>
        <w:gridCol w:w="2986"/>
        <w:gridCol w:w="991"/>
      </w:tblGrid>
      <w:tr w:rsidR="24AD45AB" w14:paraId="5637921E" w14:textId="77777777" w:rsidTr="24AD45AB">
        <w:tc>
          <w:tcPr>
            <w:tcW w:w="2000" w:type="dxa"/>
          </w:tcPr>
          <w:p w14:paraId="4CE0C50E" w14:textId="531E8D9F" w:rsidR="24AD45AB" w:rsidRDefault="24AD45AB">
            <w:r w:rsidRPr="24AD45AB">
              <w:rPr>
                <w:b/>
                <w:bCs/>
              </w:rPr>
              <w:t>Obligation area</w:t>
            </w:r>
          </w:p>
        </w:tc>
        <w:tc>
          <w:tcPr>
            <w:tcW w:w="3400" w:type="dxa"/>
          </w:tcPr>
          <w:p w14:paraId="7FF96758" w14:textId="4BFC7463" w:rsidR="24AD45AB" w:rsidRDefault="24AD45AB">
            <w:r>
              <w:t>Requirement</w:t>
            </w:r>
          </w:p>
        </w:tc>
        <w:tc>
          <w:tcPr>
            <w:tcW w:w="3400" w:type="dxa"/>
          </w:tcPr>
          <w:p w14:paraId="75B9B119" w14:textId="44DA5B27" w:rsidR="24AD45AB" w:rsidRDefault="24AD45AB">
            <w:r w:rsidRPr="24AD45AB">
              <w:rPr>
                <w:b/>
                <w:bCs/>
              </w:rPr>
              <w:t>Internal evidence</w:t>
            </w:r>
          </w:p>
        </w:tc>
        <w:tc>
          <w:tcPr>
            <w:tcW w:w="900" w:type="dxa"/>
          </w:tcPr>
          <w:p w14:paraId="40B27E77" w14:textId="3DB841EB" w:rsidR="24AD45AB" w:rsidRDefault="24AD45AB">
            <w:r>
              <w:t>Gap</w:t>
            </w:r>
          </w:p>
        </w:tc>
      </w:tr>
      <w:tr w:rsidR="24AD45AB" w14:paraId="3CE60A9E" w14:textId="77777777" w:rsidTr="24AD45AB">
        <w:tc>
          <w:tcPr>
            <w:tcW w:w="2000" w:type="dxa"/>
          </w:tcPr>
          <w:p w14:paraId="4E5964DB" w14:textId="54CDA260" w:rsidR="24AD45AB" w:rsidRDefault="24AD45AB">
            <w:r>
              <w:t>AI system inventory and risk tiering</w:t>
            </w:r>
          </w:p>
        </w:tc>
        <w:tc>
          <w:tcPr>
            <w:tcW w:w="3400" w:type="dxa"/>
          </w:tcPr>
          <w:p w14:paraId="17B0D0CC" w14:textId="4DAB8924" w:rsidR="24AD45AB" w:rsidRDefault="24AD45AB">
            <w:r>
              <w:t>Classify each deployed AI system against the Act's risk tiers; Annex III high-risk duties now apply from 2 December 2027</w:t>
            </w:r>
          </w:p>
        </w:tc>
        <w:tc>
          <w:tcPr>
            <w:tcW w:w="3400" w:type="dxa"/>
          </w:tcPr>
          <w:p w14:paraId="3670F39A" w14:textId="46896FE8" w:rsidR="24AD45AB" w:rsidRDefault="24AD45AB">
            <w:r>
              <w:t>None. Policy book references EU AI Act alignment but holds no inventory</w:t>
            </w:r>
          </w:p>
        </w:tc>
        <w:tc>
          <w:tcPr>
            <w:tcW w:w="900" w:type="dxa"/>
          </w:tcPr>
          <w:p w14:paraId="59D08EAA" w14:textId="3F6756AC" w:rsidR="24AD45AB" w:rsidRDefault="24AD45AB">
            <w:r>
              <w:t>High</w:t>
            </w:r>
          </w:p>
        </w:tc>
      </w:tr>
      <w:tr w:rsidR="24AD45AB" w14:paraId="73B40613" w14:textId="77777777" w:rsidTr="24AD45AB">
        <w:tc>
          <w:tcPr>
            <w:tcW w:w="2000" w:type="dxa"/>
          </w:tcPr>
          <w:p w14:paraId="7BFD78CF" w14:textId="567CB721" w:rsidR="24AD45AB" w:rsidRDefault="24AD45AB">
            <w:r>
              <w:t>AI transparency disclosure</w:t>
            </w:r>
          </w:p>
        </w:tc>
        <w:tc>
          <w:tcPr>
            <w:tcW w:w="3400" w:type="dxa"/>
          </w:tcPr>
          <w:p w14:paraId="2DE307EF" w14:textId="4F5A9DE5" w:rsidR="24AD45AB" w:rsidRDefault="24AD45AB">
            <w:r>
              <w:t>Transparency duties live since 2 August 2026; users informed when interacting with an AI system</w:t>
            </w:r>
          </w:p>
        </w:tc>
        <w:tc>
          <w:tcPr>
            <w:tcW w:w="3400" w:type="dxa"/>
          </w:tcPr>
          <w:p w14:paraId="3C7BE5E2" w14:textId="483884A9" w:rsidR="24AD45AB" w:rsidRDefault="24AD45AB">
            <w:r>
              <w:t>Not addressed in the policy book or the checklist</w:t>
            </w:r>
          </w:p>
        </w:tc>
        <w:tc>
          <w:tcPr>
            <w:tcW w:w="900" w:type="dxa"/>
          </w:tcPr>
          <w:p w14:paraId="421BF23E" w14:textId="41166B6D" w:rsidR="24AD45AB" w:rsidRDefault="24AD45AB">
            <w:r>
              <w:t>High</w:t>
            </w:r>
          </w:p>
        </w:tc>
      </w:tr>
      <w:tr w:rsidR="24AD45AB" w14:paraId="5A867319" w14:textId="77777777" w:rsidTr="24AD45AB">
        <w:tc>
          <w:tcPr>
            <w:tcW w:w="2000" w:type="dxa"/>
          </w:tcPr>
          <w:p w14:paraId="4FFF6138" w14:textId="582BCBE2" w:rsidR="24AD45AB" w:rsidRDefault="24AD45AB">
            <w:r>
              <w:t>Automated decision-making under GDPR</w:t>
            </w:r>
          </w:p>
        </w:tc>
        <w:tc>
          <w:tcPr>
            <w:tcW w:w="3400" w:type="dxa"/>
          </w:tcPr>
          <w:p w14:paraId="6BA55AA0" w14:textId="5109B2A6" w:rsidR="24AD45AB" w:rsidRDefault="24AD45AB">
            <w:r>
              <w:t>Lawful basis, human review and explanation for automated decisions; now a top fine category</w:t>
            </w:r>
          </w:p>
        </w:tc>
        <w:tc>
          <w:tcPr>
            <w:tcW w:w="3400" w:type="dxa"/>
          </w:tcPr>
          <w:p w14:paraId="2B938F35" w14:textId="49E7996A" w:rsidR="24AD45AB" w:rsidRDefault="24AD45AB">
            <w:r>
              <w:t>Checklist commits to human-in-the-loop for high-risk decisions; no record of where it is applied</w:t>
            </w:r>
          </w:p>
        </w:tc>
        <w:tc>
          <w:tcPr>
            <w:tcW w:w="900" w:type="dxa"/>
          </w:tcPr>
          <w:p w14:paraId="48EA9626" w14:textId="42C5802E" w:rsidR="24AD45AB" w:rsidRDefault="24AD45AB">
            <w:r>
              <w:t>High</w:t>
            </w:r>
          </w:p>
        </w:tc>
      </w:tr>
      <w:tr w:rsidR="24AD45AB" w14:paraId="5205AF63" w14:textId="77777777" w:rsidTr="24AD45AB">
        <w:tc>
          <w:tcPr>
            <w:tcW w:w="2000" w:type="dxa"/>
          </w:tcPr>
          <w:p w14:paraId="223B4487" w14:textId="59DAE0A3" w:rsidR="24AD45AB" w:rsidRDefault="24AD45AB">
            <w:r>
              <w:t>DLP and PII redaction</w:t>
            </w:r>
          </w:p>
        </w:tc>
        <w:tc>
          <w:tcPr>
            <w:tcW w:w="3400" w:type="dxa"/>
          </w:tcPr>
          <w:p w14:paraId="7CC31E36" w14:textId="52B8C767" w:rsidR="24AD45AB" w:rsidRDefault="24AD45AB">
            <w:r>
              <w:t>DLP policies in Copilot Studio, PII redaction on all AI outputs, connector restrictions per environment</w:t>
            </w:r>
          </w:p>
        </w:tc>
        <w:tc>
          <w:tcPr>
            <w:tcW w:w="3400" w:type="dxa"/>
          </w:tcPr>
          <w:p w14:paraId="50997E24" w14:textId="4B96AE2B" w:rsidR="24AD45AB" w:rsidRDefault="24AD45AB">
            <w:r>
              <w:t>Committed in the Quick-Start Checklist; no configuration record or attestation found</w:t>
            </w:r>
          </w:p>
        </w:tc>
        <w:tc>
          <w:tcPr>
            <w:tcW w:w="900" w:type="dxa"/>
          </w:tcPr>
          <w:p w14:paraId="743C4B3C" w14:textId="447494EF" w:rsidR="24AD45AB" w:rsidRDefault="24AD45AB">
            <w:r>
              <w:t>Medium</w:t>
            </w:r>
          </w:p>
        </w:tc>
      </w:tr>
      <w:tr w:rsidR="24AD45AB" w14:paraId="3D4C002A" w14:textId="77777777" w:rsidTr="24AD45AB">
        <w:tc>
          <w:tcPr>
            <w:tcW w:w="2000" w:type="dxa"/>
          </w:tcPr>
          <w:p w14:paraId="269310FC" w14:textId="5B89F564" w:rsidR="24AD45AB" w:rsidRDefault="24AD45AB">
            <w:r>
              <w:t>Data residency</w:t>
            </w:r>
          </w:p>
        </w:tc>
        <w:tc>
          <w:tcPr>
            <w:tcW w:w="3400" w:type="dxa"/>
          </w:tcPr>
          <w:p w14:paraId="6AEF10F9" w14:textId="5467DC28" w:rsidR="24AD45AB" w:rsidRDefault="24AD45AB">
            <w:r>
              <w:t>EU Data Boundary residency for EU personal data; transfers remain a leading fine category</w:t>
            </w:r>
          </w:p>
        </w:tc>
        <w:tc>
          <w:tcPr>
            <w:tcW w:w="3400" w:type="dxa"/>
          </w:tcPr>
          <w:p w14:paraId="36AB4A39" w14:textId="4D45C2EC" w:rsidR="24AD45AB" w:rsidRDefault="24AD45AB">
            <w:r>
              <w:t>Named in the policy book's compliance section; no residency verification evidence</w:t>
            </w:r>
          </w:p>
        </w:tc>
        <w:tc>
          <w:tcPr>
            <w:tcW w:w="900" w:type="dxa"/>
          </w:tcPr>
          <w:p w14:paraId="4069C63F" w14:textId="4623A9B0" w:rsidR="24AD45AB" w:rsidRDefault="24AD45AB">
            <w:r>
              <w:t>Medium</w:t>
            </w:r>
          </w:p>
        </w:tc>
      </w:tr>
      <w:tr w:rsidR="24AD45AB" w14:paraId="11596531" w14:textId="77777777" w:rsidTr="24AD45AB">
        <w:tc>
          <w:tcPr>
            <w:tcW w:w="2000" w:type="dxa"/>
          </w:tcPr>
          <w:p w14:paraId="2CD3F62E" w14:textId="5D390A25" w:rsidR="24AD45AB" w:rsidRDefault="24AD45AB">
            <w:r>
              <w:t>Records of processing and impact assessment</w:t>
            </w:r>
          </w:p>
        </w:tc>
        <w:tc>
          <w:tcPr>
            <w:tcW w:w="3400" w:type="dxa"/>
          </w:tcPr>
          <w:p w14:paraId="47C1F063" w14:textId="5616F0E9" w:rsidR="24AD45AB" w:rsidRDefault="24AD45AB">
            <w:r>
              <w:t>Article 30 record of processing activities and DPIAs for high-risk AI processing</w:t>
            </w:r>
          </w:p>
        </w:tc>
        <w:tc>
          <w:tcPr>
            <w:tcW w:w="3400" w:type="dxa"/>
          </w:tcPr>
          <w:p w14:paraId="70FFAE89" w14:textId="4EF4D7AD" w:rsidR="24AD45AB" w:rsidRDefault="24AD45AB">
            <w:r>
              <w:t>No ROPA or DPIA located in the searched material</w:t>
            </w:r>
          </w:p>
        </w:tc>
        <w:tc>
          <w:tcPr>
            <w:tcW w:w="900" w:type="dxa"/>
          </w:tcPr>
          <w:p w14:paraId="409F1D71" w14:textId="47D2BE71" w:rsidR="24AD45AB" w:rsidRDefault="24AD45AB">
            <w:r>
              <w:t>High</w:t>
            </w:r>
          </w:p>
        </w:tc>
      </w:tr>
      <w:tr w:rsidR="24AD45AB" w14:paraId="256E2BA4" w14:textId="77777777" w:rsidTr="24AD45AB">
        <w:tc>
          <w:tcPr>
            <w:tcW w:w="2000" w:type="dxa"/>
          </w:tcPr>
          <w:p w14:paraId="1B21BE22" w14:textId="5EE81EE6" w:rsidR="24AD45AB" w:rsidRDefault="24AD45AB">
            <w:r>
              <w:t>Governance operating model</w:t>
            </w:r>
          </w:p>
        </w:tc>
        <w:tc>
          <w:tcPr>
            <w:tcW w:w="3400" w:type="dxa"/>
          </w:tcPr>
          <w:p w14:paraId="6AC4EB95" w14:textId="57C605AA" w:rsidR="24AD45AB" w:rsidRDefault="24AD45AB">
            <w:r>
              <w:t>Documented governance model, named accountable owners, evidenced review cadence</w:t>
            </w:r>
          </w:p>
        </w:tc>
        <w:tc>
          <w:tcPr>
            <w:tcW w:w="3400" w:type="dxa"/>
          </w:tcPr>
          <w:p w14:paraId="1358E552" w14:textId="50A3EC6E" w:rsidR="24AD45AB" w:rsidRDefault="24AD45AB">
            <w:r>
              <w:t>RACI defines roles by function only; Pillar Five template is unfilled; no governance forum on the calendar</w:t>
            </w:r>
          </w:p>
        </w:tc>
        <w:tc>
          <w:tcPr>
            <w:tcW w:w="900" w:type="dxa"/>
          </w:tcPr>
          <w:p w14:paraId="2D016986" w14:textId="4981D332" w:rsidR="24AD45AB" w:rsidRDefault="24AD45AB">
            <w:r>
              <w:t>Medium</w:t>
            </w:r>
          </w:p>
        </w:tc>
      </w:tr>
    </w:tbl>
    <w:p w14:paraId="359284BC" w14:textId="5E27CC91" w:rsidR="24AD45AB" w:rsidRDefault="24AD45AB" w:rsidP="24AD45AB">
      <w:pPr>
        <w:pStyle w:val="Heading1"/>
      </w:pPr>
      <w:r w:rsidRPr="24AD45AB">
        <w:rPr>
          <w:color w:val="794E1F"/>
        </w:rPr>
        <w:lastRenderedPageBreak/>
        <w:t>5. Prioritised remediation actions</w:t>
      </w:r>
    </w:p>
    <w:p w14:paraId="72D1BB35" w14:textId="294A0216" w:rsidR="24AD45AB" w:rsidRDefault="24AD45AB">
      <w:r>
        <w:t>Owners are given as the functional roles defined in the AI Governance Actionable Strategy Plan with RACI, since that document assigns accountability by role rather than by name. Each should be mapped to a named individual before the plan is circulated.</w:t>
      </w:r>
    </w:p>
    <w:tbl>
      <w:tblPr>
        <w:tblStyle w:val="TableGrid"/>
        <w:tblW w:w="0" w:type="auto"/>
        <w:tblLook w:val="0000" w:firstRow="0" w:lastRow="0" w:firstColumn="0" w:lastColumn="0" w:noHBand="0" w:noVBand="0"/>
      </w:tblPr>
      <w:tblGrid>
        <w:gridCol w:w="1719"/>
        <w:gridCol w:w="1805"/>
        <w:gridCol w:w="1847"/>
        <w:gridCol w:w="1785"/>
        <w:gridCol w:w="1700"/>
      </w:tblGrid>
      <w:tr w:rsidR="24AD45AB" w14:paraId="4ADD8385" w14:textId="77777777" w:rsidTr="24AD45AB">
        <w:tc>
          <w:tcPr>
            <w:tcW w:w="1872" w:type="dxa"/>
          </w:tcPr>
          <w:p w14:paraId="6EC1465C" w14:textId="2CF96E42" w:rsidR="24AD45AB" w:rsidRDefault="24AD45AB">
            <w:r>
              <w:t>Priority</w:t>
            </w:r>
          </w:p>
        </w:tc>
        <w:tc>
          <w:tcPr>
            <w:tcW w:w="1872" w:type="dxa"/>
          </w:tcPr>
          <w:p w14:paraId="3FAAC7B7" w14:textId="25D75506" w:rsidR="24AD45AB" w:rsidRDefault="24AD45AB">
            <w:r>
              <w:t>Action</w:t>
            </w:r>
          </w:p>
        </w:tc>
        <w:tc>
          <w:tcPr>
            <w:tcW w:w="1872" w:type="dxa"/>
          </w:tcPr>
          <w:p w14:paraId="7B0E5979" w14:textId="1EB53BCA" w:rsidR="24AD45AB" w:rsidRDefault="24AD45AB">
            <w:r w:rsidRPr="24AD45AB">
              <w:rPr>
                <w:b/>
                <w:bCs/>
              </w:rPr>
              <w:t>Why now</w:t>
            </w:r>
          </w:p>
        </w:tc>
        <w:tc>
          <w:tcPr>
            <w:tcW w:w="1872" w:type="dxa"/>
          </w:tcPr>
          <w:p w14:paraId="66167F8A" w14:textId="1793228E" w:rsidR="24AD45AB" w:rsidRDefault="24AD45AB">
            <w:r w:rsidRPr="24AD45AB">
              <w:rPr>
                <w:b/>
                <w:bCs/>
              </w:rPr>
              <w:t>Owner (role)</w:t>
            </w:r>
          </w:p>
        </w:tc>
        <w:tc>
          <w:tcPr>
            <w:tcW w:w="1872" w:type="dxa"/>
          </w:tcPr>
          <w:p w14:paraId="45BA5C0D" w14:textId="10710952" w:rsidR="24AD45AB" w:rsidRDefault="24AD45AB">
            <w:r>
              <w:t>Target</w:t>
            </w:r>
          </w:p>
        </w:tc>
      </w:tr>
      <w:tr w:rsidR="24AD45AB" w14:paraId="3A6A8CE2" w14:textId="77777777" w:rsidTr="24AD45AB">
        <w:tc>
          <w:tcPr>
            <w:tcW w:w="1872" w:type="dxa"/>
          </w:tcPr>
          <w:p w14:paraId="226B0F5D" w14:textId="278669C7" w:rsidR="24AD45AB" w:rsidRDefault="24AD45AB">
            <w:r>
              <w:t>P1</w:t>
            </w:r>
          </w:p>
        </w:tc>
        <w:tc>
          <w:tcPr>
            <w:tcW w:w="1872" w:type="dxa"/>
          </w:tcPr>
          <w:p w14:paraId="68D2F8FB" w14:textId="2064508B" w:rsidR="24AD45AB" w:rsidRDefault="24AD45AB">
            <w:r>
              <w:t>Build an inventory of every deployed and planned AI system and classify each against the Act's risk tiers</w:t>
            </w:r>
          </w:p>
        </w:tc>
        <w:tc>
          <w:tcPr>
            <w:tcW w:w="1872" w:type="dxa"/>
          </w:tcPr>
          <w:p w14:paraId="2298CABA" w14:textId="1942374F" w:rsidR="24AD45AB" w:rsidRDefault="24AD45AB">
            <w:r>
              <w:t xml:space="preserve">Nothing else can be scoped without it; it is the first artefact a regulator </w:t>
            </w:r>
            <w:proofErr w:type="gramStart"/>
            <w:r>
              <w:t>requests</w:t>
            </w:r>
            <w:proofErr w:type="gramEnd"/>
          </w:p>
        </w:tc>
        <w:tc>
          <w:tcPr>
            <w:tcW w:w="1872" w:type="dxa"/>
          </w:tcPr>
          <w:p w14:paraId="48F0ED77" w14:textId="12201E13" w:rsidR="24AD45AB" w:rsidRDefault="24AD45AB">
            <w:r>
              <w:t>AI Governance Lead, accountable to the CIO</w:t>
            </w:r>
          </w:p>
        </w:tc>
        <w:tc>
          <w:tcPr>
            <w:tcW w:w="1872" w:type="dxa"/>
          </w:tcPr>
          <w:p w14:paraId="1EBA333D" w14:textId="0AFE04D7" w:rsidR="24AD45AB" w:rsidRDefault="24AD45AB">
            <w:r>
              <w:t>4 weeks</w:t>
            </w:r>
          </w:p>
        </w:tc>
      </w:tr>
      <w:tr w:rsidR="24AD45AB" w14:paraId="417699DF" w14:textId="77777777" w:rsidTr="24AD45AB">
        <w:tc>
          <w:tcPr>
            <w:tcW w:w="1872" w:type="dxa"/>
          </w:tcPr>
          <w:p w14:paraId="52D29CC7" w14:textId="2213654C" w:rsidR="24AD45AB" w:rsidRDefault="24AD45AB">
            <w:r>
              <w:t>P1</w:t>
            </w:r>
          </w:p>
        </w:tc>
        <w:tc>
          <w:tcPr>
            <w:tcW w:w="1872" w:type="dxa"/>
          </w:tcPr>
          <w:p w14:paraId="2B3A2A56" w14:textId="1AF14C10" w:rsidR="24AD45AB" w:rsidRDefault="24AD45AB">
            <w:r>
              <w:t>Confirm AI transparency disclosures wherever users interact with an AI system, and record where they appear</w:t>
            </w:r>
          </w:p>
        </w:tc>
        <w:tc>
          <w:tcPr>
            <w:tcW w:w="1872" w:type="dxa"/>
          </w:tcPr>
          <w:p w14:paraId="490000D6" w14:textId="13CF32D4" w:rsidR="24AD45AB" w:rsidRDefault="24AD45AB">
            <w:r>
              <w:t>The transparency duties have applied since 2 August 2026 and are unaddressed in current policy</w:t>
            </w:r>
          </w:p>
        </w:tc>
        <w:tc>
          <w:tcPr>
            <w:tcW w:w="1872" w:type="dxa"/>
          </w:tcPr>
          <w:p w14:paraId="7DF38310" w14:textId="0CAD1998" w:rsidR="24AD45AB" w:rsidRDefault="24AD45AB">
            <w:r>
              <w:t>Compliance Officer with the AI Governance Lead</w:t>
            </w:r>
          </w:p>
        </w:tc>
        <w:tc>
          <w:tcPr>
            <w:tcW w:w="1872" w:type="dxa"/>
          </w:tcPr>
          <w:p w14:paraId="759D95B1" w14:textId="058B005C" w:rsidR="24AD45AB" w:rsidRDefault="24AD45AB">
            <w:r>
              <w:t>4 weeks</w:t>
            </w:r>
          </w:p>
        </w:tc>
      </w:tr>
      <w:tr w:rsidR="24AD45AB" w14:paraId="2B107872" w14:textId="77777777" w:rsidTr="24AD45AB">
        <w:tc>
          <w:tcPr>
            <w:tcW w:w="1872" w:type="dxa"/>
          </w:tcPr>
          <w:p w14:paraId="51B53E57" w14:textId="1CA060D1" w:rsidR="24AD45AB" w:rsidRDefault="24AD45AB">
            <w:r>
              <w:t>P1</w:t>
            </w:r>
          </w:p>
        </w:tc>
        <w:tc>
          <w:tcPr>
            <w:tcW w:w="1872" w:type="dxa"/>
          </w:tcPr>
          <w:p w14:paraId="311A60E1" w14:textId="157E4795" w:rsidR="24AD45AB" w:rsidRDefault="24AD45AB">
            <w:r>
              <w:t>Identify every automated decision affecting individuals and evidence its lawful basis and human review step</w:t>
            </w:r>
          </w:p>
        </w:tc>
        <w:tc>
          <w:tcPr>
            <w:tcW w:w="1872" w:type="dxa"/>
          </w:tcPr>
          <w:p w14:paraId="293FB2B7" w14:textId="0E5C2E59" w:rsidR="24AD45AB" w:rsidRDefault="24AD45AB">
            <w:r>
              <w:t>Automated decision-making has entered the largest GDPR fine categories</w:t>
            </w:r>
          </w:p>
        </w:tc>
        <w:tc>
          <w:tcPr>
            <w:tcW w:w="1872" w:type="dxa"/>
          </w:tcPr>
          <w:p w14:paraId="2D3DFBFB" w14:textId="073A151D" w:rsidR="24AD45AB" w:rsidRDefault="24AD45AB">
            <w:r>
              <w:t>Compliance Officer</w:t>
            </w:r>
          </w:p>
        </w:tc>
        <w:tc>
          <w:tcPr>
            <w:tcW w:w="1872" w:type="dxa"/>
          </w:tcPr>
          <w:p w14:paraId="27CF59DC" w14:textId="0017FBE1" w:rsidR="24AD45AB" w:rsidRDefault="24AD45AB">
            <w:r>
              <w:t>6 weeks</w:t>
            </w:r>
          </w:p>
        </w:tc>
      </w:tr>
      <w:tr w:rsidR="24AD45AB" w14:paraId="3451A49D" w14:textId="77777777" w:rsidTr="24AD45AB">
        <w:tc>
          <w:tcPr>
            <w:tcW w:w="1872" w:type="dxa"/>
          </w:tcPr>
          <w:p w14:paraId="151CE126" w14:textId="172D5C56" w:rsidR="24AD45AB" w:rsidRDefault="24AD45AB">
            <w:r>
              <w:t>P2</w:t>
            </w:r>
          </w:p>
        </w:tc>
        <w:tc>
          <w:tcPr>
            <w:tcW w:w="1872" w:type="dxa"/>
          </w:tcPr>
          <w:p w14:paraId="383AC288" w14:textId="100B431A" w:rsidR="24AD45AB" w:rsidRDefault="24AD45AB">
            <w:r>
              <w:t>Produce an attestation that DLP, PII redaction, connector restrictions and EU data residency are configured as the checklist commits</w:t>
            </w:r>
          </w:p>
        </w:tc>
        <w:tc>
          <w:tcPr>
            <w:tcW w:w="1872" w:type="dxa"/>
          </w:tcPr>
          <w:p w14:paraId="593ED02A" w14:textId="08E929DE" w:rsidR="24AD45AB" w:rsidRDefault="24AD45AB">
            <w:r>
              <w:t>Policy is written but implementation is unevidenced; transfers remain a leading fine category</w:t>
            </w:r>
          </w:p>
        </w:tc>
        <w:tc>
          <w:tcPr>
            <w:tcW w:w="1872" w:type="dxa"/>
          </w:tcPr>
          <w:p w14:paraId="54C31B98" w14:textId="01C710A2" w:rsidR="24AD45AB" w:rsidRDefault="24AD45AB">
            <w:r>
              <w:t>Security Officer, accountable to the Compliance Officer</w:t>
            </w:r>
          </w:p>
        </w:tc>
        <w:tc>
          <w:tcPr>
            <w:tcW w:w="1872" w:type="dxa"/>
          </w:tcPr>
          <w:p w14:paraId="387FE0A4" w14:textId="7AA4F766" w:rsidR="24AD45AB" w:rsidRDefault="24AD45AB">
            <w:r>
              <w:t>6 weeks</w:t>
            </w:r>
          </w:p>
        </w:tc>
      </w:tr>
      <w:tr w:rsidR="24AD45AB" w14:paraId="7A71663E" w14:textId="77777777" w:rsidTr="24AD45AB">
        <w:tc>
          <w:tcPr>
            <w:tcW w:w="1872" w:type="dxa"/>
          </w:tcPr>
          <w:p w14:paraId="30E22714" w14:textId="11BA57DB" w:rsidR="24AD45AB" w:rsidRDefault="24AD45AB">
            <w:r>
              <w:t>P2</w:t>
            </w:r>
          </w:p>
        </w:tc>
        <w:tc>
          <w:tcPr>
            <w:tcW w:w="1872" w:type="dxa"/>
          </w:tcPr>
          <w:p w14:paraId="5E3C8461" w14:textId="0A983E9F" w:rsidR="24AD45AB" w:rsidRDefault="24AD45AB">
            <w:r>
              <w:t xml:space="preserve">Complete the Pillar Five governance workbook, name individuals against every RACI role, and </w:t>
            </w:r>
            <w:r>
              <w:lastRenderedPageBreak/>
              <w:t>set a standing governance review</w:t>
            </w:r>
          </w:p>
        </w:tc>
        <w:tc>
          <w:tcPr>
            <w:tcW w:w="1872" w:type="dxa"/>
          </w:tcPr>
          <w:p w14:paraId="2C7DC4C0" w14:textId="03762563" w:rsidR="24AD45AB" w:rsidRDefault="24AD45AB">
            <w:r>
              <w:lastRenderedPageBreak/>
              <w:t>The template is unfilled and no governance forum appears on the calendar</w:t>
            </w:r>
          </w:p>
        </w:tc>
        <w:tc>
          <w:tcPr>
            <w:tcW w:w="1872" w:type="dxa"/>
          </w:tcPr>
          <w:p w14:paraId="1CEB5BE0" w14:textId="7C540C27" w:rsidR="24AD45AB" w:rsidRDefault="24AD45AB">
            <w:r>
              <w:t>AI Governance Lead</w:t>
            </w:r>
          </w:p>
        </w:tc>
        <w:tc>
          <w:tcPr>
            <w:tcW w:w="1872" w:type="dxa"/>
          </w:tcPr>
          <w:p w14:paraId="249402DF" w14:textId="7531F2EB" w:rsidR="24AD45AB" w:rsidRDefault="24AD45AB">
            <w:r>
              <w:t>8 weeks</w:t>
            </w:r>
          </w:p>
        </w:tc>
      </w:tr>
      <w:tr w:rsidR="24AD45AB" w14:paraId="4E4547AD" w14:textId="77777777" w:rsidTr="24AD45AB">
        <w:tc>
          <w:tcPr>
            <w:tcW w:w="1872" w:type="dxa"/>
          </w:tcPr>
          <w:p w14:paraId="6C291F2A" w14:textId="0C475360" w:rsidR="24AD45AB" w:rsidRDefault="24AD45AB">
            <w:r>
              <w:t>P3</w:t>
            </w:r>
          </w:p>
        </w:tc>
        <w:tc>
          <w:tcPr>
            <w:tcW w:w="1872" w:type="dxa"/>
          </w:tcPr>
          <w:p w14:paraId="788AA66E" w14:textId="05253A24" w:rsidR="24AD45AB" w:rsidRDefault="24AD45AB">
            <w:r>
              <w:t>Reissue the policy book against the revised timeline, with dated milestones replacing relative weeks</w:t>
            </w:r>
          </w:p>
        </w:tc>
        <w:tc>
          <w:tcPr>
            <w:tcW w:w="1872" w:type="dxa"/>
          </w:tcPr>
          <w:p w14:paraId="1EC3E90E" w14:textId="7E0320E8" w:rsidR="24AD45AB" w:rsidRDefault="24AD45AB">
            <w:r>
              <w:t xml:space="preserve">The February 2026 edition predates </w:t>
            </w:r>
            <w:proofErr w:type="gramStart"/>
            <w:r>
              <w:t>the Digital</w:t>
            </w:r>
            <w:proofErr w:type="gramEnd"/>
            <w:r>
              <w:t xml:space="preserve"> </w:t>
            </w:r>
            <w:proofErr w:type="gramStart"/>
            <w:r>
              <w:t>Omnibus</w:t>
            </w:r>
            <w:proofErr w:type="gramEnd"/>
            <w:r>
              <w:t xml:space="preserve"> and its plan has no start date</w:t>
            </w:r>
          </w:p>
        </w:tc>
        <w:tc>
          <w:tcPr>
            <w:tcW w:w="1872" w:type="dxa"/>
          </w:tcPr>
          <w:p w14:paraId="5F724E34" w14:textId="76E107AC" w:rsidR="24AD45AB" w:rsidRDefault="24AD45AB">
            <w:r>
              <w:t>AI Governance Lead with the Compliance Officer</w:t>
            </w:r>
          </w:p>
        </w:tc>
        <w:tc>
          <w:tcPr>
            <w:tcW w:w="1872" w:type="dxa"/>
          </w:tcPr>
          <w:p w14:paraId="7DF30044" w14:textId="6FBEEE70" w:rsidR="24AD45AB" w:rsidRDefault="24AD45AB">
            <w:r>
              <w:t>12 weeks</w:t>
            </w:r>
          </w:p>
        </w:tc>
      </w:tr>
    </w:tbl>
    <w:p w14:paraId="216F9DE4" w14:textId="4CC30130" w:rsidR="24AD45AB" w:rsidRDefault="24AD45AB" w:rsidP="24AD45AB">
      <w:pPr>
        <w:pStyle w:val="Heading1"/>
      </w:pPr>
      <w:r w:rsidRPr="24AD45AB">
        <w:rPr>
          <w:color w:val="794E1F"/>
        </w:rPr>
        <w:t>Sources</w:t>
      </w:r>
    </w:p>
    <w:p w14:paraId="502C5EB7" w14:textId="594AA9C6" w:rsidR="24AD45AB" w:rsidRDefault="24AD45AB">
      <w:r>
        <w:t>Internal: AI Governance Policy Book (Corey Gray, 4 February 2026, OneDrive); AI Governance Quick-Start Checklist (OneDrive); AI Governance Actionable Strategy Plan with RACI (OneDrive); Pillar Five: Security &amp; Governance (AI Strategy site, Pillar Templates); Regulation (EU) 2024/1689, filed as EU AI ACT-202401689 (TIGRES site, AI Frameworks). Email and Teams searches over March to September 2026 returned no substantive compliance discussion.</w:t>
      </w:r>
    </w:p>
    <w:p w14:paraId="4ECFB11B" w14:textId="1748B108" w:rsidR="24AD45AB" w:rsidRDefault="24AD45AB">
      <w:r w:rsidRPr="24AD45AB">
        <w:rPr>
          <w:sz w:val="20"/>
          <w:szCs w:val="20"/>
        </w:rPr>
        <w:t>External: gosign.de, “EU AI Act 2026: Status, Deadlines, Action Items”; aiact-navigator.com, “EU AI Act timeline &amp; deadlines: 2025, 2026, 2027”; ismscopilot.com, “EU AI Act: what applies from 2 August 2026”; euaiaudit.io analysis of the EDPB 2025 Annual Report (published 9 April 2026); engagecompliance.co, “GDPR Fines 2026: Recent Enforcement Explained”; securitywall.co, “GDPR Fines Tracker 2026”; limitedliability.solutions, “GDPR Enforcement Escalates in 2025–2026” (19 July 2026).</w:t>
      </w:r>
    </w:p>
    <w:sectPr w:rsidR="24AD45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136894">
    <w:abstractNumId w:val="8"/>
  </w:num>
  <w:num w:numId="2" w16cid:durableId="1735353028">
    <w:abstractNumId w:val="6"/>
  </w:num>
  <w:num w:numId="3" w16cid:durableId="1877157175">
    <w:abstractNumId w:val="5"/>
  </w:num>
  <w:num w:numId="4" w16cid:durableId="1472822318">
    <w:abstractNumId w:val="4"/>
  </w:num>
  <w:num w:numId="5" w16cid:durableId="1882278277">
    <w:abstractNumId w:val="7"/>
  </w:num>
  <w:num w:numId="6" w16cid:durableId="857618722">
    <w:abstractNumId w:val="3"/>
  </w:num>
  <w:num w:numId="7" w16cid:durableId="245775256">
    <w:abstractNumId w:val="2"/>
  </w:num>
  <w:num w:numId="8" w16cid:durableId="66464755">
    <w:abstractNumId w:val="1"/>
  </w:num>
  <w:num w:numId="9" w16cid:durableId="124907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5C8D"/>
    <w:rsid w:val="002B0E47"/>
    <w:rsid w:val="002B34E0"/>
    <w:rsid w:val="00326F90"/>
    <w:rsid w:val="008965BE"/>
    <w:rsid w:val="008E2C7F"/>
    <w:rsid w:val="00AA1D8D"/>
    <w:rsid w:val="00B47730"/>
    <w:rsid w:val="00CB0664"/>
    <w:rsid w:val="00DF53A0"/>
    <w:rsid w:val="00FC693F"/>
    <w:rsid w:val="07EC3B37"/>
    <w:rsid w:val="082479D8"/>
    <w:rsid w:val="08FF70B1"/>
    <w:rsid w:val="1A1D667B"/>
    <w:rsid w:val="1BCE1B3A"/>
    <w:rsid w:val="24AD45AB"/>
    <w:rsid w:val="288753FE"/>
    <w:rsid w:val="2E867D89"/>
    <w:rsid w:val="333878FE"/>
    <w:rsid w:val="373F8719"/>
    <w:rsid w:val="385BB959"/>
    <w:rsid w:val="49BD6E86"/>
    <w:rsid w:val="58E9C369"/>
    <w:rsid w:val="646EADA0"/>
    <w:rsid w:val="6729F86D"/>
    <w:rsid w:val="6BC747FA"/>
    <w:rsid w:val="72324C62"/>
    <w:rsid w:val="7A9288CD"/>
    <w:rsid w:val="7B832364"/>
    <w:rsid w:val="7DBDC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6738858-165B-4E63-BEDF-E40FC0EC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B8D3977-90AF-4C24-92A5-58A8D1292C62}">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3.xml><?xml version="1.0" encoding="utf-8"?>
<ds:datastoreItem xmlns:ds="http://schemas.openxmlformats.org/officeDocument/2006/customXml" ds:itemID="{262247FC-D62C-4E53-AA3D-8078338C31BC}">
  <ds:schemaRefs>
    <ds:schemaRef ds:uri="http://schemas.microsoft.com/sharepoint/v3/contenttype/forms"/>
  </ds:schemaRefs>
</ds:datastoreItem>
</file>

<file path=customXml/itemProps4.xml><?xml version="1.0" encoding="utf-8"?>
<ds:datastoreItem xmlns:ds="http://schemas.openxmlformats.org/officeDocument/2006/customXml" ds:itemID="{B67E82C5-605D-4314-9818-9598CB715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1591</Words>
  <Characters>9069</Characters>
  <Application>Microsoft Office Word</Application>
  <DocSecurity>0</DocSecurity>
  <Lines>75</Lines>
  <Paragraphs>21</Paragraphs>
  <ScaleCrop>false</ScaleCrop>
  <Manager/>
  <Company/>
  <LinksUpToDate>false</LinksUpToDate>
  <CharactersWithSpaces>10639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4</cp:revision>
  <dcterms:created xsi:type="dcterms:W3CDTF">2026-09-07T07:31:00Z</dcterms:created>
  <dcterms:modified xsi:type="dcterms:W3CDTF">2026-09-07T07:46:00Z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5" name="docLang">
    <vt:lpwstr>en</vt:lpwstr>
  </property>
</Properties>
</file>