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01F0B" w14:textId="2CF062F9" w:rsidR="59BF1FC6" w:rsidRDefault="59BF1FC6" w:rsidP="59BF1FC6">
      <w:pPr>
        <w:pStyle w:val="Title"/>
      </w:pPr>
      <w:r w:rsidRPr="59BF1FC6">
        <w:rPr>
          <w:b/>
          <w:bCs/>
          <w:color w:val="5F4E1F"/>
        </w:rPr>
        <w:t>Compliance Readiness Brief</w:t>
      </w:r>
    </w:p>
    <w:p w14:paraId="5E451AE7" w14:textId="6E5A43B0" w:rsidR="59BF1FC6" w:rsidRDefault="59BF1FC6">
      <w:r w:rsidRPr="59BF1FC6">
        <w:rPr>
          <w:i/>
          <w:iCs/>
          <w:color w:val="5A5A5A"/>
          <w:sz w:val="21"/>
          <w:szCs w:val="21"/>
        </w:rPr>
        <w:t>AI governance, data protection and regulatory readiness — prepared for Corey Gray, Marketing, Contoso. 7 September 2026.</w:t>
      </w:r>
    </w:p>
    <w:p w14:paraId="1994F061" w14:textId="3F8D6907" w:rsidR="59BF1FC6" w:rsidRDefault="59BF1FC6" w:rsidP="59BF1FC6">
      <w:pPr>
        <w:pStyle w:val="Heading1"/>
      </w:pPr>
      <w:r w:rsidRPr="59BF1FC6">
        <w:rPr>
          <w:color w:val="5F4E1F"/>
        </w:rPr>
        <w:t>1. Scope</w:t>
      </w:r>
    </w:p>
    <w:p w14:paraId="2B1D0B2C" w14:textId="2CA2A90F" w:rsidR="59BF1FC6" w:rsidRDefault="59BF1FC6">
      <w:r>
        <w:t xml:space="preserve">This brief assesses Contoso's readiness against the compliance obligations that bear on its AI, data and procurement activity. It draws on internal governance documentation, task and workflow records, and Teams discussions held over the six months to </w:t>
      </w:r>
      <w:proofErr w:type="gramStart"/>
      <w:r>
        <w:t>7 September 2026, and</w:t>
      </w:r>
      <w:proofErr w:type="gramEnd"/>
      <w:r>
        <w:t xml:space="preserve"> sets those against the current external regulatory position for the EU AI Act and the GDPR.</w:t>
      </w:r>
    </w:p>
    <w:p w14:paraId="5E4687A8" w14:textId="1C76693E" w:rsidR="59BF1FC6" w:rsidRDefault="59BF1FC6">
      <w:r>
        <w:t>Three domains are in scope. The first is AI governance and responsible-AI control, covering the agent estate documented across Microsoft Copilot Studio, Azure AI Foundry, the M365 Agent SDK and custom agents. The second is data protection and privacy, covering data residency, personal-data handling and loss prevention. The third is third-party and procurement compliance, covering the vendor obligations raised during the ERP cloud sourcing exercise.</w:t>
      </w:r>
    </w:p>
    <w:p w14:paraId="47B7EE5D" w14:textId="13344172" w:rsidR="59BF1FC6" w:rsidRDefault="59BF1FC6">
      <w:r>
        <w:t xml:space="preserve">Two limits should be </w:t>
      </w:r>
      <w:proofErr w:type="gramStart"/>
      <w:r>
        <w:t>read</w:t>
      </w:r>
      <w:proofErr w:type="gramEnd"/>
      <w:r>
        <w:t xml:space="preserve"> alongside the findings. Mailbox and Teams evidence for the period is dominated by system-generated notifications, so the internal picture rests mainly on governance documents and the task digests that summarise them rather than on a broad body of discussion. And no formal audit report, DPIA or regulator correspondence </w:t>
      </w:r>
      <w:proofErr w:type="gramStart"/>
      <w:r>
        <w:t>was located in</w:t>
      </w:r>
      <w:proofErr w:type="gramEnd"/>
      <w:r>
        <w:t xml:space="preserve"> the sources searched, so the assessment describes documented intent and open actions, not verified control operation.</w:t>
      </w:r>
    </w:p>
    <w:p w14:paraId="46C2014F" w14:textId="751BE3BB" w:rsidR="59BF1FC6" w:rsidRDefault="59BF1FC6" w:rsidP="59BF1FC6">
      <w:pPr>
        <w:pStyle w:val="Heading1"/>
      </w:pPr>
      <w:r w:rsidRPr="59BF1FC6">
        <w:rPr>
          <w:color w:val="5F4E1F"/>
        </w:rPr>
        <w:t>2. Internal Findings</w:t>
      </w:r>
    </w:p>
    <w:p w14:paraId="6445B274" w14:textId="56F8DA74" w:rsidR="59BF1FC6" w:rsidRDefault="59BF1FC6" w:rsidP="59BF1FC6">
      <w:pPr>
        <w:pStyle w:val="Heading2"/>
      </w:pPr>
      <w:r w:rsidRPr="59BF1FC6">
        <w:rPr>
          <w:color w:val="5F4E1F"/>
        </w:rPr>
        <w:t>2.1 A governance framework exists on paper and is well specified</w:t>
      </w:r>
    </w:p>
    <w:p w14:paraId="5F884F3E" w14:textId="727DD7A0" w:rsidR="59BF1FC6" w:rsidRDefault="59BF1FC6">
      <w:r>
        <w:t>The AI Governance Policy Book, authored 4 February 2026, sets out a four-pillar model — Compliance and Privacy, Security and Identity, Reliability and Quality, and Financial Governance — and states that each pillar carries mandatory controls, recommended practices and monitoring guidelines. Its Compliance and Privacy Policies section names data residency enforcement covering EUDB, GDPR and HIPAA, PII detection and redaction, and regulatory alignment with the EU AI Act. Separate sections cover incident response and risk management, including an AI risk assessment matrix, escalation workflows and post-incident review.</w:t>
      </w:r>
    </w:p>
    <w:p w14:paraId="65D31439" w14:textId="3B72796E" w:rsidR="59BF1FC6" w:rsidRDefault="59BF1FC6">
      <w:r>
        <w:t xml:space="preserve">The AI Governance Quick-Start Checklist translates the same pillars into operational steps: enable Data Loss Prevention policies in Copilot Studio, implement PII redaction for all AI outputs, ensure data residency compliance such as EUDB for EU customers, apply least privilege across connectors and APIs, and put human-in-the-loop review on high-risk decisions. It scopes a </w:t>
      </w:r>
      <w:proofErr w:type="gramStart"/>
      <w:r>
        <w:t>first-30</w:t>
      </w:r>
      <w:proofErr w:type="gramEnd"/>
      <w:r>
        <w:t>-days plan running from defining risk appetite in week one to deploying monitoring and cost controls in week four.</w:t>
      </w:r>
    </w:p>
    <w:p w14:paraId="740BCD90" w14:textId="156E01C4" w:rsidR="59BF1FC6" w:rsidRDefault="59BF1FC6">
      <w:r>
        <w:t xml:space="preserve">Accountability is defined. The AI Governance Actionable Strategy Plan with RACI assigns DLP policy application to the Security Officer as responsible with the Compliance Officer accountable, governance principles to the AI Governance Lead with the CIO accountable, </w:t>
      </w:r>
      <w:r>
        <w:lastRenderedPageBreak/>
        <w:t>Content Safety filter configuration to the AI Engineer, and monitoring to the Platform Admin. Its three-phase timeline puts governance principles, environments and DLP in weeks one to four, authentication, Content Safety and evaluation metrics in weeks five to eight, and automation, monitoring and cost governance in weeks nine to twelve.</w:t>
      </w:r>
    </w:p>
    <w:p w14:paraId="5ED40D52" w14:textId="25E1B489" w:rsidR="59BF1FC6" w:rsidRDefault="59BF1FC6" w:rsidP="59BF1FC6">
      <w:pPr>
        <w:pStyle w:val="Heading2"/>
      </w:pPr>
      <w:r w:rsidRPr="59BF1FC6">
        <w:rPr>
          <w:color w:val="5F4E1F"/>
        </w:rPr>
        <w:t>2.2 Compliance-flagged actions are open and ageing</w:t>
      </w:r>
    </w:p>
    <w:p w14:paraId="6DD6FE50" w14:textId="4E31D26B" w:rsidR="59BF1FC6" w:rsidRDefault="59BF1FC6">
      <w:r>
        <w:t>The task digest of 6 September 2026 lists eleven open tasks, five of them high priority, and places two connector defects among the five items requiring immediate attention. The ServiceNow connector issue, flagged 21 August 2026, is classified as a compliance risk and calls for the connection status to be reviewed in the Microsoft 365 admin portal. The Jira connector issue, flagged 12 August 2026, is classified as a data integrity risk with the note that resolving it is what keeps the data up to date. Both remained unremediated at the date of the digest.</w:t>
      </w:r>
    </w:p>
    <w:p w14:paraId="6A7C6A33" w14:textId="770A5C7E" w:rsidR="59BF1FC6" w:rsidRDefault="59BF1FC6">
      <w:r>
        <w:t xml:space="preserve">The same digest records that the Jira work item ZAG-5, to draft compliance criteria for agent behaviour, is overdue, and that ZAG-4 covers identifying the scope of governance. These sit in the ZAVA AI Governance project surfaced in the Jira weekly updates of 26 August and 2 September 2026. Drafting compliance criteria is a prerequisite for demonstrating that the policy book's controls are </w:t>
      </w:r>
      <w:proofErr w:type="gramStart"/>
      <w:r>
        <w:t>actually applied</w:t>
      </w:r>
      <w:proofErr w:type="gramEnd"/>
      <w:r>
        <w:t xml:space="preserve"> to agents, so its slippage is the single most consequential internal delay identified here.</w:t>
      </w:r>
    </w:p>
    <w:p w14:paraId="391FCA91" w14:textId="47BAB07B" w:rsidR="59BF1FC6" w:rsidRDefault="59BF1FC6">
      <w:r>
        <w:t>A further cluster of ageing items is administrative rather than regulatory but bears on evidence quality: an update owed to Adil Eli originally due 25 June 2026, a file owed since 19 June 2026, and an S2P agent status request outstanding since 22 April 2026. An Azure Monitor advisory asking that processes adding email recipients to action groups be reviewed is logged as requiring verification rather than confirmed action.</w:t>
      </w:r>
    </w:p>
    <w:p w14:paraId="511FC734" w14:textId="5F7AD081" w:rsidR="59BF1FC6" w:rsidRDefault="59BF1FC6" w:rsidP="59BF1FC6">
      <w:pPr>
        <w:pStyle w:val="Heading2"/>
      </w:pPr>
      <w:r w:rsidRPr="59BF1FC6">
        <w:rPr>
          <w:color w:val="5F4E1F"/>
        </w:rPr>
        <w:t>2.3 Vendor compliance evidence is incomplete</w:t>
      </w:r>
    </w:p>
    <w:p w14:paraId="43CD26C3" w14:textId="1B5964DA" w:rsidR="59BF1FC6" w:rsidRDefault="59BF1FC6">
      <w:r>
        <w:t>The Contoso S2P evaluation discussion in Teams weights vendor scoring at forty per cent technical, twenty-five per cent commercial, twenty per cent risk and vendor stability, and fifteen per cent CSR and compliance</w:t>
      </w:r>
      <w:proofErr w:type="gramStart"/>
      <w:r>
        <w:t>, with the</w:t>
      </w:r>
      <w:proofErr w:type="gramEnd"/>
      <w:r>
        <w:t xml:space="preserve"> compliance component covering GDPR, certifications such as ISO 27001 and SOC 2, and sustainability. ERPMax Solutions ranks first on that basis at 92 out of 100.</w:t>
      </w:r>
    </w:p>
    <w:p w14:paraId="2D787AC4" w14:textId="4BD16112" w:rsidR="59BF1FC6" w:rsidRDefault="59BF1FC6">
      <w:r>
        <w:t>The evaluation itself carries an explicit caveat that undermines the score. The thread records that pricing, SLA and compliance sheets were not retrievable for any vendor, that all vendors are incomplete submissions from an evaluation standpoint, and that commercial, SLA and compliance scores are therefore provisional. A preferred vendor has been identified on a compliance dimension that has not in fact been evidenced — a finding that should be closed before contract award rather than after.</w:t>
      </w:r>
    </w:p>
    <w:p w14:paraId="549A6068" w14:textId="612A566D" w:rsidR="59BF1FC6" w:rsidRDefault="59BF1FC6" w:rsidP="59BF1FC6">
      <w:pPr>
        <w:pStyle w:val="Heading2"/>
      </w:pPr>
      <w:r w:rsidRPr="59BF1FC6">
        <w:rPr>
          <w:color w:val="5F4E1F"/>
        </w:rPr>
        <w:t>2.4 What was not found</w:t>
      </w:r>
    </w:p>
    <w:p w14:paraId="7397F484" w14:textId="2EA9DEC4" w:rsidR="59BF1FC6" w:rsidRDefault="59BF1FC6">
      <w:r>
        <w:t xml:space="preserve">No record of a completed data protection impact assessment, a record of processing activities, an AI system inventory with risk classifications, an internal or external audit report, or any correspondence with a supervisory authority </w:t>
      </w:r>
      <w:proofErr w:type="gramStart"/>
      <w:r>
        <w:t>was located in</w:t>
      </w:r>
      <w:proofErr w:type="gramEnd"/>
      <w:r>
        <w:t xml:space="preserve"> the email, Teams and file sources searched. Their absence is not proof that they do not exist elsewhere, but nothing in the searched material </w:t>
      </w:r>
      <w:proofErr w:type="gramStart"/>
      <w:r>
        <w:t>evidences</w:t>
      </w:r>
      <w:proofErr w:type="gramEnd"/>
      <w:r>
        <w:t xml:space="preserve"> them, and each is a document a regulator would expect to be produced on request.</w:t>
      </w:r>
    </w:p>
    <w:p w14:paraId="26FE8DF8" w14:textId="2DA85A32" w:rsidR="59BF1FC6" w:rsidRDefault="59BF1FC6" w:rsidP="59BF1FC6">
      <w:pPr>
        <w:pStyle w:val="Heading1"/>
      </w:pPr>
      <w:r w:rsidRPr="59BF1FC6">
        <w:rPr>
          <w:color w:val="5F4E1F"/>
        </w:rPr>
        <w:lastRenderedPageBreak/>
        <w:t>3. Regulatory Landscape</w:t>
      </w:r>
    </w:p>
    <w:p w14:paraId="6E25EA24" w14:textId="6EAEC16C" w:rsidR="59BF1FC6" w:rsidRDefault="59BF1FC6" w:rsidP="59BF1FC6">
      <w:pPr>
        <w:pStyle w:val="Heading2"/>
      </w:pPr>
      <w:r w:rsidRPr="59BF1FC6">
        <w:rPr>
          <w:color w:val="5F4E1F"/>
        </w:rPr>
        <w:t>3.1 EU AI Act</w:t>
      </w:r>
    </w:p>
    <w:p w14:paraId="6B42CF51" w14:textId="2472D15A" w:rsidR="59BF1FC6" w:rsidRDefault="59BF1FC6">
      <w:r>
        <w:t>The Act entered into force on 1 August 2024 and applies in phases. Prohibitions on unacceptable-risk practices and the AI literacy duty have been enforceable since 2 February 2025, and general-purpose AI model obligations, including those covering large language models, since 2 August 2025. The 2 August 2026 milestone, now passed, brought the high-risk and Article 50 transparency obligations into application and added enforceable oversight to the GPAI regime rather than starting it from scratch. In practical terms, the deadline that mattered most to a deploying organisation has already arrived.</w:t>
      </w:r>
    </w:p>
    <w:p w14:paraId="70A16A5A" w14:textId="318842F6" w:rsidR="59BF1FC6" w:rsidRDefault="59BF1FC6">
      <w:r>
        <w:t>Penalties are tiered from a ceiling of thirty-five million euro or seven per cent of global turnover for prohibited practices down to seven and a half million euro or one per cent for supplying incorrect or misleading information, with lower caps for SMEs and start-ups. Enforcement is shared between the European AI Office and national market surveillance authorities, and reporting through 2026 describes the AI Office moving from writing guidance to active investigation, with national authorities in Germany, France and the Netherlands identified as the most active. Contoso should plan on the assumption that supervision is operational, not prospective.</w:t>
      </w:r>
    </w:p>
    <w:p w14:paraId="5AD972D7" w14:textId="774B2E77" w:rsidR="59BF1FC6" w:rsidRDefault="59BF1FC6" w:rsidP="59BF1FC6">
      <w:pPr>
        <w:pStyle w:val="Heading2"/>
      </w:pPr>
      <w:r w:rsidRPr="59BF1FC6">
        <w:rPr>
          <w:color w:val="5F4E1F"/>
        </w:rPr>
        <w:t>3.2 GDPR and data protection</w:t>
      </w:r>
    </w:p>
    <w:p w14:paraId="278807EE" w14:textId="70D3C5A0" w:rsidR="59BF1FC6" w:rsidRDefault="59BF1FC6">
      <w:r>
        <w:t xml:space="preserve">GDPR enforcement continues to intensify and has turned towards AI. Cumulative fines passed four billion euro during 2025, and public enforcement trackers now record </w:t>
      </w:r>
      <w:proofErr w:type="gramStart"/>
      <w:r>
        <w:t>in excess of</w:t>
      </w:r>
      <w:proofErr w:type="gramEnd"/>
      <w:r>
        <w:t xml:space="preserve"> three thousand two hundred actions across the EU and EEA. Current commentary places the emphasis on lawfulness of processing and on transparency, with AI systems and automated decision-making described as an emerging primary enforcement focus. Cross-border cases run through the European Data Protection Board's cooperation mechanism, so a Paris-based operation with EU-wide processing can expect a coordinated rather than a purely local response.</w:t>
      </w:r>
    </w:p>
    <w:p w14:paraId="217EA2AC" w14:textId="73490BD3" w:rsidR="59BF1FC6" w:rsidRDefault="59BF1FC6">
      <w:r>
        <w:t>The two regimes interact directly. Where an AI system processes personal data, the AI Act's transparency and oversight duties sit on top of the GDPR's lawfulness, purpose limitation and data subject rights obligations; neither substitutes for the other, and evidence prepared for one will usually be requested under the other.</w:t>
      </w:r>
    </w:p>
    <w:p w14:paraId="434F8E48" w14:textId="3E7171B0" w:rsidR="59BF1FC6" w:rsidRDefault="59BF1FC6" w:rsidP="59BF1FC6">
      <w:pPr>
        <w:pStyle w:val="Heading1"/>
      </w:pPr>
      <w:r w:rsidRPr="59BF1FC6">
        <w:rPr>
          <w:color w:val="5F4E1F"/>
        </w:rPr>
        <w:t>4. Gap Analysis</w:t>
      </w:r>
    </w:p>
    <w:p w14:paraId="7FEBA1A4" w14:textId="31B294D1" w:rsidR="59BF1FC6" w:rsidRDefault="59BF1FC6">
      <w:r>
        <w:t>The table below sets the documented internal position against the external requirement and states the resulting gap. Severity reflects both the size of the gap and the enforcement exposure attached to it.</w:t>
      </w:r>
    </w:p>
    <w:tbl>
      <w:tblPr>
        <w:tblStyle w:val="TableGrid"/>
        <w:tblW w:w="0" w:type="auto"/>
        <w:tblLook w:val="0000" w:firstRow="0" w:lastRow="0" w:firstColumn="0" w:lastColumn="0" w:noHBand="0" w:noVBand="0"/>
      </w:tblPr>
      <w:tblGrid>
        <w:gridCol w:w="1900"/>
        <w:gridCol w:w="2800"/>
        <w:gridCol w:w="2600"/>
        <w:gridCol w:w="1800"/>
      </w:tblGrid>
      <w:tr w:rsidR="59BF1FC6" w14:paraId="23AA7AB9" w14:textId="77777777" w:rsidTr="59BF1FC6">
        <w:tc>
          <w:tcPr>
            <w:tcW w:w="1900" w:type="dxa"/>
          </w:tcPr>
          <w:p w14:paraId="6D1A5B37" w14:textId="74B430D2" w:rsidR="59BF1FC6" w:rsidRDefault="59BF1FC6">
            <w:r w:rsidRPr="59BF1FC6">
              <w:rPr>
                <w:b/>
                <w:bCs/>
                <w:color w:val="5F4E1F"/>
              </w:rPr>
              <w:t>Domain</w:t>
            </w:r>
          </w:p>
        </w:tc>
        <w:tc>
          <w:tcPr>
            <w:tcW w:w="2800" w:type="dxa"/>
          </w:tcPr>
          <w:p w14:paraId="2CF7166A" w14:textId="6D921796" w:rsidR="59BF1FC6" w:rsidRDefault="59BF1FC6">
            <w:r w:rsidRPr="59BF1FC6">
              <w:rPr>
                <w:b/>
                <w:bCs/>
                <w:color w:val="5F4E1F"/>
              </w:rPr>
              <w:t>Documented internal position</w:t>
            </w:r>
          </w:p>
        </w:tc>
        <w:tc>
          <w:tcPr>
            <w:tcW w:w="2600" w:type="dxa"/>
          </w:tcPr>
          <w:p w14:paraId="27C2D44B" w14:textId="666FFE5A" w:rsidR="59BF1FC6" w:rsidRDefault="59BF1FC6">
            <w:r w:rsidRPr="59BF1FC6">
              <w:rPr>
                <w:b/>
                <w:bCs/>
                <w:color w:val="5F4E1F"/>
              </w:rPr>
              <w:t>External requirement</w:t>
            </w:r>
          </w:p>
        </w:tc>
        <w:tc>
          <w:tcPr>
            <w:tcW w:w="1800" w:type="dxa"/>
          </w:tcPr>
          <w:p w14:paraId="328CF08D" w14:textId="5F4DE51E" w:rsidR="59BF1FC6" w:rsidRDefault="59BF1FC6">
            <w:r w:rsidRPr="59BF1FC6">
              <w:rPr>
                <w:b/>
                <w:bCs/>
                <w:color w:val="5F4E1F"/>
              </w:rPr>
              <w:t>Gap and severity</w:t>
            </w:r>
          </w:p>
        </w:tc>
      </w:tr>
      <w:tr w:rsidR="59BF1FC6" w14:paraId="77EE1C47" w14:textId="77777777" w:rsidTr="59BF1FC6">
        <w:tc>
          <w:tcPr>
            <w:tcW w:w="1900" w:type="dxa"/>
          </w:tcPr>
          <w:p w14:paraId="4951BE6C" w14:textId="76634593" w:rsidR="59BF1FC6" w:rsidRDefault="59BF1FC6">
            <w:r>
              <w:t>AI system inventory and risk classification</w:t>
            </w:r>
          </w:p>
        </w:tc>
        <w:tc>
          <w:tcPr>
            <w:tcW w:w="2800" w:type="dxa"/>
          </w:tcPr>
          <w:p w14:paraId="7D36960C" w14:textId="6F412C57" w:rsidR="59BF1FC6" w:rsidRDefault="59BF1FC6">
            <w:r>
              <w:t>Policy Book defines an AI risk assessment matrix; ZAG-4 (scope of governance) still open.</w:t>
            </w:r>
          </w:p>
        </w:tc>
        <w:tc>
          <w:tcPr>
            <w:tcW w:w="2600" w:type="dxa"/>
          </w:tcPr>
          <w:p w14:paraId="36DB6951" w14:textId="681F131B" w:rsidR="59BF1FC6" w:rsidRDefault="59BF1FC6">
            <w:r>
              <w:t>AI Act high-risk duties in application since 2 August 2026; classification presupposes a system inventory.</w:t>
            </w:r>
          </w:p>
        </w:tc>
        <w:tc>
          <w:tcPr>
            <w:tcW w:w="1800" w:type="dxa"/>
          </w:tcPr>
          <w:p w14:paraId="7FFEE55A" w14:textId="60FCF9DF" w:rsidR="59BF1FC6" w:rsidRDefault="59BF1FC6">
            <w:r>
              <w:t>No evidenced inventory or classification. High.</w:t>
            </w:r>
          </w:p>
        </w:tc>
      </w:tr>
      <w:tr w:rsidR="59BF1FC6" w14:paraId="3C86C8C6" w14:textId="77777777" w:rsidTr="59BF1FC6">
        <w:tc>
          <w:tcPr>
            <w:tcW w:w="1900" w:type="dxa"/>
          </w:tcPr>
          <w:p w14:paraId="67A97FF0" w14:textId="78125A54" w:rsidR="59BF1FC6" w:rsidRDefault="59BF1FC6">
            <w:r>
              <w:lastRenderedPageBreak/>
              <w:t>Agent behaviour and compliance criteria</w:t>
            </w:r>
          </w:p>
        </w:tc>
        <w:tc>
          <w:tcPr>
            <w:tcW w:w="2800" w:type="dxa"/>
          </w:tcPr>
          <w:p w14:paraId="259CB08B" w14:textId="70F04118" w:rsidR="59BF1FC6" w:rsidRDefault="59BF1FC6">
            <w:r>
              <w:t>ZAG-5, to draft compliance criteria for agent behaviour, reported overdue in the 6 September digest.</w:t>
            </w:r>
          </w:p>
        </w:tc>
        <w:tc>
          <w:tcPr>
            <w:tcW w:w="2600" w:type="dxa"/>
          </w:tcPr>
          <w:p w14:paraId="714B92F1" w14:textId="69CE27DC" w:rsidR="59BF1FC6" w:rsidRDefault="59BF1FC6">
            <w:r>
              <w:t xml:space="preserve">Article 50 transparency duties and human oversight </w:t>
            </w:r>
            <w:proofErr w:type="gramStart"/>
            <w:r>
              <w:t>now</w:t>
            </w:r>
            <w:proofErr w:type="gramEnd"/>
            <w:r>
              <w:t xml:space="preserve"> enforceable.</w:t>
            </w:r>
          </w:p>
        </w:tc>
        <w:tc>
          <w:tcPr>
            <w:tcW w:w="1800" w:type="dxa"/>
          </w:tcPr>
          <w:p w14:paraId="12A0371A" w14:textId="62AC0EA0" w:rsidR="59BF1FC6" w:rsidRDefault="59BF1FC6">
            <w:r>
              <w:t>Criteria undrafted past deadline. High.</w:t>
            </w:r>
          </w:p>
        </w:tc>
      </w:tr>
      <w:tr w:rsidR="59BF1FC6" w14:paraId="766262C5" w14:textId="77777777" w:rsidTr="59BF1FC6">
        <w:tc>
          <w:tcPr>
            <w:tcW w:w="1900" w:type="dxa"/>
          </w:tcPr>
          <w:p w14:paraId="754E3150" w14:textId="79C16F15" w:rsidR="59BF1FC6" w:rsidRDefault="59BF1FC6">
            <w:r>
              <w:t>Data residency and personal data</w:t>
            </w:r>
          </w:p>
        </w:tc>
        <w:tc>
          <w:tcPr>
            <w:tcW w:w="2800" w:type="dxa"/>
          </w:tcPr>
          <w:p w14:paraId="54B3D82E" w14:textId="729F55D9" w:rsidR="59BF1FC6" w:rsidRDefault="59BF1FC6">
            <w:r>
              <w:t>Checklist requires EUDB residency, PII redaction on all AI outputs and DLP in Copilot Studio.</w:t>
            </w:r>
          </w:p>
        </w:tc>
        <w:tc>
          <w:tcPr>
            <w:tcW w:w="2600" w:type="dxa"/>
          </w:tcPr>
          <w:p w14:paraId="7E0DD978" w14:textId="6B7D3C9D" w:rsidR="59BF1FC6" w:rsidRDefault="59BF1FC6">
            <w:r>
              <w:t>GDPR lawfulness and transparency are the leading enforcement themes; AI processing is a stated focus.</w:t>
            </w:r>
          </w:p>
        </w:tc>
        <w:tc>
          <w:tcPr>
            <w:tcW w:w="1800" w:type="dxa"/>
          </w:tcPr>
          <w:p w14:paraId="39B8AA9A" w14:textId="645B2361" w:rsidR="59BF1FC6" w:rsidRDefault="59BF1FC6">
            <w:r>
              <w:t>Controls specified but not evidenced as operating. Medium to high.</w:t>
            </w:r>
          </w:p>
        </w:tc>
      </w:tr>
      <w:tr w:rsidR="59BF1FC6" w14:paraId="7D27228B" w14:textId="77777777" w:rsidTr="59BF1FC6">
        <w:tc>
          <w:tcPr>
            <w:tcW w:w="1900" w:type="dxa"/>
          </w:tcPr>
          <w:p w14:paraId="6302BF50" w14:textId="7B7083D6" w:rsidR="59BF1FC6" w:rsidRDefault="59BF1FC6">
            <w:r>
              <w:t>Records of processing and impact assessment</w:t>
            </w:r>
          </w:p>
        </w:tc>
        <w:tc>
          <w:tcPr>
            <w:tcW w:w="2800" w:type="dxa"/>
          </w:tcPr>
          <w:p w14:paraId="6B3ED121" w14:textId="744E6A9A" w:rsidR="59BF1FC6" w:rsidRDefault="59BF1FC6">
            <w:r>
              <w:t>Not located in any searched email, Teams or file source.</w:t>
            </w:r>
          </w:p>
        </w:tc>
        <w:tc>
          <w:tcPr>
            <w:tcW w:w="2600" w:type="dxa"/>
          </w:tcPr>
          <w:p w14:paraId="6853CB79" w14:textId="6D2C515E" w:rsidR="59BF1FC6" w:rsidRDefault="59BF1FC6">
            <w:r>
              <w:t>A DPIA and record of processing are core GDPR accountability artefacts, producible on request.</w:t>
            </w:r>
          </w:p>
        </w:tc>
        <w:tc>
          <w:tcPr>
            <w:tcW w:w="1800" w:type="dxa"/>
          </w:tcPr>
          <w:p w14:paraId="2AD8067C" w14:textId="660A3822" w:rsidR="59BF1FC6" w:rsidRDefault="59BF1FC6">
            <w:r>
              <w:t>No evidence either exists. High.</w:t>
            </w:r>
          </w:p>
        </w:tc>
      </w:tr>
      <w:tr w:rsidR="59BF1FC6" w14:paraId="4825AF1A" w14:textId="77777777" w:rsidTr="59BF1FC6">
        <w:tc>
          <w:tcPr>
            <w:tcW w:w="1900" w:type="dxa"/>
          </w:tcPr>
          <w:p w14:paraId="5120B66A" w14:textId="7D1F9897" w:rsidR="59BF1FC6" w:rsidRDefault="59BF1FC6">
            <w:r>
              <w:t>Connector and data integrity controls</w:t>
            </w:r>
          </w:p>
        </w:tc>
        <w:tc>
          <w:tcPr>
            <w:tcW w:w="2800" w:type="dxa"/>
          </w:tcPr>
          <w:p w14:paraId="774CED74" w14:textId="75FD7F5B" w:rsidR="59BF1FC6" w:rsidRDefault="59BF1FC6">
            <w:r>
              <w:t>ServiceNow connector flagged 21 August 2026 as a compliance risk; Jira connector flagged 12 August 2026 as a data integrity risk. Both open.</w:t>
            </w:r>
          </w:p>
        </w:tc>
        <w:tc>
          <w:tcPr>
            <w:tcW w:w="2600" w:type="dxa"/>
          </w:tcPr>
          <w:p w14:paraId="28BD5806" w14:textId="6EDB661F" w:rsidR="59BF1FC6" w:rsidRDefault="59BF1FC6">
            <w:r>
              <w:t>Accuracy and integrity of processed data are GDPR obligations, not housekeeping.</w:t>
            </w:r>
          </w:p>
        </w:tc>
        <w:tc>
          <w:tcPr>
            <w:tcW w:w="1800" w:type="dxa"/>
          </w:tcPr>
          <w:p w14:paraId="7CFC1236" w14:textId="67B94CE3" w:rsidR="59BF1FC6" w:rsidRDefault="59BF1FC6">
            <w:r>
              <w:t xml:space="preserve">Known defects </w:t>
            </w:r>
            <w:proofErr w:type="gramStart"/>
            <w:r>
              <w:t>unremediated</w:t>
            </w:r>
            <w:proofErr w:type="gramEnd"/>
            <w:r>
              <w:t xml:space="preserve"> for over two weeks. Medium to high.</w:t>
            </w:r>
          </w:p>
        </w:tc>
      </w:tr>
      <w:tr w:rsidR="59BF1FC6" w14:paraId="3FD0A248" w14:textId="77777777" w:rsidTr="59BF1FC6">
        <w:tc>
          <w:tcPr>
            <w:tcW w:w="1900" w:type="dxa"/>
          </w:tcPr>
          <w:p w14:paraId="7BC0029C" w14:textId="7ECEAD58" w:rsidR="59BF1FC6" w:rsidRDefault="59BF1FC6">
            <w:r>
              <w:t>Third-party and vendor compliance</w:t>
            </w:r>
          </w:p>
        </w:tc>
        <w:tc>
          <w:tcPr>
            <w:tcW w:w="2800" w:type="dxa"/>
          </w:tcPr>
          <w:p w14:paraId="6BD0D35D" w14:textId="77AC941C" w:rsidR="59BF1FC6" w:rsidRDefault="59BF1FC6">
            <w:r>
              <w:t>S2P scoring gives compliance a fifteen per cent weight, but pricing, SLA and compliance sheets were not retrievable for any vendor and scores are provisional.</w:t>
            </w:r>
          </w:p>
        </w:tc>
        <w:tc>
          <w:tcPr>
            <w:tcW w:w="2600" w:type="dxa"/>
          </w:tcPr>
          <w:p w14:paraId="7ECA55F3" w14:textId="708A7AE0" w:rsidR="59BF1FC6" w:rsidRDefault="59BF1FC6">
            <w:r>
              <w:t>Processor due diligence and documented contractual guarantees are required before engagement.</w:t>
            </w:r>
          </w:p>
        </w:tc>
        <w:tc>
          <w:tcPr>
            <w:tcW w:w="1800" w:type="dxa"/>
          </w:tcPr>
          <w:p w14:paraId="78D8C3EF" w14:textId="696861A4" w:rsidR="59BF1FC6" w:rsidRDefault="59BF1FC6">
            <w:r>
              <w:t>Preferred vendor selected on unevidenced compliance. Medium.</w:t>
            </w:r>
          </w:p>
        </w:tc>
      </w:tr>
      <w:tr w:rsidR="59BF1FC6" w14:paraId="447D4394" w14:textId="77777777" w:rsidTr="59BF1FC6">
        <w:tc>
          <w:tcPr>
            <w:tcW w:w="1900" w:type="dxa"/>
          </w:tcPr>
          <w:p w14:paraId="136A294E" w14:textId="007DC219" w:rsidR="59BF1FC6" w:rsidRDefault="59BF1FC6">
            <w:r>
              <w:t>Assurance and audit trail</w:t>
            </w:r>
          </w:p>
        </w:tc>
        <w:tc>
          <w:tcPr>
            <w:tcW w:w="2800" w:type="dxa"/>
          </w:tcPr>
          <w:p w14:paraId="517ED65E" w14:textId="795BA8DD" w:rsidR="59BF1FC6" w:rsidRDefault="59BF1FC6">
            <w:r>
              <w:t>Policy Book sets out incident response, escalation and post-incident review; no audit report or regulator correspondence found.</w:t>
            </w:r>
          </w:p>
        </w:tc>
        <w:tc>
          <w:tcPr>
            <w:tcW w:w="2600" w:type="dxa"/>
          </w:tcPr>
          <w:p w14:paraId="11AA88CF" w14:textId="72398FA1" w:rsidR="59BF1FC6" w:rsidRDefault="59BF1FC6">
            <w:r>
              <w:t>AI Office and national market surveillance authorities are reported as moving into active investigation during 2026.</w:t>
            </w:r>
          </w:p>
        </w:tc>
        <w:tc>
          <w:tcPr>
            <w:tcW w:w="1800" w:type="dxa"/>
          </w:tcPr>
          <w:p w14:paraId="39A42C7A" w14:textId="6B177665" w:rsidR="59BF1FC6" w:rsidRDefault="59BF1FC6">
            <w:r>
              <w:t xml:space="preserve">No independent assurance </w:t>
            </w:r>
            <w:proofErr w:type="gramStart"/>
            <w:r>
              <w:t>over stated</w:t>
            </w:r>
            <w:proofErr w:type="gramEnd"/>
            <w:r>
              <w:t xml:space="preserve"> controls. Medium.</w:t>
            </w:r>
          </w:p>
        </w:tc>
      </w:tr>
    </w:tbl>
    <w:p w14:paraId="30373D90" w14:textId="1F83AF11" w:rsidR="59BF1FC6" w:rsidRDefault="59BF1FC6">
      <w:r>
        <w:t xml:space="preserve"> </w:t>
      </w:r>
    </w:p>
    <w:p w14:paraId="348A1876" w14:textId="7A6F3F94" w:rsidR="59BF1FC6" w:rsidRDefault="59BF1FC6" w:rsidP="59BF1FC6">
      <w:pPr>
        <w:pStyle w:val="Heading1"/>
      </w:pPr>
      <w:r w:rsidRPr="59BF1FC6">
        <w:rPr>
          <w:color w:val="5F4E1F"/>
        </w:rPr>
        <w:t>5. Prioritised Remediation Actions</w:t>
      </w:r>
    </w:p>
    <w:p w14:paraId="755D62B4" w14:textId="455979DE" w:rsidR="59BF1FC6" w:rsidRDefault="59BF1FC6">
      <w:r>
        <w:t xml:space="preserve">Owners are drawn from the RACI matrix in the AI Governance Actionable Strategy Plan and from the named assignments in the task digest. Where a role </w:t>
      </w:r>
      <w:proofErr w:type="gramStart"/>
      <w:r>
        <w:t>rather</w:t>
      </w:r>
      <w:proofErr w:type="gramEnd"/>
      <w:r>
        <w:t xml:space="preserve"> than a person is given, the role holder should be confirmed before the plan is issued. Target dates are proposed, not agreed.</w:t>
      </w:r>
    </w:p>
    <w:tbl>
      <w:tblPr>
        <w:tblStyle w:val="TableGrid"/>
        <w:tblW w:w="0" w:type="auto"/>
        <w:tblLook w:val="0000" w:firstRow="0" w:lastRow="0" w:firstColumn="0" w:lastColumn="0" w:noHBand="0" w:noVBand="0"/>
      </w:tblPr>
      <w:tblGrid>
        <w:gridCol w:w="1015"/>
        <w:gridCol w:w="3289"/>
        <w:gridCol w:w="1874"/>
        <w:gridCol w:w="1865"/>
        <w:gridCol w:w="1199"/>
      </w:tblGrid>
      <w:tr w:rsidR="59BF1FC6" w14:paraId="47914CA7" w14:textId="77777777" w:rsidTr="59BF1FC6">
        <w:tc>
          <w:tcPr>
            <w:tcW w:w="700" w:type="dxa"/>
          </w:tcPr>
          <w:p w14:paraId="589FE61F" w14:textId="65A471EA" w:rsidR="59BF1FC6" w:rsidRDefault="59BF1FC6">
            <w:r w:rsidRPr="59BF1FC6">
              <w:rPr>
                <w:b/>
                <w:bCs/>
                <w:color w:val="5F4E1F"/>
              </w:rPr>
              <w:t>Priority</w:t>
            </w:r>
          </w:p>
        </w:tc>
        <w:tc>
          <w:tcPr>
            <w:tcW w:w="3400" w:type="dxa"/>
          </w:tcPr>
          <w:p w14:paraId="14E300BA" w14:textId="5E8258AE" w:rsidR="59BF1FC6" w:rsidRDefault="59BF1FC6">
            <w:r w:rsidRPr="59BF1FC6">
              <w:rPr>
                <w:b/>
                <w:bCs/>
                <w:color w:val="5F4E1F"/>
              </w:rPr>
              <w:t>Action</w:t>
            </w:r>
          </w:p>
        </w:tc>
        <w:tc>
          <w:tcPr>
            <w:tcW w:w="1900" w:type="dxa"/>
          </w:tcPr>
          <w:p w14:paraId="4ABBF477" w14:textId="57603F72" w:rsidR="59BF1FC6" w:rsidRDefault="59BF1FC6">
            <w:r w:rsidRPr="59BF1FC6">
              <w:rPr>
                <w:b/>
                <w:bCs/>
                <w:color w:val="5F4E1F"/>
              </w:rPr>
              <w:t>Owner</w:t>
            </w:r>
          </w:p>
        </w:tc>
        <w:tc>
          <w:tcPr>
            <w:tcW w:w="1900" w:type="dxa"/>
          </w:tcPr>
          <w:p w14:paraId="3269CC8D" w14:textId="503E2636" w:rsidR="59BF1FC6" w:rsidRDefault="59BF1FC6">
            <w:r w:rsidRPr="59BF1FC6">
              <w:rPr>
                <w:b/>
                <w:bCs/>
                <w:color w:val="5F4E1F"/>
              </w:rPr>
              <w:t>Trigger in evidence</w:t>
            </w:r>
          </w:p>
        </w:tc>
        <w:tc>
          <w:tcPr>
            <w:tcW w:w="1200" w:type="dxa"/>
          </w:tcPr>
          <w:p w14:paraId="7F08A826" w14:textId="491C0CFA" w:rsidR="59BF1FC6" w:rsidRDefault="59BF1FC6">
            <w:r w:rsidRPr="59BF1FC6">
              <w:rPr>
                <w:b/>
                <w:bCs/>
                <w:color w:val="5F4E1F"/>
              </w:rPr>
              <w:t>Proposed target</w:t>
            </w:r>
          </w:p>
        </w:tc>
      </w:tr>
      <w:tr w:rsidR="59BF1FC6" w14:paraId="1D9A3B7B" w14:textId="77777777" w:rsidTr="59BF1FC6">
        <w:tc>
          <w:tcPr>
            <w:tcW w:w="700" w:type="dxa"/>
          </w:tcPr>
          <w:p w14:paraId="58B580FF" w14:textId="60316D6F" w:rsidR="59BF1FC6" w:rsidRDefault="59BF1FC6">
            <w:r>
              <w:t>P1</w:t>
            </w:r>
          </w:p>
        </w:tc>
        <w:tc>
          <w:tcPr>
            <w:tcW w:w="3400" w:type="dxa"/>
          </w:tcPr>
          <w:p w14:paraId="1850068F" w14:textId="590F5433" w:rsidR="59BF1FC6" w:rsidRDefault="59BF1FC6">
            <w:r>
              <w:t xml:space="preserve">Complete and issue the compliance criteria for agent behaviour, </w:t>
            </w:r>
            <w:proofErr w:type="gramStart"/>
            <w:r>
              <w:t>closing</w:t>
            </w:r>
            <w:proofErr w:type="gramEnd"/>
            <w:r>
              <w:t xml:space="preserve"> ZAG-5, and close ZAG-4 by fixing the scope of governance.</w:t>
            </w:r>
          </w:p>
        </w:tc>
        <w:tc>
          <w:tcPr>
            <w:tcW w:w="1900" w:type="dxa"/>
          </w:tcPr>
          <w:p w14:paraId="1537052D" w14:textId="51ED3AF7" w:rsidR="59BF1FC6" w:rsidRDefault="59BF1FC6">
            <w:r>
              <w:t>Corey Gray, with the AI Governance Lead accountable</w:t>
            </w:r>
          </w:p>
        </w:tc>
        <w:tc>
          <w:tcPr>
            <w:tcW w:w="1900" w:type="dxa"/>
          </w:tcPr>
          <w:p w14:paraId="30EDF97D" w14:textId="4ACB21BB" w:rsidR="59BF1FC6" w:rsidRDefault="59BF1FC6">
            <w:r>
              <w:t>ZAG-5 overdue; ZAG-4 open (6 September digest)</w:t>
            </w:r>
          </w:p>
        </w:tc>
        <w:tc>
          <w:tcPr>
            <w:tcW w:w="1200" w:type="dxa"/>
          </w:tcPr>
          <w:p w14:paraId="71428A68" w14:textId="43A9087F" w:rsidR="59BF1FC6" w:rsidRDefault="59BF1FC6">
            <w:r>
              <w:t>Within 2 weeks</w:t>
            </w:r>
          </w:p>
        </w:tc>
      </w:tr>
      <w:tr w:rsidR="59BF1FC6" w14:paraId="2F094A18" w14:textId="77777777" w:rsidTr="59BF1FC6">
        <w:tc>
          <w:tcPr>
            <w:tcW w:w="700" w:type="dxa"/>
          </w:tcPr>
          <w:p w14:paraId="3EFDAB1A" w14:textId="5ABE68F4" w:rsidR="59BF1FC6" w:rsidRDefault="59BF1FC6">
            <w:r>
              <w:t>P1</w:t>
            </w:r>
          </w:p>
        </w:tc>
        <w:tc>
          <w:tcPr>
            <w:tcW w:w="3400" w:type="dxa"/>
          </w:tcPr>
          <w:p w14:paraId="30D3918D" w14:textId="539C4FB8" w:rsidR="59BF1FC6" w:rsidRDefault="59BF1FC6">
            <w:r>
              <w:t xml:space="preserve">Build an inventory of AI systems and agents in use across Copilot </w:t>
            </w:r>
            <w:r>
              <w:lastRenderedPageBreak/>
              <w:t>Studio, Azure AI Foundry, the M365 Agent SDK and custom builds, and assign each a risk classification.</w:t>
            </w:r>
          </w:p>
        </w:tc>
        <w:tc>
          <w:tcPr>
            <w:tcW w:w="1900" w:type="dxa"/>
          </w:tcPr>
          <w:p w14:paraId="563789F3" w14:textId="4C7A367C" w:rsidR="59BF1FC6" w:rsidRDefault="59BF1FC6">
            <w:r>
              <w:lastRenderedPageBreak/>
              <w:t xml:space="preserve">AI Governance Lead, consulted </w:t>
            </w:r>
            <w:r>
              <w:lastRenderedPageBreak/>
              <w:t>by the Compliance Officer</w:t>
            </w:r>
          </w:p>
        </w:tc>
        <w:tc>
          <w:tcPr>
            <w:tcW w:w="1900" w:type="dxa"/>
          </w:tcPr>
          <w:p w14:paraId="693BE55D" w14:textId="45581D40" w:rsidR="59BF1FC6" w:rsidRDefault="59BF1FC6">
            <w:r>
              <w:lastRenderedPageBreak/>
              <w:t xml:space="preserve">Policy Book risk matrix with no </w:t>
            </w:r>
            <w:r>
              <w:lastRenderedPageBreak/>
              <w:t>evidenced inventory</w:t>
            </w:r>
          </w:p>
        </w:tc>
        <w:tc>
          <w:tcPr>
            <w:tcW w:w="1200" w:type="dxa"/>
          </w:tcPr>
          <w:p w14:paraId="797D0B26" w14:textId="3E360404" w:rsidR="59BF1FC6" w:rsidRDefault="59BF1FC6">
            <w:r>
              <w:lastRenderedPageBreak/>
              <w:t>Within 4 weeks</w:t>
            </w:r>
          </w:p>
        </w:tc>
      </w:tr>
      <w:tr w:rsidR="59BF1FC6" w14:paraId="4141BB1E" w14:textId="77777777" w:rsidTr="59BF1FC6">
        <w:tc>
          <w:tcPr>
            <w:tcW w:w="700" w:type="dxa"/>
          </w:tcPr>
          <w:p w14:paraId="35308469" w14:textId="554B6479" w:rsidR="59BF1FC6" w:rsidRDefault="59BF1FC6">
            <w:r>
              <w:t>P1</w:t>
            </w:r>
          </w:p>
        </w:tc>
        <w:tc>
          <w:tcPr>
            <w:tcW w:w="3400" w:type="dxa"/>
          </w:tcPr>
          <w:p w14:paraId="4B791B70" w14:textId="4E294B3D" w:rsidR="59BF1FC6" w:rsidRDefault="59BF1FC6">
            <w:r>
              <w:t>Remediate the ServiceNow connector defect and record the outcome as a closed compliance risk.</w:t>
            </w:r>
          </w:p>
        </w:tc>
        <w:tc>
          <w:tcPr>
            <w:tcW w:w="1900" w:type="dxa"/>
          </w:tcPr>
          <w:p w14:paraId="18AA7298" w14:textId="47073201" w:rsidR="59BF1FC6" w:rsidRDefault="59BF1FC6">
            <w:r>
              <w:t>Platform Admin, with the Security Officer informed</w:t>
            </w:r>
          </w:p>
        </w:tc>
        <w:tc>
          <w:tcPr>
            <w:tcW w:w="1900" w:type="dxa"/>
          </w:tcPr>
          <w:p w14:paraId="2333EB52" w14:textId="3FE518C5" w:rsidR="59BF1FC6" w:rsidRDefault="59BF1FC6">
            <w:r>
              <w:t>Flagged 21 August 2026 as a compliance risk</w:t>
            </w:r>
          </w:p>
        </w:tc>
        <w:tc>
          <w:tcPr>
            <w:tcW w:w="1200" w:type="dxa"/>
          </w:tcPr>
          <w:p w14:paraId="65CD36EA" w14:textId="38C2FF89" w:rsidR="59BF1FC6" w:rsidRDefault="59BF1FC6">
            <w:r>
              <w:t>Within 1 week</w:t>
            </w:r>
          </w:p>
        </w:tc>
      </w:tr>
      <w:tr w:rsidR="59BF1FC6" w14:paraId="1A01513E" w14:textId="77777777" w:rsidTr="59BF1FC6">
        <w:tc>
          <w:tcPr>
            <w:tcW w:w="700" w:type="dxa"/>
          </w:tcPr>
          <w:p w14:paraId="5258E1E3" w14:textId="4FD85FFE" w:rsidR="59BF1FC6" w:rsidRDefault="59BF1FC6">
            <w:r>
              <w:t>P2</w:t>
            </w:r>
          </w:p>
        </w:tc>
        <w:tc>
          <w:tcPr>
            <w:tcW w:w="3400" w:type="dxa"/>
          </w:tcPr>
          <w:p w14:paraId="150F8805" w14:textId="48B646C2" w:rsidR="59BF1FC6" w:rsidRDefault="59BF1FC6">
            <w:r>
              <w:t>Remediate the Jira connector defect and confirm data sync is restored.</w:t>
            </w:r>
          </w:p>
        </w:tc>
        <w:tc>
          <w:tcPr>
            <w:tcW w:w="1900" w:type="dxa"/>
          </w:tcPr>
          <w:p w14:paraId="7C98E7EF" w14:textId="41942D86" w:rsidR="59BF1FC6" w:rsidRDefault="59BF1FC6">
            <w:r>
              <w:t>Platform Admin</w:t>
            </w:r>
          </w:p>
        </w:tc>
        <w:tc>
          <w:tcPr>
            <w:tcW w:w="1900" w:type="dxa"/>
          </w:tcPr>
          <w:p w14:paraId="56E5D3B2" w14:textId="3A72144A" w:rsidR="59BF1FC6" w:rsidRDefault="59BF1FC6">
            <w:r>
              <w:t>Flagged 12 August 2026 as a data integrity risk</w:t>
            </w:r>
          </w:p>
        </w:tc>
        <w:tc>
          <w:tcPr>
            <w:tcW w:w="1200" w:type="dxa"/>
          </w:tcPr>
          <w:p w14:paraId="48BC879D" w14:textId="334FFB0E" w:rsidR="59BF1FC6" w:rsidRDefault="59BF1FC6">
            <w:r>
              <w:t>Within 2 weeks</w:t>
            </w:r>
          </w:p>
        </w:tc>
      </w:tr>
      <w:tr w:rsidR="59BF1FC6" w14:paraId="11E3CFED" w14:textId="77777777" w:rsidTr="59BF1FC6">
        <w:tc>
          <w:tcPr>
            <w:tcW w:w="700" w:type="dxa"/>
          </w:tcPr>
          <w:p w14:paraId="316F67B5" w14:textId="4A655B83" w:rsidR="59BF1FC6" w:rsidRDefault="59BF1FC6">
            <w:r>
              <w:t>P2</w:t>
            </w:r>
          </w:p>
        </w:tc>
        <w:tc>
          <w:tcPr>
            <w:tcW w:w="3400" w:type="dxa"/>
          </w:tcPr>
          <w:p w14:paraId="6558A75B" w14:textId="43434247" w:rsidR="59BF1FC6" w:rsidRDefault="59BF1FC6">
            <w:r>
              <w:t>Obtain the missing pricing, SLA and compliance sheets from every shortlisted ERP vendor and re-score the compliance component before any award.</w:t>
            </w:r>
          </w:p>
        </w:tc>
        <w:tc>
          <w:tcPr>
            <w:tcW w:w="1900" w:type="dxa"/>
          </w:tcPr>
          <w:p w14:paraId="1A26645E" w14:textId="3C21290B" w:rsidR="59BF1FC6" w:rsidRDefault="59BF1FC6">
            <w:r>
              <w:t>Corey Gray as procurement owner, with the Compliance Officer consulted</w:t>
            </w:r>
          </w:p>
        </w:tc>
        <w:tc>
          <w:tcPr>
            <w:tcW w:w="1900" w:type="dxa"/>
          </w:tcPr>
          <w:p w14:paraId="55BEABF5" w14:textId="34FF0FCF" w:rsidR="59BF1FC6" w:rsidRDefault="59BF1FC6">
            <w:r>
              <w:t>S2P thread: compliance scores recorded as provisional</w:t>
            </w:r>
          </w:p>
        </w:tc>
        <w:tc>
          <w:tcPr>
            <w:tcW w:w="1200" w:type="dxa"/>
          </w:tcPr>
          <w:p w14:paraId="5C22B9D0" w14:textId="2DDCF693" w:rsidR="59BF1FC6" w:rsidRDefault="59BF1FC6">
            <w:r>
              <w:t>Before contract award</w:t>
            </w:r>
          </w:p>
        </w:tc>
      </w:tr>
      <w:tr w:rsidR="59BF1FC6" w14:paraId="3FEFCE14" w14:textId="77777777" w:rsidTr="59BF1FC6">
        <w:tc>
          <w:tcPr>
            <w:tcW w:w="700" w:type="dxa"/>
          </w:tcPr>
          <w:p w14:paraId="1D180928" w14:textId="44F25708" w:rsidR="59BF1FC6" w:rsidRDefault="59BF1FC6">
            <w:r>
              <w:t>P2</w:t>
            </w:r>
          </w:p>
        </w:tc>
        <w:tc>
          <w:tcPr>
            <w:tcW w:w="3400" w:type="dxa"/>
          </w:tcPr>
          <w:p w14:paraId="3C11906B" w14:textId="3DD03DCC" w:rsidR="59BF1FC6" w:rsidRDefault="59BF1FC6">
            <w:r>
              <w:t>Evidence that the Compliance and Privacy controls in the checklist are live: DLP policies in Copilot Studio, PII redaction on AI outputs, and EUDB data residency. Capture configuration screenshots or export policy state as the audit record.</w:t>
            </w:r>
          </w:p>
        </w:tc>
        <w:tc>
          <w:tcPr>
            <w:tcW w:w="1900" w:type="dxa"/>
          </w:tcPr>
          <w:p w14:paraId="5D2D73B1" w14:textId="36AE2490" w:rsidR="59BF1FC6" w:rsidRDefault="59BF1FC6">
            <w:r>
              <w:t>Security Officer responsible, Compliance Officer accountable</w:t>
            </w:r>
          </w:p>
        </w:tc>
        <w:tc>
          <w:tcPr>
            <w:tcW w:w="1900" w:type="dxa"/>
          </w:tcPr>
          <w:p w14:paraId="12393299" w14:textId="2F8C0B54" w:rsidR="59BF1FC6" w:rsidRDefault="59BF1FC6">
            <w:r>
              <w:t>RACI assignment for DLP policy application</w:t>
            </w:r>
          </w:p>
        </w:tc>
        <w:tc>
          <w:tcPr>
            <w:tcW w:w="1200" w:type="dxa"/>
          </w:tcPr>
          <w:p w14:paraId="70A8F27D" w14:textId="2869F218" w:rsidR="59BF1FC6" w:rsidRDefault="59BF1FC6">
            <w:r>
              <w:t>Within 6 weeks</w:t>
            </w:r>
          </w:p>
        </w:tc>
      </w:tr>
      <w:tr w:rsidR="59BF1FC6" w14:paraId="4A7B5D4D" w14:textId="77777777" w:rsidTr="59BF1FC6">
        <w:tc>
          <w:tcPr>
            <w:tcW w:w="700" w:type="dxa"/>
          </w:tcPr>
          <w:p w14:paraId="2EA6971E" w14:textId="3F7F528D" w:rsidR="59BF1FC6" w:rsidRDefault="59BF1FC6">
            <w:r>
              <w:t>P3</w:t>
            </w:r>
          </w:p>
        </w:tc>
        <w:tc>
          <w:tcPr>
            <w:tcW w:w="3400" w:type="dxa"/>
          </w:tcPr>
          <w:p w14:paraId="6F5A9231" w14:textId="385D3951" w:rsidR="59BF1FC6" w:rsidRDefault="59BF1FC6">
            <w:r>
              <w:t xml:space="preserve">Produce or locate the record of processing activities and a data protection impact assessment covering the AI agent </w:t>
            </w:r>
            <w:proofErr w:type="gramStart"/>
            <w:r>
              <w:t>estate, and</w:t>
            </w:r>
            <w:proofErr w:type="gramEnd"/>
            <w:r>
              <w:t xml:space="preserve"> schedule an internal assurance review against the Policy Book.</w:t>
            </w:r>
          </w:p>
        </w:tc>
        <w:tc>
          <w:tcPr>
            <w:tcW w:w="1900" w:type="dxa"/>
          </w:tcPr>
          <w:p w14:paraId="4298E1DC" w14:textId="313B2015" w:rsidR="59BF1FC6" w:rsidRDefault="59BF1FC6">
            <w:r>
              <w:t>Compliance Officer, with the CIO accountable</w:t>
            </w:r>
          </w:p>
        </w:tc>
        <w:tc>
          <w:tcPr>
            <w:tcW w:w="1900" w:type="dxa"/>
          </w:tcPr>
          <w:p w14:paraId="77206DE3" w14:textId="2A1906D9" w:rsidR="59BF1FC6" w:rsidRDefault="59BF1FC6">
            <w:r>
              <w:t>Neither artefact found in the searched sources</w:t>
            </w:r>
          </w:p>
        </w:tc>
        <w:tc>
          <w:tcPr>
            <w:tcW w:w="1200" w:type="dxa"/>
          </w:tcPr>
          <w:p w14:paraId="5307ACB2" w14:textId="22F6ED9D" w:rsidR="59BF1FC6" w:rsidRDefault="59BF1FC6">
            <w:r>
              <w:t>Within 12 weeks</w:t>
            </w:r>
          </w:p>
        </w:tc>
      </w:tr>
    </w:tbl>
    <w:p w14:paraId="7FA66638" w14:textId="6A019D3D" w:rsidR="59BF1FC6" w:rsidRDefault="59BF1FC6">
      <w:r>
        <w:t xml:space="preserve"> </w:t>
      </w:r>
    </w:p>
    <w:p w14:paraId="1D354D34" w14:textId="6E00E75C" w:rsidR="59BF1FC6" w:rsidRDefault="59BF1FC6" w:rsidP="59BF1FC6">
      <w:pPr>
        <w:pStyle w:val="Heading1"/>
      </w:pPr>
      <w:r w:rsidRPr="59BF1FC6">
        <w:rPr>
          <w:color w:val="5F4E1F"/>
        </w:rPr>
        <w:t>6. Sources</w:t>
      </w:r>
    </w:p>
    <w:p w14:paraId="31CCD3A5" w14:textId="6A206234" w:rsidR="59BF1FC6" w:rsidRDefault="59BF1FC6" w:rsidP="59BF1FC6">
      <w:pPr>
        <w:pStyle w:val="Heading2"/>
      </w:pPr>
      <w:r w:rsidRPr="59BF1FC6">
        <w:rPr>
          <w:color w:val="5F4E1F"/>
        </w:rPr>
        <w:t>Internal (Microsoft 365)</w:t>
      </w:r>
    </w:p>
    <w:p w14:paraId="7123D9AE" w14:textId="1D2922C6" w:rsidR="59BF1FC6" w:rsidRDefault="59BF1FC6">
      <w:r>
        <w:t>AI Governance Policy Book, Corey Gray, 4 February 2026 (OneDrive). AI Governance Quick-Start Checklist, Corey Gray (OneDrive). AI Governance Actionable Strategy Plan with RACI, Corey Gray (OneDrive). Daily Task Digest, 6 September 2026, and the digests of 4 September, 27 August and 24 August 2026 (Outlook). Jira weekly updates for the ZAVA AI Governance project, 26 August and 2 September 2026 (Outlook). Contoso S2P vendor evaluation thread (Teams chat). Pillar Five: Security and Governance, and the NIST AI Risk Management Framework 1.0 held on the TIGRES site, consulted as supporting reference material.</w:t>
      </w:r>
    </w:p>
    <w:p w14:paraId="104D0D42" w14:textId="3B0F7056" w:rsidR="59BF1FC6" w:rsidRDefault="59BF1FC6" w:rsidP="59BF1FC6">
      <w:pPr>
        <w:pStyle w:val="Heading2"/>
      </w:pPr>
      <w:r w:rsidRPr="59BF1FC6">
        <w:rPr>
          <w:color w:val="5F4E1F"/>
        </w:rPr>
        <w:t>External (public web)</w:t>
      </w:r>
    </w:p>
    <w:p w14:paraId="2D0ADC29" w14:textId="46804D91" w:rsidR="59BF1FC6" w:rsidRDefault="59BF1FC6">
      <w:r>
        <w:t xml:space="preserve">EU AI Act phased application dates and the August 2026 milestone: aiact-navigator.com/timeline; glocertinternational.com/resources/articles/eu-ai-act-timeline-and-key-dates; currentaffair.today (GPAI reality check, 2 August and 2 November 2026); vorplabs.com/ai-regulatory-updates/eu. Penalty tiers and enforcement posture: aiactindex.eu/eu-ai-act/penalties; geracompliance.com/guides/eu-ai-act-fines-penalties; </w:t>
      </w:r>
      <w:r>
        <w:lastRenderedPageBreak/>
        <w:t>skycrumbs.com/blog/eu-ai-act-enforcement-2026; presenc.ai/research/eu-ai-act-enforcement-tracker-2026. GDPR enforcement volumes, trends and cooperation mechanism: enforcementtracker.com; anonym.community/blog/gdpr-enforcement-fines-2026-tracker; gdpr-law.eu/blog/gdpr-enforcement-trends-2026-rising-fines-ai-scrutiny; edpb.europa.eu/topics/cooperation-enforcement/gdpr-enforcement_en.</w:t>
      </w:r>
    </w:p>
    <w:p w14:paraId="3C85375B" w14:textId="58E61DF3" w:rsidR="59BF1FC6" w:rsidRDefault="59BF1FC6">
      <w:r w:rsidRPr="59BF1FC6">
        <w:rPr>
          <w:i/>
          <w:iCs/>
          <w:color w:val="5A5A5A"/>
          <w:sz w:val="20"/>
          <w:szCs w:val="20"/>
        </w:rPr>
        <w:t xml:space="preserve">External figures are drawn from public secondary trackers and commentary rather than from primary legal </w:t>
      </w:r>
      <w:proofErr w:type="gramStart"/>
      <w:r w:rsidRPr="59BF1FC6">
        <w:rPr>
          <w:i/>
          <w:iCs/>
          <w:color w:val="5A5A5A"/>
          <w:sz w:val="20"/>
          <w:szCs w:val="20"/>
        </w:rPr>
        <w:t>texts, and</w:t>
      </w:r>
      <w:proofErr w:type="gramEnd"/>
      <w:r w:rsidRPr="59BF1FC6">
        <w:rPr>
          <w:i/>
          <w:iCs/>
          <w:color w:val="5A5A5A"/>
          <w:sz w:val="20"/>
          <w:szCs w:val="20"/>
        </w:rPr>
        <w:t xml:space="preserve"> should be confirmed against the Official Journal and the relevant supervisory authority before being relied on in a filing or a board paper.</w:t>
      </w:r>
    </w:p>
    <w:sectPr w:rsidR="59BF1FC6"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5306842">
    <w:abstractNumId w:val="8"/>
  </w:num>
  <w:num w:numId="2" w16cid:durableId="1146319867">
    <w:abstractNumId w:val="6"/>
  </w:num>
  <w:num w:numId="3" w16cid:durableId="1881044893">
    <w:abstractNumId w:val="5"/>
  </w:num>
  <w:num w:numId="4" w16cid:durableId="1027022848">
    <w:abstractNumId w:val="4"/>
  </w:num>
  <w:num w:numId="5" w16cid:durableId="1360857236">
    <w:abstractNumId w:val="7"/>
  </w:num>
  <w:num w:numId="6" w16cid:durableId="477654900">
    <w:abstractNumId w:val="3"/>
  </w:num>
  <w:num w:numId="7" w16cid:durableId="484855660">
    <w:abstractNumId w:val="2"/>
  </w:num>
  <w:num w:numId="8" w16cid:durableId="946810060">
    <w:abstractNumId w:val="1"/>
  </w:num>
  <w:num w:numId="9" w16cid:durableId="543836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0D01"/>
    <w:rsid w:val="00592930"/>
    <w:rsid w:val="00826B53"/>
    <w:rsid w:val="00AA1D8D"/>
    <w:rsid w:val="00B47730"/>
    <w:rsid w:val="00CB0664"/>
    <w:rsid w:val="00FC693F"/>
    <w:rsid w:val="0394FD22"/>
    <w:rsid w:val="03A3DA0E"/>
    <w:rsid w:val="1367E36C"/>
    <w:rsid w:val="251BD644"/>
    <w:rsid w:val="2A6F42DB"/>
    <w:rsid w:val="2FC92D23"/>
    <w:rsid w:val="38336521"/>
    <w:rsid w:val="3951A344"/>
    <w:rsid w:val="3D305C08"/>
    <w:rsid w:val="41D378EE"/>
    <w:rsid w:val="4A52B3DB"/>
    <w:rsid w:val="4C4984D2"/>
    <w:rsid w:val="50430112"/>
    <w:rsid w:val="58D99FC7"/>
    <w:rsid w:val="59BF1FC6"/>
    <w:rsid w:val="59C85A60"/>
    <w:rsid w:val="5F648732"/>
    <w:rsid w:val="60369096"/>
    <w:rsid w:val="65A11AE6"/>
    <w:rsid w:val="66699715"/>
    <w:rsid w:val="6C251BA1"/>
    <w:rsid w:val="700A13F4"/>
    <w:rsid w:val="75F937E6"/>
    <w:rsid w:val="7680B286"/>
    <w:rsid w:val="768C08AC"/>
    <w:rsid w:val="7EEF31D7"/>
    <w:rsid w:val="7FCED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2C295EF-814E-436B-BD94-5B5603B4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1C4BE08-C9B0-4953-B4F8-A1390B40ABA7}">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customXml/itemProps3.xml><?xml version="1.0" encoding="utf-8"?>
<ds:datastoreItem xmlns:ds="http://schemas.openxmlformats.org/officeDocument/2006/customXml" ds:itemID="{0C08B6A4-C660-4D49-A7AF-0783DAFBAF9D}">
  <ds:schemaRefs>
    <ds:schemaRef ds:uri="http://schemas.microsoft.com/sharepoint/v3/contenttype/forms"/>
  </ds:schemaRefs>
</ds:datastoreItem>
</file>

<file path=customXml/itemProps4.xml><?xml version="1.0" encoding="utf-8"?>
<ds:datastoreItem xmlns:ds="http://schemas.openxmlformats.org/officeDocument/2006/customXml" ds:itemID="{6FF49FB0-3AC2-4521-8FCC-F3479EC98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2216</Words>
  <Characters>12634</Characters>
  <Application>Microsoft Office Word</Application>
  <DocSecurity>0</DocSecurity>
  <Lines>105</Lines>
  <Paragraphs>29</Paragraphs>
  <ScaleCrop>false</ScaleCrop>
  <Manager/>
  <Company/>
  <LinksUpToDate>false</LinksUpToDate>
  <CharactersWithSpaces>14821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4</cp:revision>
  <dcterms:created xsi:type="dcterms:W3CDTF">2026-09-07T07:31:00Z</dcterms:created>
  <dcterms:modified xsi:type="dcterms:W3CDTF">2026-09-07T07:45:00Z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ies>
</file>