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sdt>
      <w:sdtPr>
        <w:rPr>
          <w:rFonts w:ascii="Times New Roman" w:eastAsia="宋体" w:hAnsi="Times New Roman" w:cs="Times New Roman"/>
          <w:color w:val="5B9BD5" w:themeColor="accent1"/>
          <w:kern w:val="2"/>
          <w:sz w:val="21"/>
          <w:szCs w:val="24"/>
        </w:rPr>
        <w:id w:val="29537136"/>
        <w:docPartObj>
          <w:docPartGallery w:val="Cover Pages"/>
          <w:docPartUnique/>
        </w:docPartObj>
      </w:sdtPr>
      <w:sdtEndPr>
        <w:rPr>
          <w:noProof/>
          <w:color w:val="auto"/>
        </w:rPr>
      </w:sdtEndPr>
      <w:sdtContent>
        <w:p w:rsidR="00463F80" w:rsidRDefault="00463F80">
          <w:pPr>
            <w:pStyle w:val="a3"/>
            <w:spacing w:before="1540" w:after="240"/>
            <w:jc w:val="center"/>
            <w:rPr>
              <w:color w:val="5B9BD5" w:themeColor="accent1"/>
            </w:rPr>
          </w:pPr>
          <w:r>
            <w:rPr>
              <w:noProof/>
              <w:color w:val="5B9BD5" w:themeColor="accent1"/>
            </w:rPr>
            <mc:AlternateContent>
              <mc:Choice Requires="wps">
                <w:drawing>
                  <wp:anchor distT="0" distB="0" distL="114300" distR="114300" simplePos="0" relativeHeight="251665408" behindDoc="0" locked="0" layoutInCell="1" allowOverlap="1" wp14:anchorId="2D39B107" wp14:editId="19493748">
                    <wp:simplePos x="0" y="0"/>
                    <wp:positionH relativeFrom="margin">
                      <wp:posOffset>-334645</wp:posOffset>
                    </wp:positionH>
                    <wp:positionV relativeFrom="paragraph">
                      <wp:posOffset>1316990</wp:posOffset>
                    </wp:positionV>
                    <wp:extent cx="5922645" cy="0"/>
                    <wp:effectExtent l="0" t="19050" r="20955" b="19050"/>
                    <wp:wrapNone/>
                    <wp:docPr id="2" name="直接连接符 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0" y="0"/>
                              <a:ext cx="5922645" cy="0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chemeClr val="accent1">
                                  <a:lumMod val="50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</wp:anchor>
                </w:drawing>
              </mc:Choice>
              <mc:Fallback>
                <w:pict>
                  <v:line w14:anchorId="4773E0FE" id="直接连接符 2" o:spid="_x0000_s1026" style="position:absolute;left:0;text-align:left;z-index:25166540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26.35pt,103.7pt" to="440pt,10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" strokecolor="#1f4d78 [1604]" strokeweight="3pt">
                    <v:stroke joinstyle="miter"/>
                    <w10:wrap anchorx="margin"/>
                  </v:line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7456" behindDoc="0" locked="0" layoutInCell="1" allowOverlap="1" wp14:anchorId="0845C9BD" wp14:editId="78590789">
                    <wp:simplePos x="0" y="0"/>
                    <wp:positionH relativeFrom="margin">
                      <wp:posOffset>-406400</wp:posOffset>
                    </wp:positionH>
                    <wp:positionV relativeFrom="paragraph">
                      <wp:posOffset>1367046</wp:posOffset>
                    </wp:positionV>
                    <wp:extent cx="6086475" cy="1282700"/>
                    <wp:effectExtent l="0" t="0" r="0" b="0"/>
                    <wp:wrapNone/>
                    <wp:docPr id="3" name="文本框 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6086475" cy="12827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463F80" w:rsidRPr="00463F80" w:rsidRDefault="00463F80" w:rsidP="00463F80">
                                <w:pPr>
                                  <w:jc w:val="center"/>
                                  <w:rPr>
                                    <w:rFonts w:ascii="华文楷体" w:eastAsia="华文楷体" w:hAnsi="华文楷体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</w:pPr>
                                <w:r w:rsidRPr="00463F80">
                                  <w:rPr>
                                    <w:rFonts w:ascii="华文楷体" w:eastAsia="华文楷体" w:hAnsi="华文楷体" w:hint="eastAsia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201</w:t>
                                </w:r>
                                <w:r w:rsidR="00C772E2">
                                  <w:rPr>
                                    <w:rFonts w:ascii="华文楷体" w:eastAsia="华文楷体" w:hAnsi="华文楷体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7</w:t>
                                </w:r>
                                <w:r w:rsidRPr="00463F80">
                                  <w:rPr>
                                    <w:rFonts w:ascii="华文楷体" w:eastAsia="华文楷体" w:hAnsi="华文楷体" w:hint="eastAsia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年度</w:t>
                                </w:r>
                                <w:r w:rsidRPr="00463F80">
                                  <w:rPr>
                                    <w:rFonts w:ascii="华文楷体" w:eastAsia="华文楷体" w:hAnsi="华文楷体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工作总结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0845C9BD" id="_x0000_t202" coordsize="21600,21600" o:spt="202" path="m,l,21600r21600,l21600,xe">
                    <v:stroke joinstyle="miter"/>
                    <v:path gradientshapeok="t" o:connecttype="rect"/>
                  </v:shapetype>
                  <v:shape id="文本框 3" o:spid="_x0000_s1026" type="#_x0000_t202" style="position:absolute;left:0;text-align:left;margin-left:-32pt;margin-top:107.65pt;width:479.25pt;height:101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" filled="f" stroked="f" strokeweight=".5pt">
                    <v:textbox>
                      <w:txbxContent>
                        <w:p w:rsidR="00463F80" w:rsidRPr="00463F80" w:rsidRDefault="00463F80" w:rsidP="00463F80">
                          <w:pPr>
                            <w:jc w:val="center"/>
                            <w:rPr>
                              <w:rFonts w:ascii="华文楷体" w:eastAsia="华文楷体" w:hAnsi="华文楷体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</w:pPr>
                          <w:r w:rsidRPr="00463F80">
                            <w:rPr>
                              <w:rFonts w:ascii="华文楷体" w:eastAsia="华文楷体" w:hAnsi="华文楷体" w:hint="eastAsia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201</w:t>
                          </w:r>
                          <w:r w:rsidR="00C772E2">
                            <w:rPr>
                              <w:rFonts w:ascii="华文楷体" w:eastAsia="华文楷体" w:hAnsi="华文楷体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7</w:t>
                          </w:r>
                          <w:r w:rsidRPr="00463F80">
                            <w:rPr>
                              <w:rFonts w:ascii="华文楷体" w:eastAsia="华文楷体" w:hAnsi="华文楷体" w:hint="eastAsia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年度</w:t>
                          </w:r>
                          <w:r w:rsidRPr="00463F80">
                            <w:rPr>
                              <w:rFonts w:ascii="华文楷体" w:eastAsia="华文楷体" w:hAnsi="华文楷体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工作总结</w:t>
                          </w:r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  <w:r>
            <w:rPr>
              <w:noProof/>
              <w:color w:val="5B9BD5" w:themeColor="accent1"/>
            </w:rPr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1268730</wp:posOffset>
                </wp:positionH>
                <wp:positionV relativeFrom="paragraph">
                  <wp:posOffset>-335171</wp:posOffset>
                </wp:positionV>
                <wp:extent cx="2725420" cy="1443990"/>
                <wp:effectExtent l="0" t="0" r="0" b="3810"/>
                <wp:wrapNone/>
                <wp:docPr id="143" name="图片 14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t55.png"/>
                        <pic:cNvPicPr/>
                      </pic:nvPicPr>
                      <pic:blipFill>
                        <a:blip r:embed="rId4" cstate="print">
                          <a:duotone>
                            <a:prstClr val="black"/>
                            <a:schemeClr val="accent1">
                              <a:tint val="45000"/>
                              <a:satMod val="400000"/>
                            </a:schemeClr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25420" cy="1443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  <w:p w:rsidR="00463F80" w:rsidRDefault="00463F80" w:rsidP="00463F80">
          <w:pPr>
            <w:pStyle w:val="a3"/>
            <w:rPr>
              <w:color w:val="5B9BD5" w:themeColor="accent1"/>
              <w:sz w:val="28"/>
              <w:szCs w:val="28"/>
            </w:rPr>
          </w:pPr>
        </w:p>
        <w:p w:rsidR="00463F80" w:rsidRDefault="00463F80">
          <w:pPr>
            <w:pStyle w:val="a3"/>
            <w:spacing w:before="480"/>
            <w:jc w:val="center"/>
            <w:rPr>
              <w:color w:val="5B9BD5" w:themeColor="accent1"/>
            </w:rPr>
          </w:pPr>
        </w:p>
        <w:p w:rsidR="00185A35" w:rsidRDefault="00463F80" w:rsidP="00185A35">
          <w:pPr>
            <w:ind w:firstLine="420"/>
            <w:rPr>
              <w:noProof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70528" behindDoc="0" locked="0" layoutInCell="1" allowOverlap="1" wp14:anchorId="772CD162" wp14:editId="0D699D8E">
                    <wp:simplePos x="0" y="0"/>
                    <wp:positionH relativeFrom="margin">
                      <wp:posOffset>-153508</wp:posOffset>
                    </wp:positionH>
                    <wp:positionV relativeFrom="paragraph">
                      <wp:posOffset>1153160</wp:posOffset>
                    </wp:positionV>
                    <wp:extent cx="5635256" cy="1754372"/>
                    <wp:effectExtent l="0" t="0" r="0" b="0"/>
                    <wp:wrapNone/>
                    <wp:docPr id="4" name="文本框 4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635256" cy="1754372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185A35" w:rsidRPr="00185A35" w:rsidRDefault="00185A35" w:rsidP="00185A35">
                                <w:pPr>
                                  <w:ind w:firstLine="420"/>
                                  <w:jc w:val="center"/>
                                  <w:rPr>
                                    <w:rFonts w:asciiTheme="minorEastAsia" w:hAnsiTheme="minorEastAsia"/>
                                    <w:b/>
                                    <w:sz w:val="72"/>
                                  </w:rPr>
                                </w:pPr>
                                <w:r w:rsidRPr="00185A35">
                                  <w:rPr>
                                    <w:rFonts w:asciiTheme="minorEastAsia" w:hAnsiTheme="minorEastAsia" w:hint="eastAsia"/>
                                    <w:b/>
                                    <w:sz w:val="72"/>
                                  </w:rPr>
                                  <w:t>201</w:t>
                                </w:r>
                                <w:r w:rsidR="00C772E2">
                                  <w:rPr>
                                    <w:rFonts w:asciiTheme="minorEastAsia" w:hAnsiTheme="minorEastAsia"/>
                                    <w:b/>
                                    <w:sz w:val="72"/>
                                  </w:rPr>
                                  <w:t>7</w:t>
                                </w:r>
                                <w:r w:rsidRPr="00185A35">
                                  <w:rPr>
                                    <w:rFonts w:asciiTheme="minorEastAsia" w:hAnsiTheme="minorEastAsia" w:hint="eastAsia"/>
                                    <w:b/>
                                    <w:sz w:val="72"/>
                                  </w:rPr>
                                  <w:t>年全国各省税务局通用工作总结</w:t>
                                </w:r>
                              </w:p>
                              <w:p w:rsidR="00463F80" w:rsidRPr="00185A35" w:rsidRDefault="00463F80" w:rsidP="00185A35">
                                <w:pPr>
                                  <w:jc w:val="center"/>
                                  <w:rPr>
                                    <w:rFonts w:asciiTheme="minorEastAsia" w:hAnsiTheme="minorEastAsia"/>
                                    <w:b/>
                                    <w:sz w:val="72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772CD162" id="文本框 4" o:spid="_x0000_s1027" type="#_x0000_t202" style="position:absolute;left:0;text-align:left;margin-left:-12.1pt;margin-top:90.8pt;width:443.7pt;height:138.15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" filled="f" stroked="f" strokeweight=".5pt">
                    <v:textbox>
                      <w:txbxContent>
                        <w:p w:rsidR="00185A35" w:rsidRPr="00185A35" w:rsidRDefault="00185A35" w:rsidP="00185A35">
                          <w:pPr>
                            <w:ind w:firstLine="420"/>
                            <w:jc w:val="center"/>
                            <w:rPr>
                              <w:rFonts w:asciiTheme="minorEastAsia" w:hAnsiTheme="minorEastAsia"/>
                              <w:b/>
                              <w:sz w:val="72"/>
                            </w:rPr>
                          </w:pPr>
                          <w:r w:rsidRPr="00185A35">
                            <w:rPr>
                              <w:rFonts w:asciiTheme="minorEastAsia" w:hAnsiTheme="minorEastAsia" w:hint="eastAsia"/>
                              <w:b/>
                              <w:sz w:val="72"/>
                            </w:rPr>
                            <w:t>201</w:t>
                          </w:r>
                          <w:r w:rsidR="00C772E2">
                            <w:rPr>
                              <w:rFonts w:asciiTheme="minorEastAsia" w:hAnsiTheme="minorEastAsia"/>
                              <w:b/>
                              <w:sz w:val="72"/>
                            </w:rPr>
                            <w:t>7</w:t>
                          </w:r>
                          <w:r w:rsidRPr="00185A35">
                            <w:rPr>
                              <w:rFonts w:asciiTheme="minorEastAsia" w:hAnsiTheme="minorEastAsia" w:hint="eastAsia"/>
                              <w:b/>
                              <w:sz w:val="72"/>
                            </w:rPr>
                            <w:t>年全国各省税务局通用工作总结</w:t>
                          </w:r>
                        </w:p>
                        <w:p w:rsidR="00463F80" w:rsidRPr="00185A35" w:rsidRDefault="00463F80" w:rsidP="00185A35">
                          <w:pPr>
                            <w:jc w:val="center"/>
                            <w:rPr>
                              <w:rFonts w:asciiTheme="minorEastAsia" w:hAnsiTheme="minorEastAsia"/>
                              <w:b/>
                              <w:sz w:val="72"/>
                            </w:rPr>
                          </w:pPr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  <w:r>
            <w:rPr>
              <w:noProof/>
              <w:color w:val="5B9BD5" w:themeColor="accent1"/>
            </w:rPr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531035</wp:posOffset>
                </wp:positionV>
                <wp:extent cx="758825" cy="478790"/>
                <wp:effectExtent l="0" t="0" r="3175" b="0"/>
                <wp:wrapNone/>
                <wp:docPr id="144" name="图片 1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roco bottom.png"/>
                        <pic:cNvPicPr/>
                      </pic:nvPicPr>
                      <pic:blipFill>
                        <a:blip r:embed="rId5" cstate="print">
                          <a:duotone>
                            <a:prstClr val="black"/>
                            <a:schemeClr val="accent1">
                              <a:tint val="45000"/>
                              <a:satMod val="400000"/>
                            </a:schemeClr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8825" cy="47879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noProof/>
              <w:color w:val="5B9BD5" w:themeColor="accent1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>
                    <wp:simplePos x="0" y="0"/>
                    <wp:positionH relativeFrom="margin">
                      <wp:posOffset>-334645</wp:posOffset>
                    </wp:positionH>
                    <wp:positionV relativeFrom="paragraph">
                      <wp:posOffset>318879</wp:posOffset>
                    </wp:positionV>
                    <wp:extent cx="5922645" cy="0"/>
                    <wp:effectExtent l="0" t="19050" r="20955" b="19050"/>
                    <wp:wrapNone/>
                    <wp:docPr id="1" name="直接连接符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0" y="0"/>
                              <a:ext cx="5922645" cy="0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chemeClr val="accent1">
                                  <a:lumMod val="50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</wp:anchor>
                </w:drawing>
              </mc:Choice>
              <mc:Fallback>
                <w:pict>
                  <v:line w14:anchorId="61E45F22" id="直接连接符 1" o:spid="_x0000_s1026" style="position:absolute;left:0;text-align:left;z-index:25166336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26.35pt,25.1pt" to="440pt,2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" strokecolor="#1f4d78 [1604]" strokeweight="3pt">
                    <v:stroke joinstyle="miter"/>
                    <w10:wrap anchorx="margin"/>
                  </v:line>
                </w:pict>
              </mc:Fallback>
            </mc:AlternateContent>
          </w:r>
          <w:r>
            <w:rPr>
              <w:noProof/>
              <w:color w:val="5B9BD5" w:themeColor="accent1"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align>left</wp:align>
                </wp:positionH>
                <wp:positionV relativeFrom="paragraph">
                  <wp:posOffset>2339252</wp:posOffset>
                </wp:positionV>
                <wp:extent cx="7696049" cy="6648255"/>
                <wp:effectExtent l="0" t="0" r="635" b="0"/>
                <wp:wrapNone/>
                <wp:docPr id="5" name="图片 5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图片 5"/>
                        <pic:cNvPicPr/>
                      </pic:nvPicPr>
                      <pic:blipFill>
                        <a:blip r:embed="rId6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7">
                                  <a14:imgEffect>
                                    <a14:brightnessContrast bright="40000" contrast="-4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696049" cy="664825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noProof/>
            </w:rPr>
            <w:br w:type="page"/>
          </w:r>
        </w:p>
      </w:sdtContent>
    </w:sdt>
    <w:p w:rsidR="00185A35" w:rsidRPr="00185A35" w:rsidRDefault="00185A35" w:rsidP="00185A35">
      <w:pPr>
        <w:ind w:firstLine="420"/>
        <w:rPr>
          <w:rFonts w:ascii="宋体" w:hAnsi="宋体"/>
          <w:sz w:val="28"/>
        </w:rPr>
      </w:pPr>
      <w:r w:rsidRPr="00185A35">
        <w:rPr>
          <w:rFonts w:ascii="宋体" w:hAnsi="宋体" w:hint="eastAsia"/>
          <w:sz w:val="28"/>
        </w:rPr>
        <w:lastRenderedPageBreak/>
        <w:t>201</w:t>
      </w:r>
      <w:r w:rsidR="00C772E2">
        <w:rPr>
          <w:rFonts w:ascii="宋体" w:hAnsi="宋体"/>
          <w:sz w:val="28"/>
        </w:rPr>
        <w:t>7</w:t>
      </w:r>
      <w:r w:rsidRPr="00185A35">
        <w:rPr>
          <w:rFonts w:ascii="宋体" w:hAnsi="宋体" w:hint="eastAsia"/>
          <w:sz w:val="28"/>
        </w:rPr>
        <w:t>年，全省地税系统以邓小平理论和“三个代表”重要思想为指导，用科学发展观统领地方税收工作，突出“三型税务”主题，努力构建和谐地税，以创新的思路和举措谋发展、促发展，组织收入和其他各项工作均保持了良好发展势头，实现了“十一五”的良好开局。</w:t>
      </w:r>
    </w:p>
    <w:p w:rsidR="00185A35" w:rsidRPr="00185A35" w:rsidRDefault="00185A35" w:rsidP="00185A35">
      <w:pPr>
        <w:ind w:firstLineChars="200" w:firstLine="562"/>
        <w:rPr>
          <w:rFonts w:ascii="宋体" w:hAnsi="宋体"/>
          <w:b/>
          <w:sz w:val="28"/>
        </w:rPr>
      </w:pPr>
      <w:r w:rsidRPr="00185A35">
        <w:rPr>
          <w:rFonts w:ascii="宋体" w:hAnsi="宋体" w:hint="eastAsia"/>
          <w:b/>
          <w:sz w:val="28"/>
        </w:rPr>
        <w:t>一、组织收入工作取得新突破</w:t>
      </w:r>
    </w:p>
    <w:p w:rsidR="00185A35" w:rsidRPr="00185A35" w:rsidRDefault="00185A35" w:rsidP="00185A35">
      <w:pPr>
        <w:ind w:firstLineChars="200" w:firstLine="560"/>
        <w:rPr>
          <w:rFonts w:ascii="宋体" w:hAnsi="宋体"/>
          <w:sz w:val="28"/>
        </w:rPr>
      </w:pPr>
      <w:r w:rsidRPr="00185A35">
        <w:rPr>
          <w:rFonts w:ascii="宋体" w:hAnsi="宋体" w:hint="eastAsia"/>
          <w:sz w:val="28"/>
        </w:rPr>
        <w:t>全省地税收入保持平稳较快增长，共组织各项收入1680.56亿元，比上年增收301.78亿元，增长21.9%。其中各项税收入库1013.89亿元，比上年增收180.75亿元，增长21.7%；社保费收入540.05亿元，比去年增长23.2%。在“十五”税收高基数、高增长的情况下，全省各级地税机关努力克服各项减收因素的影响，化解收入矛盾，江苏成为继广东、上海之后第三个地税收入超千亿的省份。</w:t>
      </w:r>
    </w:p>
    <w:p w:rsidR="00185A35" w:rsidRPr="00185A35" w:rsidRDefault="00185A35" w:rsidP="00185A35">
      <w:pPr>
        <w:ind w:firstLineChars="200" w:firstLine="562"/>
        <w:rPr>
          <w:rFonts w:ascii="宋体" w:hAnsi="宋体"/>
          <w:b/>
          <w:sz w:val="28"/>
        </w:rPr>
      </w:pPr>
      <w:r w:rsidRPr="00185A35">
        <w:rPr>
          <w:rFonts w:ascii="宋体" w:hAnsi="宋体" w:hint="eastAsia"/>
          <w:b/>
          <w:sz w:val="28"/>
        </w:rPr>
        <w:t>二、服务地方经济迈出新步伐</w:t>
      </w:r>
    </w:p>
    <w:p w:rsidR="00185A35" w:rsidRPr="00185A35" w:rsidRDefault="00185A35" w:rsidP="00185A35">
      <w:pPr>
        <w:ind w:firstLineChars="200" w:firstLine="560"/>
        <w:rPr>
          <w:rFonts w:ascii="宋体" w:hAnsi="宋体"/>
          <w:sz w:val="28"/>
        </w:rPr>
      </w:pPr>
      <w:r w:rsidRPr="00185A35">
        <w:rPr>
          <w:rFonts w:ascii="宋体" w:hAnsi="宋体" w:hint="eastAsia"/>
          <w:sz w:val="28"/>
        </w:rPr>
        <w:t>按照“不落实税收优惠政策就是收过头税”的要求，深入开展对税收优惠政策落实情况的检查和责任追究，确保扶持下岗再就业、促进现代服务业发展、建设节约型社会、促进企业自主创新、加快发展民营经济等方面的税收优惠政策得到不折不扣的落实。全年累计减免各项税收达62亿元。其中减免失业下岗人员再就业税收3.2亿元，技术开发和转让营业税1.82亿元，高新技术和软件企业所得税4.12亿元，劳服企业所得税3.26亿元，民政福利企业所得税25.81亿元，其他23.79亿元。</w:t>
      </w:r>
    </w:p>
    <w:p w:rsidR="00185A35" w:rsidRPr="00185A35" w:rsidRDefault="00185A35" w:rsidP="00185A35">
      <w:pPr>
        <w:ind w:firstLineChars="200" w:firstLine="562"/>
        <w:rPr>
          <w:rFonts w:ascii="宋体" w:hAnsi="宋体"/>
          <w:b/>
          <w:sz w:val="28"/>
        </w:rPr>
      </w:pPr>
      <w:r w:rsidRPr="00185A35">
        <w:rPr>
          <w:rFonts w:ascii="宋体" w:hAnsi="宋体" w:hint="eastAsia"/>
          <w:b/>
          <w:sz w:val="28"/>
        </w:rPr>
        <w:t>三、税收征管质量和效率稳步提高</w:t>
      </w:r>
    </w:p>
    <w:p w:rsidR="00185A35" w:rsidRPr="00185A35" w:rsidRDefault="00185A35" w:rsidP="00185A35">
      <w:pPr>
        <w:ind w:firstLineChars="200" w:firstLine="560"/>
        <w:rPr>
          <w:rFonts w:ascii="宋体" w:hAnsi="宋体"/>
          <w:sz w:val="28"/>
        </w:rPr>
      </w:pPr>
      <w:r w:rsidRPr="00185A35">
        <w:rPr>
          <w:rFonts w:ascii="宋体" w:hAnsi="宋体" w:hint="eastAsia"/>
          <w:sz w:val="28"/>
        </w:rPr>
        <w:t>进一步加强税收分析工作，将税收分析的主要目标转移到为提高</w:t>
      </w:r>
      <w:r w:rsidRPr="00185A35">
        <w:rPr>
          <w:rFonts w:ascii="宋体" w:hAnsi="宋体" w:hint="eastAsia"/>
          <w:sz w:val="28"/>
        </w:rPr>
        <w:lastRenderedPageBreak/>
        <w:t>税收征管质量与效率、更好地组织收入上来，将税收弹性分析、税负分析、重点税源分析、税收关联分析与税收完成情况分析等有机结合，全面完整地反映税收和税源状况，及时、准确地提出加强税收管理的意见和建议。加快税收管理工作的制度建设，出台《江苏省个人出租房屋税收征管暂行办法》，制定《江苏省地方税收保障办法》（草案），推进税收管理的科学化、制度化、规范化。加强税源管理，省局重点税源监控户数达到6124户，监控面接近42%。加强发票管理，大力清理欠税。认真贯彻落实《江苏省地方税务局关于规范税务检查工作的若干意见》，加强征、管、查各环节的业务衔接。通过换发税务登记证，清理漏征漏管户2.68万户，清理税款1497万元，罚款161万元，加收滞纳金20万元。推进纳税评估，全省纳税评估户次为100347户，通过纳税评估增加税款17.6亿元。加强营业税行业管理，做好房地产业税收一体化管理，努力减少行业税收征管的漏洞。切实加强企业所得税管理，建立健全各类台帐，强本固基，稳定税源，同时，认真执行新办企业认定标准，采取加强登记鉴定、严格税款清算和推进部门协作等三项措施，“三转”现象得到有效遏制。大力推进个人所得税全员全额扣缴申报，截至201</w:t>
      </w:r>
      <w:r w:rsidR="00C772E2">
        <w:rPr>
          <w:rFonts w:ascii="宋体" w:hAnsi="宋体"/>
          <w:sz w:val="28"/>
        </w:rPr>
        <w:t>7</w:t>
      </w:r>
      <w:bookmarkStart w:id="0" w:name="_GoBack"/>
      <w:bookmarkEnd w:id="0"/>
      <w:r w:rsidRPr="00185A35">
        <w:rPr>
          <w:rFonts w:ascii="宋体" w:hAnsi="宋体" w:hint="eastAsia"/>
          <w:sz w:val="28"/>
        </w:rPr>
        <w:t>年三季度，全员全额扣缴申报户数达28.65万户，扣缴申报纳税人达991万人次，月申报税款达5.65亿元，为纳税人开具完税证明279万份。制定下发《地方税减免操作规程（试行）》、《关于明确地方税部分税种纳税期限和纳税限额的通知》，同时，严格执行《省政府办公厅关于调整城镇土地使用税税额标准的通知》，促进了地方税收入的增长。</w:t>
      </w:r>
    </w:p>
    <w:p w:rsidR="00185A35" w:rsidRPr="00185A35" w:rsidRDefault="00185A35" w:rsidP="00185A35">
      <w:pPr>
        <w:ind w:firstLineChars="200" w:firstLine="562"/>
        <w:rPr>
          <w:rFonts w:ascii="宋体" w:hAnsi="宋体"/>
          <w:b/>
          <w:sz w:val="28"/>
        </w:rPr>
      </w:pPr>
      <w:r w:rsidRPr="00185A35">
        <w:rPr>
          <w:rFonts w:ascii="宋体" w:hAnsi="宋体" w:hint="eastAsia"/>
          <w:b/>
          <w:sz w:val="28"/>
        </w:rPr>
        <w:lastRenderedPageBreak/>
        <w:t>四、依法治税工作取得新成效</w:t>
      </w:r>
    </w:p>
    <w:p w:rsidR="00185A35" w:rsidRPr="00185A35" w:rsidRDefault="00185A35" w:rsidP="00185A35">
      <w:pPr>
        <w:ind w:firstLineChars="200" w:firstLine="560"/>
        <w:rPr>
          <w:rFonts w:ascii="宋体" w:hAnsi="宋体"/>
          <w:sz w:val="28"/>
        </w:rPr>
      </w:pPr>
      <w:r w:rsidRPr="00185A35">
        <w:rPr>
          <w:rFonts w:ascii="宋体" w:hAnsi="宋体" w:hint="eastAsia"/>
          <w:sz w:val="28"/>
        </w:rPr>
        <w:t>认真贯彻落实组织收入原则，正确处理好依法治税和税收计划的关系。把落实税收执法责任制作为依法治税的一项关键措施来抓，全面推广应用税收执法管理信息系统，实现对税收执法全过程的电子化监督考核，构建起严密的监督网络和监督体系，保障了监督考核的客观性、全面性和公正性，提高了执法监督的质量和效率。严格涉税文件的会签会办和备查备案，加强税务行政复议、应诉工作指导。深入开展税收执法检查，全面规范税收执法行为，促进了税收管理的科学化、精细化。去年四季度，省局组织12个检查组对全省各级地税机关执法情况进行了检查。</w:t>
      </w:r>
    </w:p>
    <w:p w:rsidR="00185A35" w:rsidRPr="00185A35" w:rsidRDefault="00185A35" w:rsidP="00185A35">
      <w:pPr>
        <w:ind w:firstLineChars="200" w:firstLine="562"/>
        <w:rPr>
          <w:rFonts w:ascii="宋体" w:hAnsi="宋体"/>
          <w:b/>
          <w:sz w:val="28"/>
        </w:rPr>
      </w:pPr>
      <w:r w:rsidRPr="00185A35">
        <w:rPr>
          <w:rFonts w:ascii="宋体" w:hAnsi="宋体" w:hint="eastAsia"/>
          <w:b/>
          <w:sz w:val="28"/>
        </w:rPr>
        <w:t>五、电子税务建设步伐加快</w:t>
      </w:r>
    </w:p>
    <w:p w:rsidR="00185A35" w:rsidRPr="00185A35" w:rsidRDefault="00185A35" w:rsidP="00185A35">
      <w:pPr>
        <w:ind w:firstLineChars="200" w:firstLine="560"/>
        <w:rPr>
          <w:rFonts w:ascii="宋体" w:hAnsi="宋体"/>
          <w:sz w:val="28"/>
        </w:rPr>
      </w:pPr>
      <w:r w:rsidRPr="00185A35">
        <w:rPr>
          <w:rFonts w:ascii="宋体" w:hAnsi="宋体" w:hint="eastAsia"/>
          <w:sz w:val="28"/>
        </w:rPr>
        <w:t>按照总局要求编制并完善金税工程三期江苏地税实施方案，做好相关衔接准备工作。组织《征管信息系统2.0版》项目的开发和应用，主体软件已经试点运行并进行了首批推广，整体开发工作也即将完成。认真做好各项配套工作，完成省辖市局数据集中处理，加强对各单项软件的整合与应用。大力推广免费版电子申报软件，推进税款电子缴库联网，全省13个省辖市和36个县（市）实现税款电子缴库。启动行政管理信息系统建设，制定开发总体方案，进一步推进全省地税机关行政管理的信息化建设。加强全系统网络管理，实现对各省辖市局局域网和广域网链路的全面有效监控和管理，完成省局与各省辖市局主干网络的升级。加强企业信用管理，完成全省地税系统纳税人信用数据的归集工作，基本实现与有关部门的信息共享。</w:t>
      </w:r>
    </w:p>
    <w:p w:rsidR="00185A35" w:rsidRPr="00185A35" w:rsidRDefault="00185A35" w:rsidP="00185A35">
      <w:pPr>
        <w:ind w:firstLineChars="200" w:firstLine="562"/>
        <w:rPr>
          <w:rFonts w:ascii="宋体" w:hAnsi="宋体"/>
          <w:b/>
          <w:sz w:val="28"/>
        </w:rPr>
      </w:pPr>
      <w:r w:rsidRPr="00185A35">
        <w:rPr>
          <w:rFonts w:ascii="宋体" w:hAnsi="宋体" w:hint="eastAsia"/>
          <w:b/>
          <w:sz w:val="28"/>
        </w:rPr>
        <w:lastRenderedPageBreak/>
        <w:t>六、整顿和规范税收秩序工作进一步推进</w:t>
      </w:r>
    </w:p>
    <w:p w:rsidR="00185A35" w:rsidRPr="00185A35" w:rsidRDefault="00185A35" w:rsidP="00185A35">
      <w:pPr>
        <w:ind w:firstLineChars="200" w:firstLine="560"/>
        <w:rPr>
          <w:rFonts w:ascii="宋体" w:hAnsi="宋体"/>
          <w:sz w:val="28"/>
        </w:rPr>
      </w:pPr>
      <w:r w:rsidRPr="00185A35">
        <w:rPr>
          <w:rFonts w:ascii="宋体" w:hAnsi="宋体" w:hint="eastAsia"/>
          <w:sz w:val="28"/>
        </w:rPr>
        <w:t>全省各地有效整合现有稽查资源，积极推行分级分类稽查模式，强化对重点行业、重点企业的税务稽查。在分级分类稽查过程中，各地拓展工作思路，创新工作方法，采取交叉检查、异地检查、上下联动等方式，进一步提高了稽查工作的质量和效率，较好地发挥了“以查促管、以查促查”的作用，促进了稽查执法办案水平的提高和稽查查补收入的增长。去年全省实施分级分类稽查共计检查纳税人1045户，同时，各地深入开展整顿和规范税收秩序工作，结合征管实际积极组织税收专项检查和专项治理，严厉查处涉税违法案件，全省共查补收入13.2亿元。</w:t>
      </w:r>
    </w:p>
    <w:p w:rsidR="00185A35" w:rsidRPr="00185A35" w:rsidRDefault="00185A35" w:rsidP="00185A35">
      <w:pPr>
        <w:ind w:firstLineChars="200" w:firstLine="562"/>
        <w:rPr>
          <w:rFonts w:ascii="宋体" w:hAnsi="宋体"/>
          <w:b/>
          <w:sz w:val="28"/>
        </w:rPr>
      </w:pPr>
      <w:r w:rsidRPr="00185A35">
        <w:rPr>
          <w:rFonts w:ascii="宋体" w:hAnsi="宋体" w:hint="eastAsia"/>
          <w:b/>
          <w:sz w:val="28"/>
        </w:rPr>
        <w:t>七、机关作风建设深入开展</w:t>
      </w:r>
    </w:p>
    <w:p w:rsidR="00185A35" w:rsidRPr="00185A35" w:rsidRDefault="00185A35" w:rsidP="00185A35">
      <w:pPr>
        <w:ind w:firstLineChars="200" w:firstLine="560"/>
        <w:rPr>
          <w:rFonts w:ascii="宋体" w:hAnsi="宋体"/>
          <w:sz w:val="28"/>
        </w:rPr>
      </w:pPr>
      <w:r w:rsidRPr="00185A35">
        <w:rPr>
          <w:rFonts w:ascii="宋体" w:hAnsi="宋体" w:hint="eastAsia"/>
          <w:sz w:val="28"/>
        </w:rPr>
        <w:t>坚持以“为民、务实、清廉”为目标，以落实党组公开作出的六项承诺为重点，上下联动，全面推进，深入开展“万名党员进万户”和“服务效能整合提升年”等系列活动，力争地税机关作风建设在万人评议活动中有新进位。认真对纳税人和社会各界反映比较强烈的问题进行查摆和整改，对执法不严和对执法队伍管理不够严的个人和单位严格追究责任，以认真履行承诺、兑现承诺的实际行为取信于民，做到向人民承诺、请人民监督、让人民放心。对以往作风评议中反映的问题及其整改工作集中进行“回头看”，组织开展明察暗访，确保问题得到切实有效的解决。加强对机关作风建设工作的宣传报道，及时将机关作风建设的新成果展现给社会各界，使地税机关作风建设的亮点得到突出，使地税机关良好的形象得到展示。</w:t>
      </w:r>
    </w:p>
    <w:p w:rsidR="00185A35" w:rsidRPr="00185A35" w:rsidRDefault="00185A35" w:rsidP="00185A35">
      <w:pPr>
        <w:ind w:firstLineChars="200" w:firstLine="562"/>
        <w:rPr>
          <w:rFonts w:ascii="宋体" w:hAnsi="宋体"/>
          <w:b/>
          <w:sz w:val="28"/>
        </w:rPr>
      </w:pPr>
      <w:r w:rsidRPr="00185A35">
        <w:rPr>
          <w:rFonts w:ascii="宋体" w:hAnsi="宋体" w:hint="eastAsia"/>
          <w:b/>
          <w:sz w:val="28"/>
        </w:rPr>
        <w:lastRenderedPageBreak/>
        <w:t>八、干部队伍建设不断加强</w:t>
      </w:r>
    </w:p>
    <w:p w:rsidR="00185A35" w:rsidRPr="00185A35" w:rsidRDefault="00185A35" w:rsidP="00185A35">
      <w:pPr>
        <w:ind w:firstLineChars="200" w:firstLine="560"/>
        <w:rPr>
          <w:rFonts w:ascii="宋体" w:hAnsi="宋体"/>
          <w:sz w:val="28"/>
        </w:rPr>
      </w:pPr>
      <w:r w:rsidRPr="00185A35">
        <w:rPr>
          <w:rFonts w:ascii="宋体" w:hAnsi="宋体" w:hint="eastAsia"/>
          <w:sz w:val="28"/>
        </w:rPr>
        <w:t>深入贯彻干部选拔任用条例，不断深化全系统干部人事制度改革，积极开展干部竞争上岗、交流和挂职，选好配强领导班子，增强领导班子的整体功能。加大干部教育和培训力度，创新培训内容，整合培训资源，提高培训质量。组织党员干部认真学习新党章，深入开展保持共产党员先进性教育活动整改措施落实情况的检查，巩固和扩大保持共产党员先进性教育活动成果。组织学习《江泽民文选》，努力做到学懂弄通用好。广泛深入地开展反腐倡廉和社会主义荣辱观宣传教育活动，大力推进廉政文化建设，在全系统树立以廉为荣、以贪为耻的良好风尚。全面落实《税务系统领导班子和领导干部监督管理办法（试行）》，严格执行党风廉政建设责任制和廉洁自律各项规定。深入开展商业贿赂专项治理工作。积极探索、努力构建具有地税特色的教育、制度、监督并重的惩治和预防腐败体系。认真贯彻公务员法，准确执行中央各项政策，做到干部思想不散、单位秩序不乱、各项工作正常运转，保证了各项税收工作任务圆满完成。</w:t>
      </w:r>
    </w:p>
    <w:p w:rsidR="00463F80" w:rsidRPr="00185A35" w:rsidRDefault="00185A35">
      <w:pPr>
        <w:widowControl/>
        <w:jc w:val="left"/>
        <w:rPr>
          <w:noProof/>
        </w:rPr>
      </w:pPr>
      <w:r>
        <w:rPr>
          <w:noProof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1541248</wp:posOffset>
            </wp:positionV>
            <wp:extent cx="5274310" cy="1359970"/>
            <wp:effectExtent l="0" t="0" r="0" b="0"/>
            <wp:wrapNone/>
            <wp:docPr id="6" name="图片 6" descr="C:\Users\Administrator\AppData\Local\Microsoft\Windows\INetCacheContent.Word\壹品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AppData\Local\Microsoft\Windows\INetCacheContent.Word\壹品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359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463F80" w:rsidRPr="00185A35" w:rsidSect="00463F80">
      <w:pgSz w:w="11906" w:h="16838"/>
      <w:pgMar w:top="1440" w:right="1800" w:bottom="1440" w:left="1800" w:header="851" w:footer="992" w:gutter="0"/>
      <w:pgNumType w:start="0"/>
      <w:cols w:space="425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2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391A"/>
    <w:rsid w:val="00014B1E"/>
    <w:rsid w:val="001821B7"/>
    <w:rsid w:val="00185A35"/>
    <w:rsid w:val="001A4318"/>
    <w:rsid w:val="00463F80"/>
    <w:rsid w:val="00504150"/>
    <w:rsid w:val="006256F0"/>
    <w:rsid w:val="00C5391A"/>
    <w:rsid w:val="00C666C7"/>
    <w:rsid w:val="00C77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BF3A66"/>
  <w15:chartTrackingRefBased/>
  <w15:docId w15:val="{F232DD35-A333-4625-A22B-D5A4A44D2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85A3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463F80"/>
    <w:rPr>
      <w:kern w:val="0"/>
      <w:sz w:val="22"/>
    </w:rPr>
  </w:style>
  <w:style w:type="character" w:customStyle="1" w:styleId="a4">
    <w:name w:val="无间隔 字符"/>
    <w:basedOn w:val="a0"/>
    <w:link w:val="a3"/>
    <w:uiPriority w:val="1"/>
    <w:rsid w:val="00463F80"/>
    <w:rPr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438</Words>
  <Characters>2497</Characters>
  <Application>Microsoft Office Word</Application>
  <DocSecurity>0</DocSecurity>
  <Lines>20</Lines>
  <Paragraphs>5</Paragraphs>
  <ScaleCrop>false</ScaleCrop>
  <Company/>
  <LinksUpToDate>false</LinksUpToDate>
  <CharactersWithSpaces>2930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2016年工作总</dc:title>
  <dc:subject/>
  <dc:creator>沿途旅客</dc:creator>
  <cp:keywords/>
  <dc:description/>
  <cp:lastModifiedBy>沿途旅客</cp:lastModifiedBy>
  <cp:revision>7</cp:revision>
  <cp:lastPrinted>2017-12-07T15:46:00Z</cp:lastPrinted>
  <dcterms:created xsi:type="dcterms:W3CDTF">2016-12-07T09:35:00Z</dcterms:created>
  <dcterms:modified xsi:type="dcterms:W3CDTF">2017-12-07T15:46:00Z</dcterms:modified>
</cp:coreProperties>
</file>