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line="240" w:lineRule="auto"/>
        <w:rPr/>
      </w:pPr>
      <w:bookmarkStart w:colFirst="0" w:colLast="0" w:name="_2b0h0brjhbdy" w:id="0"/>
      <w:bookmarkEnd w:id="0"/>
      <w:r w:rsidDel="00000000" w:rsidR="00000000" w:rsidRPr="00000000">
        <w:rPr>
          <w:rtl w:val="0"/>
        </w:rPr>
        <w:t xml:space="preserve">Introduction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FloodLAMP surveillance screening can be run using a variety of physical setups depending on the resources and space that are available and the volume of tests to be run.  The following are lists of </w:t>
      </w:r>
      <w:r w:rsidDel="00000000" w:rsidR="00000000" w:rsidRPr="00000000">
        <w:rPr>
          <w:b w:val="1"/>
          <w:i w:val="1"/>
          <w:rtl w:val="0"/>
        </w:rPr>
        <w:t xml:space="preserve">required</w:t>
      </w:r>
      <w:r w:rsidDel="00000000" w:rsidR="00000000" w:rsidRPr="00000000">
        <w:rPr>
          <w:rtl w:val="0"/>
        </w:rPr>
        <w:t xml:space="preserve"> aspects and </w:t>
      </w:r>
      <w:r w:rsidDel="00000000" w:rsidR="00000000" w:rsidRPr="00000000">
        <w:rPr>
          <w:b w:val="1"/>
          <w:i w:val="1"/>
          <w:rtl w:val="0"/>
        </w:rPr>
        <w:t xml:space="preserve">preferred</w:t>
      </w:r>
      <w:r w:rsidDel="00000000" w:rsidR="00000000" w:rsidRPr="00000000">
        <w:rPr>
          <w:rtl w:val="0"/>
        </w:rPr>
        <w:t xml:space="preserve"> aspects of the test processing space (aka “lab”).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spacing w:line="240" w:lineRule="auto"/>
        <w:rPr/>
      </w:pPr>
      <w:bookmarkStart w:colFirst="0" w:colLast="0" w:name="_j8gbqmkjlcte" w:id="1"/>
      <w:bookmarkEnd w:id="1"/>
      <w:r w:rsidDel="00000000" w:rsidR="00000000" w:rsidRPr="00000000">
        <w:rPr>
          <w:rtl w:val="0"/>
        </w:rPr>
        <w:t xml:space="preserve">Testing Space R</w:t>
      </w:r>
      <w:r w:rsidDel="00000000" w:rsidR="00000000" w:rsidRPr="00000000">
        <w:rPr>
          <w:rtl w:val="0"/>
        </w:rPr>
        <w:t xml:space="preserve">equirements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Controlled access to testing space: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While running assay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Whenever certain testing equipment &amp; materials are not stored / secured elsewhere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Large table (6’)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Space for dedicated mini-freezer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Available power sockets/power strip (standard 110V) for: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Mini-freezer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5 other plugs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1"/>
        <w:spacing w:line="240" w:lineRule="auto"/>
        <w:rPr/>
      </w:pPr>
      <w:bookmarkStart w:colFirst="0" w:colLast="0" w:name="_pf0sqcq1ahh5" w:id="2"/>
      <w:bookmarkEnd w:id="2"/>
      <w:r w:rsidDel="00000000" w:rsidR="00000000" w:rsidRPr="00000000">
        <w:rPr>
          <w:rtl w:val="0"/>
        </w:rPr>
        <w:t xml:space="preserve">Preferred Testing Space Features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Dedicated room with access control (i.e., locks)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Non-carpeted floor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3 separate table (smooth plastic for easy cleaning)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Continuous wifi to enable </w:t>
      </w:r>
      <w:r w:rsidDel="00000000" w:rsidR="00000000" w:rsidRPr="00000000">
        <w:rPr>
          <w:rtl w:val="0"/>
        </w:rPr>
        <w:t xml:space="preserve">remote freezer temperature monitoring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Space for dedicated mini-refrigerator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Power sockets/strip (standard 110V) additionally for: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Mini-refrigerator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Temperature monitoring hub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Light box</w:t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spacing w:line="240" w:lineRule="auto"/>
        <w:rPr/>
      </w:pPr>
      <w:bookmarkStart w:colFirst="0" w:colLast="0" w:name="_dutn6mh00wh6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spacing w:line="240" w:lineRule="auto"/>
        <w:rPr/>
      </w:pPr>
      <w:bookmarkStart w:colFirst="0" w:colLast="0" w:name="_nqzvwsicw3hi" w:id="4"/>
      <w:bookmarkEnd w:id="4"/>
      <w:r w:rsidDel="00000000" w:rsidR="00000000" w:rsidRPr="00000000">
        <w:rPr>
          <w:rtl w:val="0"/>
        </w:rPr>
        <w:t xml:space="preserve">Acceptable Facility Setup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Single table in a room that is dedicated but used for multiple stations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/>
        <w:drawing>
          <wp:inline distB="19050" distT="19050" distL="19050" distR="19050">
            <wp:extent cx="5434013" cy="3752056"/>
            <wp:effectExtent b="0" l="0" r="0" t="0"/>
            <wp:docPr id="7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34013" cy="37520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firstLine="0"/>
        <w:rPr/>
      </w:pPr>
      <w:r w:rsidDel="00000000" w:rsidR="00000000" w:rsidRPr="00000000">
        <w:rPr/>
        <w:drawing>
          <wp:inline distB="19050" distT="19050" distL="19050" distR="19050">
            <wp:extent cx="5453063" cy="3767192"/>
            <wp:effectExtent b="0" l="0" r="0" t="0"/>
            <wp:docPr id="8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53063" cy="37671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rPr/>
      </w:pPr>
      <w:bookmarkStart w:colFirst="0" w:colLast="0" w:name="_x82ncpjm2av" w:id="5"/>
      <w:bookmarkEnd w:id="5"/>
      <w:r w:rsidDel="00000000" w:rsidR="00000000" w:rsidRPr="00000000">
        <w:rPr>
          <w:rtl w:val="0"/>
        </w:rPr>
        <w:t xml:space="preserve">Preferred Facility Setup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Dedicated room, controlled access, dedicated tables for different stations</w:t>
      </w:r>
    </w:p>
    <w:p w:rsidR="00000000" w:rsidDel="00000000" w:rsidP="00000000" w:rsidRDefault="00000000" w:rsidRPr="00000000" w14:paraId="00000029">
      <w:pPr>
        <w:ind w:left="0" w:firstLine="0"/>
        <w:rPr/>
      </w:pPr>
      <w:r w:rsidDel="00000000" w:rsidR="00000000" w:rsidRPr="00000000">
        <w:rPr/>
        <w:drawing>
          <wp:inline distB="19050" distT="19050" distL="19050" distR="19050">
            <wp:extent cx="5560505" cy="3367088"/>
            <wp:effectExtent b="0" l="0" r="0" t="0"/>
            <wp:docPr id="5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 b="3620" l="0" r="0" t="28211"/>
                    <a:stretch>
                      <a:fillRect/>
                    </a:stretch>
                  </pic:blipFill>
                  <pic:spPr>
                    <a:xfrm>
                      <a:off x="0" y="0"/>
                      <a:ext cx="5560505" cy="3367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0" w:firstLine="0"/>
        <w:rPr/>
      </w:pPr>
      <w:r w:rsidDel="00000000" w:rsidR="00000000" w:rsidRPr="00000000">
        <w:rPr/>
        <w:drawing>
          <wp:inline distB="19050" distT="19050" distL="19050" distR="19050">
            <wp:extent cx="5567363" cy="3493247"/>
            <wp:effectExtent b="0" l="0" r="0" t="0"/>
            <wp:docPr id="1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 b="10921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67363" cy="34932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1"/>
        <w:rPr/>
      </w:pPr>
      <w:bookmarkStart w:colFirst="0" w:colLast="0" w:name="_z8u4eutririq" w:id="6"/>
      <w:bookmarkEnd w:id="6"/>
      <w:r w:rsidDel="00000000" w:rsidR="00000000" w:rsidRPr="00000000">
        <w:rPr>
          <w:rtl w:val="0"/>
        </w:rPr>
        <w:t xml:space="preserve">Other Setups</w:t>
      </w:r>
    </w:p>
    <w:p w:rsidR="00000000" w:rsidDel="00000000" w:rsidP="00000000" w:rsidRDefault="00000000" w:rsidRPr="00000000" w14:paraId="0000002F">
      <w:pPr>
        <w:ind w:left="0" w:firstLine="0"/>
        <w:rPr/>
      </w:pPr>
      <w:r w:rsidDel="00000000" w:rsidR="00000000" w:rsidRPr="00000000">
        <w:rPr/>
        <w:drawing>
          <wp:inline distB="19050" distT="19050" distL="19050" distR="19050">
            <wp:extent cx="5981690" cy="4700588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81690" cy="4700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rPr/>
      </w:pPr>
      <w:r w:rsidDel="00000000" w:rsidR="00000000" w:rsidRPr="00000000">
        <w:rPr/>
        <w:drawing>
          <wp:inline distB="19050" distT="19050" distL="19050" distR="19050">
            <wp:extent cx="5967413" cy="2623742"/>
            <wp:effectExtent b="0" l="0" r="0" t="0"/>
            <wp:docPr id="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2076" l="0" r="0" t="1342"/>
                    <a:stretch>
                      <a:fillRect/>
                    </a:stretch>
                  </pic:blipFill>
                  <pic:spPr>
                    <a:xfrm>
                      <a:off x="0" y="0"/>
                      <a:ext cx="5967413" cy="26237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rPr/>
      </w:pPr>
      <w:bookmarkStart w:colFirst="0" w:colLast="0" w:name="_ce9j1at20pj0" w:id="7"/>
      <w:bookmarkEnd w:id="7"/>
      <w:r w:rsidDel="00000000" w:rsidR="00000000" w:rsidRPr="00000000">
        <w:rPr>
          <w:rtl w:val="0"/>
        </w:rPr>
        <w:t xml:space="preserve">Mobile Operation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/>
        <w:drawing>
          <wp:inline distB="19050" distT="19050" distL="19050" distR="19050">
            <wp:extent cx="3367088" cy="3801849"/>
            <wp:effectExtent b="0" l="0" r="0" t="0"/>
            <wp:docPr id="6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67088" cy="3801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9050" distT="19050" distL="19050" distR="19050">
            <wp:extent cx="2809235" cy="3767138"/>
            <wp:effectExtent b="0" l="0" r="0" t="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09235" cy="3767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/>
      </w:pPr>
      <w:r w:rsidDel="00000000" w:rsidR="00000000" w:rsidRPr="00000000">
        <w:rPr/>
        <w:drawing>
          <wp:inline distB="19050" distT="19050" distL="19050" distR="19050">
            <wp:extent cx="5327666" cy="4033724"/>
            <wp:effectExtent b="0" l="0" r="0" t="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27666" cy="40337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15" w:type="default"/>
      <w:headerReference r:id="rId16" w:type="first"/>
      <w:footerReference r:id="rId17" w:type="default"/>
      <w:footerReference r:id="rId18" w:type="first"/>
      <w:pgSz w:h="15840" w:w="12240" w:orient="portrait"/>
      <w:pgMar w:bottom="1080" w:top="1080" w:left="1080" w:right="1080" w:header="720" w:footer="28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6">
    <w:pPr>
      <w:jc w:val="both"/>
      <w:rPr>
        <w:rFonts w:ascii="Poppins" w:cs="Poppins" w:eastAsia="Poppins" w:hAnsi="Poppins"/>
        <w:sz w:val="18"/>
        <w:szCs w:val="18"/>
      </w:rPr>
    </w:pPr>
    <w:r w:rsidDel="00000000" w:rsidR="00000000" w:rsidRPr="00000000">
      <w:rPr>
        <w:rFonts w:ascii="Poppins" w:cs="Poppins" w:eastAsia="Poppins" w:hAnsi="Poppins"/>
        <w:b w:val="1"/>
        <w:sz w:val="18"/>
        <w:szCs w:val="18"/>
        <w:rtl w:val="0"/>
      </w:rPr>
      <w:t xml:space="preserve">FloodLAMP Biotechnologies</w:t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 xml:space="preserve">, a Public Benefit Corporation</w:t>
      <w:tab/>
      <w:t xml:space="preserve">floodlamp.bio  •  support@floodlamp.bio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9">
    <w:pPr>
      <w:pageBreakBefore w:val="0"/>
      <w:jc w:val="both"/>
      <w:rPr>
        <w:rFonts w:ascii="Poppins" w:cs="Poppins" w:eastAsia="Poppins" w:hAnsi="Poppins"/>
        <w:sz w:val="18"/>
        <w:szCs w:val="18"/>
      </w:rPr>
    </w:pPr>
    <w:r w:rsidDel="00000000" w:rsidR="00000000" w:rsidRPr="00000000">
      <w:rPr>
        <w:rFonts w:ascii="Poppins" w:cs="Poppins" w:eastAsia="Poppins" w:hAnsi="Poppins"/>
        <w:b w:val="1"/>
        <w:sz w:val="18"/>
        <w:szCs w:val="18"/>
        <w:rtl w:val="0"/>
      </w:rPr>
      <w:t xml:space="preserve">FloodLAMP Biotechnologies</w:t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 xml:space="preserve">, a Public Benefit Corporation</w:t>
      <w:tab/>
      <w:t xml:space="preserve">floodlamp.bio  •  support@floodlamp.bio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7">
    <w:pPr>
      <w:pageBreakBefore w:val="0"/>
      <w:ind w:left="0" w:firstLine="0"/>
      <w:jc w:val="center"/>
      <w:rPr>
        <w:rFonts w:ascii="Poppins" w:cs="Poppins" w:eastAsia="Poppins" w:hAnsi="Poppins"/>
        <w:b w:val="1"/>
        <w:sz w:val="34"/>
        <w:szCs w:val="34"/>
      </w:rPr>
    </w:pPr>
    <w:r w:rsidDel="00000000" w:rsidR="00000000" w:rsidRPr="00000000">
      <w:rPr>
        <w:rFonts w:ascii="Poppins" w:cs="Poppins" w:eastAsia="Poppins" w:hAnsi="Poppins"/>
        <w:b w:val="1"/>
        <w:sz w:val="34"/>
        <w:szCs w:val="34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5429250</wp:posOffset>
          </wp:positionH>
          <wp:positionV relativeFrom="page">
            <wp:posOffset>393722</wp:posOffset>
          </wp:positionV>
          <wp:extent cx="530104" cy="449241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0104" cy="44924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Poppins" w:cs="Poppins" w:eastAsia="Poppins" w:hAnsi="Poppins"/>
        <w:b w:val="1"/>
        <w:sz w:val="34"/>
        <w:szCs w:val="34"/>
        <w:rtl w:val="0"/>
      </w:rPr>
      <w:t xml:space="preserve">FloodLAMP Biotechnologies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pageBreakBefore w:val="0"/>
      <w:ind w:left="0" w:firstLine="0"/>
      <w:jc w:val="center"/>
      <w:rPr>
        <w:rFonts w:ascii="Poppins" w:cs="Poppins" w:eastAsia="Poppins" w:hAnsi="Poppins"/>
        <w:color w:val="666666"/>
        <w:sz w:val="20"/>
        <w:szCs w:val="20"/>
      </w:rPr>
    </w:pPr>
    <w:r w:rsidDel="00000000" w:rsidR="00000000" w:rsidRPr="00000000">
      <w:rPr>
        <w:rFonts w:ascii="Poppins" w:cs="Poppins" w:eastAsia="Poppins" w:hAnsi="Poppins"/>
        <w:color w:val="666666"/>
        <w:sz w:val="20"/>
        <w:szCs w:val="20"/>
        <w:rtl w:val="0"/>
      </w:rPr>
      <w:t xml:space="preserve">Mass screening for infectious disease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A">
    <w:pPr>
      <w:jc w:val="center"/>
      <w:rPr>
        <w:rFonts w:ascii="Poppins" w:cs="Poppins" w:eastAsia="Poppins" w:hAnsi="Poppins"/>
        <w:color w:val="666666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sz w:val="24"/>
      <w:szCs w:val="24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3" Type="http://schemas.openxmlformats.org/officeDocument/2006/relationships/image" Target="media/image6.pn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jpg"/><Relationship Id="rId15" Type="http://schemas.openxmlformats.org/officeDocument/2006/relationships/header" Target="header2.xml"/><Relationship Id="rId14" Type="http://schemas.openxmlformats.org/officeDocument/2006/relationships/image" Target="media/image10.png"/><Relationship Id="rId17" Type="http://schemas.openxmlformats.org/officeDocument/2006/relationships/footer" Target="footer1.xml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8.png"/><Relationship Id="rId18" Type="http://schemas.openxmlformats.org/officeDocument/2006/relationships/footer" Target="footer2.xml"/><Relationship Id="rId7" Type="http://schemas.openxmlformats.org/officeDocument/2006/relationships/image" Target="media/image9.png"/><Relationship Id="rId8" Type="http://schemas.openxmlformats.org/officeDocument/2006/relationships/image" Target="media/image5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oppins-regular.ttf"/><Relationship Id="rId6" Type="http://schemas.openxmlformats.org/officeDocument/2006/relationships/font" Target="fonts/Poppins-bold.ttf"/><Relationship Id="rId7" Type="http://schemas.openxmlformats.org/officeDocument/2006/relationships/font" Target="fonts/Poppins-italic.ttf"/><Relationship Id="rId8" Type="http://schemas.openxmlformats.org/officeDocument/2006/relationships/font" Target="fonts/Poppi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