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before="80"/>
        <w:ind w:left="458" w:right="538" w:firstLine="0"/>
        <w:jc w:val="center"/>
        <w:rPr>
          <w:b/>
          <w:sz w:val="56"/>
        </w:rPr>
      </w:pPr>
      <w:r>
        <w:rPr>
          <w:b/>
          <w:sz w:val="56"/>
        </w:rPr>
        <w:t>Policy</w:t>
      </w:r>
      <w:r>
        <w:rPr>
          <w:b/>
          <w:spacing w:val="-12"/>
          <w:sz w:val="56"/>
        </w:rPr>
        <w:t> </w:t>
      </w:r>
      <w:r>
        <w:rPr>
          <w:b/>
          <w:sz w:val="56"/>
        </w:rPr>
        <w:t>for</w:t>
      </w:r>
      <w:r>
        <w:rPr>
          <w:b/>
          <w:spacing w:val="-13"/>
          <w:sz w:val="56"/>
        </w:rPr>
        <w:t> </w:t>
      </w:r>
      <w:r>
        <w:rPr>
          <w:b/>
          <w:sz w:val="56"/>
        </w:rPr>
        <w:t>Coronavirus</w:t>
      </w:r>
      <w:r>
        <w:rPr>
          <w:b/>
          <w:spacing w:val="-13"/>
          <w:sz w:val="56"/>
        </w:rPr>
        <w:t> </w:t>
      </w:r>
      <w:r>
        <w:rPr>
          <w:b/>
          <w:sz w:val="56"/>
        </w:rPr>
        <w:t>Disease-2019 Tests During the Public Health Emergency (Revised)</w:t>
      </w:r>
    </w:p>
    <w:p>
      <w:pPr>
        <w:pStyle w:val="BodyText"/>
        <w:spacing w:before="5"/>
        <w:rPr>
          <w:b/>
          <w:sz w:val="15"/>
        </w:rPr>
      </w:pPr>
      <w:r>
        <w:rPr/>
        <mc:AlternateContent>
          <mc:Choice Requires="wps">
            <w:drawing>
              <wp:anchor distT="0" distB="0" distL="0" distR="0" allowOverlap="1" layoutInCell="1" locked="0" behindDoc="1" simplePos="0" relativeHeight="487587840">
                <wp:simplePos x="0" y="0"/>
                <wp:positionH relativeFrom="page">
                  <wp:posOffset>895350</wp:posOffset>
                </wp:positionH>
                <wp:positionV relativeFrom="paragraph">
                  <wp:posOffset>128543</wp:posOffset>
                </wp:positionV>
                <wp:extent cx="5982335" cy="6350"/>
                <wp:effectExtent l="0" t="0" r="0" b="0"/>
                <wp:wrapTopAndBottom/>
                <wp:docPr id="3" name="Graphic 3"/>
                <wp:cNvGraphicFramePr>
                  <a:graphicFrameLocks/>
                </wp:cNvGraphicFramePr>
                <a:graphic>
                  <a:graphicData uri="http://schemas.microsoft.com/office/word/2010/wordprocessingShape">
                    <wps:wsp>
                      <wps:cNvPr id="3" name="Graphic 3"/>
                      <wps:cNvSpPr/>
                      <wps:spPr>
                        <a:xfrm>
                          <a:off x="0" y="0"/>
                          <a:ext cx="5982335" cy="6350"/>
                        </a:xfrm>
                        <a:custGeom>
                          <a:avLst/>
                          <a:gdLst/>
                          <a:ahLst/>
                          <a:cxnLst/>
                          <a:rect l="l" t="t" r="r" b="b"/>
                          <a:pathLst>
                            <a:path w="5982335" h="6350">
                              <a:moveTo>
                                <a:pt x="5981712" y="0"/>
                              </a:moveTo>
                              <a:lnTo>
                                <a:pt x="0" y="0"/>
                              </a:lnTo>
                              <a:lnTo>
                                <a:pt x="0" y="6096"/>
                              </a:lnTo>
                              <a:lnTo>
                                <a:pt x="5981712" y="6096"/>
                              </a:lnTo>
                              <a:lnTo>
                                <a:pt x="59817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0.5pt;margin-top:10.121563pt;width:471.001pt;height:.48pt;mso-position-horizontal-relative:page;mso-position-vertical-relative:paragraph;z-index:-15728640;mso-wrap-distance-left:0;mso-wrap-distance-right:0" id="docshape3" filled="true" fillcolor="#000000" stroked="false">
                <v:fill type="solid"/>
                <w10:wrap type="topAndBottom"/>
              </v:rect>
            </w:pict>
          </mc:Fallback>
        </mc:AlternateContent>
      </w:r>
    </w:p>
    <w:p>
      <w:pPr>
        <w:spacing w:before="1"/>
        <w:ind w:left="460" w:right="538" w:firstLine="0"/>
        <w:jc w:val="center"/>
        <w:rPr>
          <w:b/>
          <w:sz w:val="56"/>
        </w:rPr>
      </w:pPr>
      <w:r>
        <w:rPr>
          <w:b/>
          <w:sz w:val="56"/>
        </w:rPr>
        <w:t>Immediately</w:t>
      </w:r>
      <w:r>
        <w:rPr>
          <w:b/>
          <w:spacing w:val="-10"/>
          <w:sz w:val="56"/>
        </w:rPr>
        <w:t> </w:t>
      </w:r>
      <w:r>
        <w:rPr>
          <w:b/>
          <w:sz w:val="56"/>
        </w:rPr>
        <w:t>in</w:t>
      </w:r>
      <w:r>
        <w:rPr>
          <w:b/>
          <w:spacing w:val="-9"/>
          <w:sz w:val="56"/>
        </w:rPr>
        <w:t> </w:t>
      </w:r>
      <w:r>
        <w:rPr>
          <w:b/>
          <w:sz w:val="56"/>
        </w:rPr>
        <w:t>Effect</w:t>
      </w:r>
      <w:r>
        <w:rPr>
          <w:b/>
          <w:spacing w:val="-10"/>
          <w:sz w:val="56"/>
        </w:rPr>
        <w:t> </w:t>
      </w:r>
      <w:r>
        <w:rPr>
          <w:b/>
          <w:sz w:val="56"/>
        </w:rPr>
        <w:t>Guidance</w:t>
      </w:r>
      <w:r>
        <w:rPr>
          <w:b/>
          <w:spacing w:val="-11"/>
          <w:sz w:val="56"/>
        </w:rPr>
        <w:t> </w:t>
      </w:r>
      <w:r>
        <w:rPr>
          <w:b/>
          <w:sz w:val="56"/>
        </w:rPr>
        <w:t>for Clinical Laboratories, Commercial Manufacturers, and</w:t>
      </w:r>
    </w:p>
    <w:p>
      <w:pPr>
        <w:spacing w:before="1"/>
        <w:ind w:left="462" w:right="538" w:firstLine="0"/>
        <w:jc w:val="center"/>
        <w:rPr>
          <w:b/>
          <w:sz w:val="56"/>
        </w:rPr>
      </w:pPr>
      <w:r>
        <w:rPr>
          <w:b/>
          <w:sz w:val="56"/>
        </w:rPr>
        <w:t>Food</w:t>
      </w:r>
      <w:r>
        <w:rPr>
          <w:b/>
          <w:spacing w:val="-6"/>
          <w:sz w:val="56"/>
        </w:rPr>
        <w:t> </w:t>
      </w:r>
      <w:r>
        <w:rPr>
          <w:b/>
          <w:sz w:val="56"/>
        </w:rPr>
        <w:t>and</w:t>
      </w:r>
      <w:r>
        <w:rPr>
          <w:b/>
          <w:spacing w:val="-4"/>
          <w:sz w:val="56"/>
        </w:rPr>
        <w:t> </w:t>
      </w:r>
      <w:r>
        <w:rPr>
          <w:b/>
          <w:sz w:val="56"/>
        </w:rPr>
        <w:t>Drug</w:t>
      </w:r>
      <w:r>
        <w:rPr>
          <w:b/>
          <w:spacing w:val="-2"/>
          <w:sz w:val="56"/>
        </w:rPr>
        <w:t> </w:t>
      </w:r>
      <w:r>
        <w:rPr>
          <w:b/>
          <w:sz w:val="56"/>
        </w:rPr>
        <w:t>Administration</w:t>
      </w:r>
      <w:r>
        <w:rPr>
          <w:b/>
          <w:spacing w:val="-3"/>
          <w:sz w:val="56"/>
        </w:rPr>
        <w:t> </w:t>
      </w:r>
      <w:r>
        <w:rPr>
          <w:b/>
          <w:spacing w:val="-2"/>
          <w:sz w:val="56"/>
        </w:rPr>
        <w:t>Staff</w:t>
      </w:r>
    </w:p>
    <w:p>
      <w:pPr>
        <w:spacing w:before="276"/>
        <w:ind w:left="462" w:right="538" w:firstLine="0"/>
        <w:jc w:val="center"/>
        <w:rPr>
          <w:b/>
          <w:sz w:val="28"/>
        </w:rPr>
      </w:pPr>
      <w:r>
        <w:rPr>
          <w:b/>
          <w:sz w:val="28"/>
        </w:rPr>
        <w:t>Document</w:t>
      </w:r>
      <w:r>
        <w:rPr>
          <w:b/>
          <w:spacing w:val="-7"/>
          <w:sz w:val="28"/>
        </w:rPr>
        <w:t> </w:t>
      </w:r>
      <w:r>
        <w:rPr>
          <w:b/>
          <w:sz w:val="28"/>
        </w:rPr>
        <w:t>issued</w:t>
      </w:r>
      <w:r>
        <w:rPr>
          <w:b/>
          <w:spacing w:val="-6"/>
          <w:sz w:val="28"/>
        </w:rPr>
        <w:t> </w:t>
      </w:r>
      <w:r>
        <w:rPr>
          <w:b/>
          <w:sz w:val="28"/>
        </w:rPr>
        <w:t>on</w:t>
      </w:r>
      <w:r>
        <w:rPr>
          <w:b/>
          <w:spacing w:val="-6"/>
          <w:sz w:val="28"/>
        </w:rPr>
        <w:t> </w:t>
      </w:r>
      <w:r>
        <w:rPr>
          <w:b/>
          <w:sz w:val="28"/>
        </w:rPr>
        <w:t>the</w:t>
      </w:r>
      <w:r>
        <w:rPr>
          <w:b/>
          <w:spacing w:val="-6"/>
          <w:sz w:val="28"/>
        </w:rPr>
        <w:t> </w:t>
      </w:r>
      <w:r>
        <w:rPr>
          <w:b/>
          <w:sz w:val="28"/>
        </w:rPr>
        <w:t>web</w:t>
      </w:r>
      <w:r>
        <w:rPr>
          <w:b/>
          <w:spacing w:val="-4"/>
          <w:sz w:val="28"/>
        </w:rPr>
        <w:t> </w:t>
      </w:r>
      <w:r>
        <w:rPr>
          <w:b/>
          <w:sz w:val="28"/>
        </w:rPr>
        <w:t>on</w:t>
      </w:r>
      <w:r>
        <w:rPr>
          <w:b/>
          <w:spacing w:val="-7"/>
          <w:sz w:val="28"/>
        </w:rPr>
        <w:t> </w:t>
      </w:r>
      <w:r>
        <w:rPr>
          <w:b/>
          <w:sz w:val="28"/>
        </w:rPr>
        <w:t>May</w:t>
      </w:r>
      <w:r>
        <w:rPr>
          <w:b/>
          <w:spacing w:val="-6"/>
          <w:sz w:val="28"/>
        </w:rPr>
        <w:t> </w:t>
      </w:r>
      <w:r>
        <w:rPr>
          <w:b/>
          <w:sz w:val="28"/>
        </w:rPr>
        <w:t>4,</w:t>
      </w:r>
      <w:r>
        <w:rPr>
          <w:b/>
          <w:spacing w:val="-7"/>
          <w:sz w:val="28"/>
        </w:rPr>
        <w:t> </w:t>
      </w:r>
      <w:r>
        <w:rPr>
          <w:b/>
          <w:spacing w:val="-2"/>
          <w:sz w:val="28"/>
        </w:rPr>
        <w:t>2020.</w:t>
      </w:r>
    </w:p>
    <w:p>
      <w:pPr>
        <w:pStyle w:val="BodyText"/>
        <w:spacing w:before="10"/>
        <w:rPr>
          <w:b/>
          <w:sz w:val="27"/>
        </w:rPr>
      </w:pPr>
    </w:p>
    <w:p>
      <w:pPr>
        <w:spacing w:before="0"/>
        <w:ind w:left="467" w:right="545" w:firstLine="0"/>
        <w:jc w:val="center"/>
        <w:rPr>
          <w:b/>
          <w:sz w:val="28"/>
        </w:rPr>
      </w:pPr>
      <w:r>
        <w:rPr>
          <w:b/>
          <w:sz w:val="28"/>
        </w:rPr>
        <w:t>This document supersedes </w:t>
      </w:r>
      <w:r>
        <w:rPr>
          <w:sz w:val="24"/>
        </w:rPr>
        <w:t>“</w:t>
      </w:r>
      <w:r>
        <w:rPr>
          <w:b/>
          <w:sz w:val="28"/>
        </w:rPr>
        <w:t>Policy for Diagnostic Tests for Coronavirus Disease-2019</w:t>
      </w:r>
      <w:r>
        <w:rPr>
          <w:b/>
          <w:spacing w:val="-5"/>
          <w:sz w:val="28"/>
        </w:rPr>
        <w:t> </w:t>
      </w:r>
      <w:r>
        <w:rPr>
          <w:b/>
          <w:sz w:val="28"/>
        </w:rPr>
        <w:t>during</w:t>
      </w:r>
      <w:r>
        <w:rPr>
          <w:b/>
          <w:spacing w:val="-5"/>
          <w:sz w:val="28"/>
        </w:rPr>
        <w:t> </w:t>
      </w:r>
      <w:r>
        <w:rPr>
          <w:b/>
          <w:sz w:val="28"/>
        </w:rPr>
        <w:t>the</w:t>
      </w:r>
      <w:r>
        <w:rPr>
          <w:b/>
          <w:spacing w:val="-6"/>
          <w:sz w:val="28"/>
        </w:rPr>
        <w:t> </w:t>
      </w:r>
      <w:r>
        <w:rPr>
          <w:b/>
          <w:sz w:val="28"/>
        </w:rPr>
        <w:t>Public</w:t>
      </w:r>
      <w:r>
        <w:rPr>
          <w:b/>
          <w:spacing w:val="-6"/>
          <w:sz w:val="28"/>
        </w:rPr>
        <w:t> </w:t>
      </w:r>
      <w:r>
        <w:rPr>
          <w:b/>
          <w:sz w:val="28"/>
        </w:rPr>
        <w:t>Health</w:t>
      </w:r>
      <w:r>
        <w:rPr>
          <w:b/>
          <w:spacing w:val="-5"/>
          <w:sz w:val="28"/>
        </w:rPr>
        <w:t> </w:t>
      </w:r>
      <w:r>
        <w:rPr>
          <w:b/>
          <w:sz w:val="28"/>
        </w:rPr>
        <w:t>Emergency:</w:t>
      </w:r>
      <w:r>
        <w:rPr>
          <w:b/>
          <w:spacing w:val="-15"/>
          <w:sz w:val="28"/>
        </w:rPr>
        <w:t> </w:t>
      </w:r>
      <w:r>
        <w:rPr>
          <w:b/>
          <w:sz w:val="28"/>
        </w:rPr>
        <w:t>Immediately</w:t>
      </w:r>
      <w:r>
        <w:rPr>
          <w:b/>
          <w:spacing w:val="-5"/>
          <w:sz w:val="28"/>
        </w:rPr>
        <w:t> </w:t>
      </w:r>
      <w:r>
        <w:rPr>
          <w:b/>
          <w:sz w:val="28"/>
        </w:rPr>
        <w:t>in</w:t>
      </w:r>
      <w:r>
        <w:rPr>
          <w:b/>
          <w:spacing w:val="-5"/>
          <w:sz w:val="28"/>
        </w:rPr>
        <w:t> </w:t>
      </w:r>
      <w:r>
        <w:rPr>
          <w:b/>
          <w:sz w:val="28"/>
        </w:rPr>
        <w:t>Effect Guidance for Clinical Laboratories, Commercial Manufacturers, and Food and Drug Administration Staff” issued March 16, 2020.</w:t>
      </w:r>
    </w:p>
    <w:p>
      <w:pPr>
        <w:pStyle w:val="BodyText"/>
        <w:rPr>
          <w:b/>
          <w:sz w:val="30"/>
        </w:rPr>
      </w:pPr>
    </w:p>
    <w:p>
      <w:pPr>
        <w:pStyle w:val="BodyText"/>
        <w:rPr>
          <w:b/>
          <w:sz w:val="30"/>
        </w:rPr>
      </w:pPr>
    </w:p>
    <w:p>
      <w:pPr>
        <w:pStyle w:val="BodyText"/>
        <w:rPr>
          <w:b/>
          <w:sz w:val="30"/>
        </w:rPr>
      </w:pPr>
    </w:p>
    <w:p>
      <w:pPr>
        <w:pStyle w:val="BodyText"/>
        <w:rPr>
          <w:b/>
          <w:sz w:val="30"/>
        </w:rPr>
      </w:pPr>
    </w:p>
    <w:p>
      <w:pPr>
        <w:pStyle w:val="BodyText"/>
        <w:rPr>
          <w:b/>
          <w:sz w:val="30"/>
        </w:rPr>
      </w:pPr>
    </w:p>
    <w:p>
      <w:pPr>
        <w:pStyle w:val="BodyText"/>
        <w:rPr>
          <w:b/>
          <w:sz w:val="30"/>
        </w:rPr>
      </w:pPr>
    </w:p>
    <w:p>
      <w:pPr>
        <w:pStyle w:val="Heading5"/>
        <w:spacing w:before="185"/>
        <w:ind w:left="3242" w:right="2001" w:hanging="863"/>
      </w:pPr>
      <w:r>
        <w:rPr/>
        <w:t>U.S.</w:t>
      </w:r>
      <w:r>
        <w:rPr>
          <w:spacing w:val="-6"/>
        </w:rPr>
        <w:t> </w:t>
      </w:r>
      <w:r>
        <w:rPr/>
        <w:t>Department</w:t>
      </w:r>
      <w:r>
        <w:rPr>
          <w:spacing w:val="-6"/>
        </w:rPr>
        <w:t> </w:t>
      </w:r>
      <w:r>
        <w:rPr/>
        <w:t>of</w:t>
      </w:r>
      <w:r>
        <w:rPr>
          <w:spacing w:val="-7"/>
        </w:rPr>
        <w:t> </w:t>
      </w:r>
      <w:r>
        <w:rPr/>
        <w:t>Health</w:t>
      </w:r>
      <w:r>
        <w:rPr>
          <w:spacing w:val="-7"/>
        </w:rPr>
        <w:t> </w:t>
      </w:r>
      <w:r>
        <w:rPr/>
        <w:t>and</w:t>
      </w:r>
      <w:r>
        <w:rPr>
          <w:spacing w:val="-7"/>
        </w:rPr>
        <w:t> </w:t>
      </w:r>
      <w:r>
        <w:rPr/>
        <w:t>Human</w:t>
      </w:r>
      <w:r>
        <w:rPr>
          <w:spacing w:val="-7"/>
        </w:rPr>
        <w:t> </w:t>
      </w:r>
      <w:r>
        <w:rPr/>
        <w:t>Services Food and Drug Administration</w:t>
      </w:r>
    </w:p>
    <w:p>
      <w:pPr>
        <w:pStyle w:val="Heading5"/>
        <w:ind w:left="2616"/>
      </w:pPr>
      <w:r>
        <w:rPr/>
        <w:t>Center</w:t>
      </w:r>
      <w:r>
        <w:rPr>
          <w:spacing w:val="-4"/>
        </w:rPr>
        <w:t> </w:t>
      </w:r>
      <w:r>
        <w:rPr/>
        <w:t>for</w:t>
      </w:r>
      <w:r>
        <w:rPr>
          <w:spacing w:val="-2"/>
        </w:rPr>
        <w:t> </w:t>
      </w:r>
      <w:r>
        <w:rPr/>
        <w:t>Devices</w:t>
      </w:r>
      <w:r>
        <w:rPr>
          <w:spacing w:val="-2"/>
        </w:rPr>
        <w:t> </w:t>
      </w:r>
      <w:r>
        <w:rPr/>
        <w:t>and</w:t>
      </w:r>
      <w:r>
        <w:rPr>
          <w:spacing w:val="-2"/>
        </w:rPr>
        <w:t> </w:t>
      </w:r>
      <w:r>
        <w:rPr/>
        <w:t>Radiological</w:t>
      </w:r>
      <w:r>
        <w:rPr>
          <w:spacing w:val="-1"/>
        </w:rPr>
        <w:t> </w:t>
      </w:r>
      <w:r>
        <w:rPr>
          <w:spacing w:val="-2"/>
        </w:rPr>
        <w:t>Health</w:t>
      </w:r>
    </w:p>
    <w:p>
      <w:pPr>
        <w:spacing w:after="0"/>
        <w:sectPr>
          <w:headerReference w:type="default" r:id="rId5"/>
          <w:footerReference w:type="default" r:id="rId6"/>
          <w:type w:val="continuous"/>
          <w:pgSz w:w="12240" w:h="15840"/>
          <w:pgMar w:header="731" w:footer="785" w:top="1360" w:bottom="980" w:left="1280" w:right="1200"/>
          <w:pgNumType w:start="1"/>
        </w:sectPr>
      </w:pPr>
    </w:p>
    <w:p>
      <w:pPr>
        <w:pStyle w:val="BodyText"/>
        <w:rPr>
          <w:b/>
          <w:sz w:val="40"/>
        </w:rPr>
      </w:pPr>
    </w:p>
    <w:p>
      <w:pPr>
        <w:pStyle w:val="BodyText"/>
        <w:spacing w:before="10"/>
        <w:rPr>
          <w:b/>
          <w:sz w:val="38"/>
        </w:rPr>
      </w:pPr>
    </w:p>
    <w:p>
      <w:pPr>
        <w:spacing w:before="0"/>
        <w:ind w:left="160" w:right="0" w:firstLine="0"/>
        <w:jc w:val="left"/>
        <w:rPr>
          <w:b/>
          <w:sz w:val="36"/>
        </w:rPr>
      </w:pPr>
      <w:r>
        <w:rPr>
          <w:b/>
          <w:sz w:val="36"/>
        </w:rPr>
        <w:t>Public</w:t>
      </w:r>
      <w:r>
        <w:rPr>
          <w:b/>
          <w:spacing w:val="-3"/>
          <w:sz w:val="36"/>
        </w:rPr>
        <w:t> </w:t>
      </w:r>
      <w:r>
        <w:rPr>
          <w:b/>
          <w:spacing w:val="-2"/>
          <w:sz w:val="36"/>
        </w:rPr>
        <w:t>Comment</w:t>
      </w:r>
    </w:p>
    <w:p>
      <w:pPr>
        <w:spacing w:before="79"/>
        <w:ind w:left="160" w:right="0" w:firstLine="0"/>
        <w:jc w:val="left"/>
        <w:rPr>
          <w:b/>
          <w:sz w:val="48"/>
        </w:rPr>
      </w:pPr>
      <w:r>
        <w:rPr/>
        <w:br w:type="column"/>
      </w:r>
      <w:r>
        <w:rPr>
          <w:b/>
          <w:spacing w:val="-2"/>
          <w:sz w:val="48"/>
        </w:rPr>
        <w:t>Preface</w:t>
      </w:r>
    </w:p>
    <w:p>
      <w:pPr>
        <w:spacing w:after="0"/>
        <w:jc w:val="left"/>
        <w:rPr>
          <w:sz w:val="48"/>
        </w:rPr>
        <w:sectPr>
          <w:pgSz w:w="12240" w:h="15840"/>
          <w:pgMar w:header="731" w:footer="785" w:top="1360" w:bottom="980" w:left="1280" w:right="1200"/>
          <w:cols w:num="2" w:equalWidth="0">
            <w:col w:w="2791" w:space="1116"/>
            <w:col w:w="5853"/>
          </w:cols>
        </w:sectPr>
      </w:pPr>
    </w:p>
    <w:p>
      <w:pPr>
        <w:pStyle w:val="BodyText"/>
        <w:spacing w:before="3"/>
        <w:rPr>
          <w:b/>
          <w:sz w:val="16"/>
        </w:rPr>
      </w:pPr>
    </w:p>
    <w:p>
      <w:pPr>
        <w:pStyle w:val="BodyText"/>
        <w:spacing w:before="90"/>
        <w:ind w:left="160" w:right="278"/>
      </w:pPr>
      <w:r>
        <w:rPr/>
        <w:t>This guidance is being issued to address the Coronavirus Disease 2019 (COVID-19) public health</w:t>
      </w:r>
      <w:r>
        <w:rPr>
          <w:spacing w:val="-1"/>
        </w:rPr>
        <w:t> </w:t>
      </w:r>
      <w:r>
        <w:rPr/>
        <w:t>emergency. This guidance is being implemented without prior public comment because the Food and Drug Administration (FDA or Agency) has determined that prior public participation for this guidance is not feasible or appropriate (see section 701(h)(1)(C) of the Federal Food, Drug, and Cosmetic Act (FD&amp;C</w:t>
      </w:r>
      <w:r>
        <w:rPr>
          <w:spacing w:val="-1"/>
        </w:rPr>
        <w:t> </w:t>
      </w:r>
      <w:r>
        <w:rPr/>
        <w:t>Act) and 21 CFR</w:t>
      </w:r>
      <w:r>
        <w:rPr>
          <w:spacing w:val="-1"/>
        </w:rPr>
        <w:t> </w:t>
      </w:r>
      <w:r>
        <w:rPr/>
        <w:t>10.115(g)(2)). This guidance document</w:t>
      </w:r>
      <w:r>
        <w:rPr>
          <w:spacing w:val="-3"/>
        </w:rPr>
        <w:t> </w:t>
      </w:r>
      <w:r>
        <w:rPr/>
        <w:t>is</w:t>
      </w:r>
      <w:r>
        <w:rPr>
          <w:spacing w:val="-3"/>
        </w:rPr>
        <w:t> </w:t>
      </w:r>
      <w:r>
        <w:rPr/>
        <w:t>being</w:t>
      </w:r>
      <w:r>
        <w:rPr>
          <w:spacing w:val="-3"/>
        </w:rPr>
        <w:t> </w:t>
      </w:r>
      <w:r>
        <w:rPr/>
        <w:t>implemented</w:t>
      </w:r>
      <w:r>
        <w:rPr>
          <w:spacing w:val="-3"/>
        </w:rPr>
        <w:t> </w:t>
      </w:r>
      <w:r>
        <w:rPr/>
        <w:t>immediately,</w:t>
      </w:r>
      <w:r>
        <w:rPr>
          <w:spacing w:val="-3"/>
        </w:rPr>
        <w:t> </w:t>
      </w:r>
      <w:r>
        <w:rPr/>
        <w:t>but</w:t>
      </w:r>
      <w:r>
        <w:rPr>
          <w:spacing w:val="-4"/>
        </w:rPr>
        <w:t> </w:t>
      </w:r>
      <w:r>
        <w:rPr/>
        <w:t>it</w:t>
      </w:r>
      <w:r>
        <w:rPr>
          <w:spacing w:val="-3"/>
        </w:rPr>
        <w:t> </w:t>
      </w:r>
      <w:r>
        <w:rPr/>
        <w:t>remains</w:t>
      </w:r>
      <w:r>
        <w:rPr>
          <w:spacing w:val="-3"/>
        </w:rPr>
        <w:t> </w:t>
      </w:r>
      <w:r>
        <w:rPr/>
        <w:t>subject</w:t>
      </w:r>
      <w:r>
        <w:rPr>
          <w:spacing w:val="-4"/>
        </w:rPr>
        <w:t> </w:t>
      </w:r>
      <w:r>
        <w:rPr/>
        <w:t>to</w:t>
      </w:r>
      <w:r>
        <w:rPr>
          <w:spacing w:val="-2"/>
        </w:rPr>
        <w:t> </w:t>
      </w:r>
      <w:r>
        <w:rPr/>
        <w:t>comment</w:t>
      </w:r>
      <w:r>
        <w:rPr>
          <w:spacing w:val="-3"/>
        </w:rPr>
        <w:t> </w:t>
      </w:r>
      <w:r>
        <w:rPr/>
        <w:t>in</w:t>
      </w:r>
      <w:r>
        <w:rPr>
          <w:spacing w:val="-3"/>
        </w:rPr>
        <w:t> </w:t>
      </w:r>
      <w:r>
        <w:rPr/>
        <w:t>accordance with the Agency’s good guidance practices.</w:t>
      </w:r>
    </w:p>
    <w:p>
      <w:pPr>
        <w:pStyle w:val="BodyText"/>
      </w:pPr>
    </w:p>
    <w:p>
      <w:pPr>
        <w:pStyle w:val="BodyText"/>
        <w:ind w:left="160" w:right="278"/>
      </w:pPr>
      <w:r>
        <w:rPr/>
        <w:t>Comments</w:t>
      </w:r>
      <w:r>
        <w:rPr>
          <w:spacing w:val="-2"/>
        </w:rPr>
        <w:t> </w:t>
      </w:r>
      <w:r>
        <w:rPr/>
        <w:t>may</w:t>
      </w:r>
      <w:r>
        <w:rPr>
          <w:spacing w:val="-3"/>
        </w:rPr>
        <w:t> </w:t>
      </w:r>
      <w:r>
        <w:rPr/>
        <w:t>be</w:t>
      </w:r>
      <w:r>
        <w:rPr>
          <w:spacing w:val="-3"/>
        </w:rPr>
        <w:t> </w:t>
      </w:r>
      <w:r>
        <w:rPr/>
        <w:t>submitted</w:t>
      </w:r>
      <w:r>
        <w:rPr>
          <w:spacing w:val="-3"/>
        </w:rPr>
        <w:t> </w:t>
      </w:r>
      <w:r>
        <w:rPr/>
        <w:t>at</w:t>
      </w:r>
      <w:r>
        <w:rPr>
          <w:spacing w:val="-3"/>
        </w:rPr>
        <w:t> </w:t>
      </w:r>
      <w:r>
        <w:rPr/>
        <w:t>any</w:t>
      </w:r>
      <w:r>
        <w:rPr>
          <w:spacing w:val="-3"/>
        </w:rPr>
        <w:t> </w:t>
      </w:r>
      <w:r>
        <w:rPr/>
        <w:t>time</w:t>
      </w:r>
      <w:r>
        <w:rPr>
          <w:spacing w:val="-3"/>
        </w:rPr>
        <w:t> </w:t>
      </w:r>
      <w:r>
        <w:rPr/>
        <w:t>for</w:t>
      </w:r>
      <w:r>
        <w:rPr>
          <w:spacing w:val="-3"/>
        </w:rPr>
        <w:t> </w:t>
      </w:r>
      <w:r>
        <w:rPr/>
        <w:t>Agency</w:t>
      </w:r>
      <w:r>
        <w:rPr>
          <w:spacing w:val="-3"/>
        </w:rPr>
        <w:t> </w:t>
      </w:r>
      <w:r>
        <w:rPr/>
        <w:t>consideration.</w:t>
      </w:r>
      <w:r>
        <w:rPr>
          <w:spacing w:val="40"/>
        </w:rPr>
        <w:t> </w:t>
      </w:r>
      <w:r>
        <w:rPr/>
        <w:t>Submit</w:t>
      </w:r>
      <w:r>
        <w:rPr>
          <w:spacing w:val="-3"/>
        </w:rPr>
        <w:t> </w:t>
      </w:r>
      <w:r>
        <w:rPr/>
        <w:t>written</w:t>
      </w:r>
      <w:r>
        <w:rPr>
          <w:spacing w:val="-5"/>
        </w:rPr>
        <w:t> </w:t>
      </w:r>
      <w:r>
        <w:rPr/>
        <w:t>comments</w:t>
      </w:r>
      <w:r>
        <w:rPr>
          <w:spacing w:val="-3"/>
        </w:rPr>
        <w:t> </w:t>
      </w:r>
      <w:r>
        <w:rPr/>
        <w:t>to the Dockets Management Staff (HFA-305), Food and Drug Administration, 5630 Fishers Lane, Rm. 1061, Rockville, MD 20852. Submit electronic comments to </w:t>
      </w:r>
      <w:hyperlink r:id="rId7">
        <w:r>
          <w:rPr>
            <w:color w:val="0000FF"/>
            <w:u w:val="single" w:color="0000FF"/>
          </w:rPr>
          <w:t>https://www.regulations.gov</w:t>
        </w:r>
      </w:hyperlink>
      <w:r>
        <w:rPr/>
        <w:t>.</w:t>
      </w:r>
    </w:p>
    <w:p>
      <w:pPr>
        <w:pStyle w:val="BodyText"/>
        <w:ind w:left="159" w:right="241"/>
      </w:pPr>
      <w:r>
        <w:rPr/>
        <w:t>All</w:t>
      </w:r>
      <w:r>
        <w:rPr>
          <w:spacing w:val="-3"/>
        </w:rPr>
        <w:t> </w:t>
      </w:r>
      <w:r>
        <w:rPr/>
        <w:t>comments</w:t>
      </w:r>
      <w:r>
        <w:rPr>
          <w:spacing w:val="-3"/>
        </w:rPr>
        <w:t> </w:t>
      </w:r>
      <w:r>
        <w:rPr/>
        <w:t>should</w:t>
      </w:r>
      <w:r>
        <w:rPr>
          <w:spacing w:val="-3"/>
        </w:rPr>
        <w:t> </w:t>
      </w:r>
      <w:r>
        <w:rPr/>
        <w:t>be</w:t>
      </w:r>
      <w:r>
        <w:rPr>
          <w:spacing w:val="-4"/>
        </w:rPr>
        <w:t> </w:t>
      </w:r>
      <w:r>
        <w:rPr/>
        <w:t>identified</w:t>
      </w:r>
      <w:r>
        <w:rPr>
          <w:spacing w:val="-3"/>
        </w:rPr>
        <w:t> </w:t>
      </w:r>
      <w:r>
        <w:rPr/>
        <w:t>with</w:t>
      </w:r>
      <w:r>
        <w:rPr>
          <w:spacing w:val="-3"/>
        </w:rPr>
        <w:t> </w:t>
      </w:r>
      <w:r>
        <w:rPr/>
        <w:t>the</w:t>
      </w:r>
      <w:r>
        <w:rPr>
          <w:spacing w:val="-3"/>
        </w:rPr>
        <w:t> </w:t>
      </w:r>
      <w:r>
        <w:rPr/>
        <w:t>docket</w:t>
      </w:r>
      <w:r>
        <w:rPr>
          <w:spacing w:val="-3"/>
        </w:rPr>
        <w:t> </w:t>
      </w:r>
      <w:r>
        <w:rPr/>
        <w:t>number</w:t>
      </w:r>
      <w:r>
        <w:rPr>
          <w:spacing w:val="-3"/>
        </w:rPr>
        <w:t> </w:t>
      </w:r>
      <w:r>
        <w:rPr/>
        <w:t>FDA-2020-D-0987</w:t>
      </w:r>
      <w:r>
        <w:rPr>
          <w:spacing w:val="-3"/>
        </w:rPr>
        <w:t> </w:t>
      </w:r>
      <w:r>
        <w:rPr/>
        <w:t>and</w:t>
      </w:r>
      <w:r>
        <w:rPr>
          <w:spacing w:val="-3"/>
        </w:rPr>
        <w:t> </w:t>
      </w:r>
      <w:r>
        <w:rPr/>
        <w:t>complete</w:t>
      </w:r>
      <w:r>
        <w:rPr>
          <w:spacing w:val="-4"/>
        </w:rPr>
        <w:t> </w:t>
      </w:r>
      <w:r>
        <w:rPr/>
        <w:t>title of the guidance in the request.</w:t>
      </w:r>
    </w:p>
    <w:p>
      <w:pPr>
        <w:pStyle w:val="BodyText"/>
        <w:spacing w:before="11"/>
        <w:rPr>
          <w:sz w:val="23"/>
        </w:rPr>
      </w:pPr>
    </w:p>
    <w:p>
      <w:pPr>
        <w:spacing w:before="0"/>
        <w:ind w:left="160" w:right="0" w:firstLine="0"/>
        <w:jc w:val="left"/>
        <w:rPr>
          <w:b/>
          <w:sz w:val="36"/>
        </w:rPr>
      </w:pPr>
      <w:r>
        <w:rPr>
          <w:b/>
          <w:sz w:val="36"/>
        </w:rPr>
        <w:t>Additional</w:t>
      </w:r>
      <w:r>
        <w:rPr>
          <w:b/>
          <w:spacing w:val="-3"/>
          <w:sz w:val="36"/>
        </w:rPr>
        <w:t> </w:t>
      </w:r>
      <w:r>
        <w:rPr>
          <w:b/>
          <w:spacing w:val="-2"/>
          <w:sz w:val="36"/>
        </w:rPr>
        <w:t>Copies</w:t>
      </w:r>
    </w:p>
    <w:p>
      <w:pPr>
        <w:pStyle w:val="BodyText"/>
        <w:spacing w:before="276"/>
        <w:ind w:left="160" w:right="556"/>
      </w:pPr>
      <w:r>
        <w:rPr/>
        <w:t>Additional copies are available from the FDA webpage titled “COVID-19-Related Guidance Documents for Industry, FDA Staff, and Other Stakeholders ,” </w:t>
      </w:r>
      <w:r>
        <w:rPr>
          <w:i/>
        </w:rPr>
        <w:t>available at </w:t>
      </w:r>
      <w:hyperlink r:id="rId8">
        <w:r>
          <w:rPr>
            <w:color w:val="0000FF"/>
            <w:spacing w:val="-2"/>
            <w:u w:val="single" w:color="0000FF"/>
          </w:rPr>
          <w:t>https://www.fda.gov/emergency-preparedness-and-response/mcm-issues/covid-19-related-</w:t>
        </w:r>
      </w:hyperlink>
      <w:r>
        <w:rPr>
          <w:color w:val="0000FF"/>
          <w:spacing w:val="-2"/>
        </w:rPr>
        <w:t> </w:t>
      </w:r>
      <w:hyperlink r:id="rId8">
        <w:r>
          <w:rPr>
            <w:color w:val="0000FF"/>
            <w:u w:val="single" w:color="0000FF"/>
          </w:rPr>
          <w:t>guidance-documents-industry-fda-staff-and-other-stakeholders</w:t>
        </w:r>
        <w:r>
          <w:rPr/>
          <w:t>,</w:t>
        </w:r>
      </w:hyperlink>
      <w:r>
        <w:rPr/>
        <w:t> and the FDA webpage titled “Search for FDA Guidance Documents,” </w:t>
      </w:r>
      <w:r>
        <w:rPr>
          <w:i/>
        </w:rPr>
        <w:t>available at </w:t>
      </w:r>
      <w:hyperlink r:id="rId9">
        <w:r>
          <w:rPr>
            <w:color w:val="0000FF"/>
            <w:u w:val="single" w:color="0000FF"/>
          </w:rPr>
          <w:t>https://www.fda.gov/regulatory-</w:t>
        </w:r>
      </w:hyperlink>
      <w:r>
        <w:rPr>
          <w:color w:val="0000FF"/>
        </w:rPr>
        <w:t> </w:t>
      </w:r>
      <w:hyperlink r:id="rId9">
        <w:r>
          <w:rPr>
            <w:color w:val="0000FF"/>
            <w:u w:val="single" w:color="0000FF"/>
          </w:rPr>
          <w:t>information/search-fda-guidance-documents</w:t>
        </w:r>
        <w:r>
          <w:rPr/>
          <w:t>.</w:t>
        </w:r>
      </w:hyperlink>
      <w:r>
        <w:rPr>
          <w:spacing w:val="40"/>
        </w:rPr>
        <w:t> </w:t>
      </w:r>
      <w:r>
        <w:rPr/>
        <w:t>You</w:t>
      </w:r>
      <w:r>
        <w:rPr>
          <w:spacing w:val="-3"/>
        </w:rPr>
        <w:t> </w:t>
      </w:r>
      <w:r>
        <w:rPr/>
        <w:t>may</w:t>
      </w:r>
      <w:r>
        <w:rPr>
          <w:spacing w:val="-4"/>
        </w:rPr>
        <w:t> </w:t>
      </w:r>
      <w:r>
        <w:rPr/>
        <w:t>also</w:t>
      </w:r>
      <w:r>
        <w:rPr>
          <w:spacing w:val="-4"/>
        </w:rPr>
        <w:t> </w:t>
      </w:r>
      <w:r>
        <w:rPr/>
        <w:t>send</w:t>
      </w:r>
      <w:r>
        <w:rPr>
          <w:spacing w:val="-4"/>
        </w:rPr>
        <w:t> </w:t>
      </w:r>
      <w:r>
        <w:rPr/>
        <w:t>an</w:t>
      </w:r>
      <w:r>
        <w:rPr>
          <w:spacing w:val="-4"/>
        </w:rPr>
        <w:t> </w:t>
      </w:r>
      <w:r>
        <w:rPr/>
        <w:t>e-mail</w:t>
      </w:r>
      <w:r>
        <w:rPr>
          <w:spacing w:val="-4"/>
        </w:rPr>
        <w:t> </w:t>
      </w:r>
      <w:r>
        <w:rPr/>
        <w:t>request</w:t>
      </w:r>
      <w:r>
        <w:rPr>
          <w:spacing w:val="-5"/>
        </w:rPr>
        <w:t> </w:t>
      </w:r>
      <w:r>
        <w:rPr/>
        <w:t>to</w:t>
      </w:r>
      <w:r>
        <w:rPr>
          <w:spacing w:val="-6"/>
        </w:rPr>
        <w:t> </w:t>
      </w:r>
      <w:hyperlink r:id="rId10">
        <w:r>
          <w:rPr>
            <w:color w:val="0000FF"/>
            <w:u w:val="single" w:color="0000FF"/>
          </w:rPr>
          <w:t>CDRH-</w:t>
        </w:r>
      </w:hyperlink>
      <w:r>
        <w:rPr>
          <w:color w:val="0000FF"/>
        </w:rPr>
        <w:t> </w:t>
      </w:r>
      <w:hyperlink r:id="rId10">
        <w:r>
          <w:rPr>
            <w:color w:val="0000FF"/>
            <w:u w:val="single" w:color="0000FF"/>
          </w:rPr>
          <w:t>Guidance@fda.hhs.gov</w:t>
        </w:r>
      </w:hyperlink>
      <w:r>
        <w:rPr>
          <w:color w:val="0000FF"/>
        </w:rPr>
        <w:t> </w:t>
      </w:r>
      <w:r>
        <w:rPr/>
        <w:t>to receive an additional copy of the guidance.</w:t>
      </w:r>
      <w:r>
        <w:rPr>
          <w:spacing w:val="40"/>
        </w:rPr>
        <w:t> </w:t>
      </w:r>
      <w:r>
        <w:rPr/>
        <w:t>Please include the document number 20010-R2 and complete title of the guidance in the request.</w:t>
      </w:r>
    </w:p>
    <w:p>
      <w:pPr>
        <w:pStyle w:val="BodyText"/>
        <w:spacing w:before="10"/>
        <w:rPr>
          <w:sz w:val="23"/>
        </w:rPr>
      </w:pPr>
    </w:p>
    <w:p>
      <w:pPr>
        <w:spacing w:before="1"/>
        <w:ind w:left="160" w:right="0" w:firstLine="0"/>
        <w:jc w:val="left"/>
        <w:rPr>
          <w:b/>
          <w:sz w:val="36"/>
        </w:rPr>
      </w:pPr>
      <w:r>
        <w:rPr>
          <w:b/>
          <w:spacing w:val="-2"/>
          <w:sz w:val="36"/>
        </w:rPr>
        <w:t>Questions</w:t>
      </w:r>
    </w:p>
    <w:p>
      <w:pPr>
        <w:pStyle w:val="BodyText"/>
        <w:spacing w:before="276"/>
        <w:ind w:left="160"/>
      </w:pPr>
      <w:r>
        <w:rPr/>
        <w:t>For</w:t>
      </w:r>
      <w:r>
        <w:rPr>
          <w:spacing w:val="-5"/>
        </w:rPr>
        <w:t> </w:t>
      </w:r>
      <w:r>
        <w:rPr/>
        <w:t>questions</w:t>
      </w:r>
      <w:r>
        <w:rPr>
          <w:spacing w:val="-2"/>
        </w:rPr>
        <w:t> </w:t>
      </w:r>
      <w:r>
        <w:rPr/>
        <w:t>about</w:t>
      </w:r>
      <w:r>
        <w:rPr>
          <w:spacing w:val="-3"/>
        </w:rPr>
        <w:t> </w:t>
      </w:r>
      <w:r>
        <w:rPr/>
        <w:t>this</w:t>
      </w:r>
      <w:r>
        <w:rPr>
          <w:spacing w:val="-3"/>
        </w:rPr>
        <w:t> </w:t>
      </w:r>
      <w:r>
        <w:rPr/>
        <w:t>document,</w:t>
      </w:r>
      <w:r>
        <w:rPr>
          <w:spacing w:val="-2"/>
        </w:rPr>
        <w:t> </w:t>
      </w:r>
      <w:r>
        <w:rPr/>
        <w:t>contact</w:t>
      </w:r>
      <w:r>
        <w:rPr>
          <w:spacing w:val="-2"/>
        </w:rPr>
        <w:t> </w:t>
      </w:r>
      <w:hyperlink r:id="rId11">
        <w:r>
          <w:rPr>
            <w:color w:val="0000FF"/>
            <w:u w:val="single" w:color="0000FF"/>
          </w:rPr>
          <w:t>CDRH-EUA-</w:t>
        </w:r>
        <w:r>
          <w:rPr>
            <w:color w:val="0000FF"/>
            <w:spacing w:val="-2"/>
            <w:u w:val="single" w:color="0000FF"/>
          </w:rPr>
          <w:t>Templates@fda.hhs.gov</w:t>
        </w:r>
      </w:hyperlink>
      <w:r>
        <w:rPr>
          <w:spacing w:val="-2"/>
        </w:rPr>
        <w:t>.</w:t>
      </w:r>
    </w:p>
    <w:p>
      <w:pPr>
        <w:spacing w:after="0"/>
        <w:sectPr>
          <w:type w:val="continuous"/>
          <w:pgSz w:w="12240" w:h="15840"/>
          <w:pgMar w:header="731" w:footer="785" w:top="1360" w:bottom="980" w:left="1280" w:right="1200"/>
        </w:sectPr>
      </w:pPr>
    </w:p>
    <w:p>
      <w:pPr>
        <w:spacing w:before="79"/>
        <w:ind w:left="461" w:right="538" w:firstLine="0"/>
        <w:jc w:val="center"/>
        <w:rPr>
          <w:b/>
          <w:sz w:val="36"/>
        </w:rPr>
      </w:pPr>
      <w:r>
        <w:rPr>
          <w:b/>
          <w:sz w:val="36"/>
        </w:rPr>
        <w:t>Table</w:t>
      </w:r>
      <w:r>
        <w:rPr>
          <w:b/>
          <w:spacing w:val="-4"/>
          <w:sz w:val="36"/>
        </w:rPr>
        <w:t> </w:t>
      </w:r>
      <w:r>
        <w:rPr>
          <w:b/>
          <w:sz w:val="36"/>
        </w:rPr>
        <w:t>of </w:t>
      </w:r>
      <w:r>
        <w:rPr>
          <w:b/>
          <w:spacing w:val="-2"/>
          <w:sz w:val="36"/>
        </w:rPr>
        <w:t>Contents</w:t>
      </w:r>
    </w:p>
    <w:sdt>
      <w:sdtPr>
        <w:docPartObj>
          <w:docPartGallery w:val="Table of Contents"/>
          <w:docPartUnique/>
        </w:docPartObj>
      </w:sdtPr>
      <w:sdtEndPr/>
      <w:sdtContent>
        <w:p>
          <w:pPr>
            <w:pStyle w:val="TOC1"/>
            <w:numPr>
              <w:ilvl w:val="0"/>
              <w:numId w:val="1"/>
            </w:numPr>
            <w:tabs>
              <w:tab w:pos="819" w:val="left" w:leader="none"/>
              <w:tab w:pos="9390" w:val="left" w:leader="dot"/>
            </w:tabs>
            <w:spacing w:line="240" w:lineRule="auto" w:before="921" w:after="0"/>
            <w:ind w:left="819" w:right="0" w:hanging="659"/>
            <w:jc w:val="left"/>
          </w:pPr>
          <w:hyperlink w:history="true" w:anchor="_bookmark0">
            <w:r>
              <w:rPr>
                <w:spacing w:val="-2"/>
              </w:rPr>
              <w:t>Introduction</w:t>
            </w:r>
            <w:r>
              <w:rPr/>
              <w:tab/>
            </w:r>
            <w:r>
              <w:rPr>
                <w:spacing w:val="-10"/>
              </w:rPr>
              <w:t>4</w:t>
            </w:r>
          </w:hyperlink>
        </w:p>
        <w:p>
          <w:pPr>
            <w:pStyle w:val="TOC1"/>
            <w:numPr>
              <w:ilvl w:val="0"/>
              <w:numId w:val="1"/>
            </w:numPr>
            <w:tabs>
              <w:tab w:pos="819" w:val="left" w:leader="none"/>
              <w:tab w:pos="9390" w:val="left" w:leader="dot"/>
            </w:tabs>
            <w:spacing w:line="240" w:lineRule="auto" w:before="101" w:after="0"/>
            <w:ind w:left="819" w:right="0" w:hanging="659"/>
            <w:jc w:val="left"/>
          </w:pPr>
          <w:hyperlink w:history="true" w:anchor="_bookmark1">
            <w:r>
              <w:rPr>
                <w:spacing w:val="-2"/>
              </w:rPr>
              <w:t>Background</w:t>
            </w:r>
            <w:r>
              <w:rPr/>
              <w:tab/>
            </w:r>
            <w:r>
              <w:rPr>
                <w:spacing w:val="-10"/>
              </w:rPr>
              <w:t>5</w:t>
            </w:r>
          </w:hyperlink>
        </w:p>
        <w:p>
          <w:pPr>
            <w:pStyle w:val="TOC1"/>
            <w:numPr>
              <w:ilvl w:val="0"/>
              <w:numId w:val="1"/>
            </w:numPr>
            <w:tabs>
              <w:tab w:pos="819" w:val="left" w:leader="none"/>
              <w:tab w:pos="9390" w:val="left" w:leader="dot"/>
            </w:tabs>
            <w:spacing w:line="240" w:lineRule="auto" w:before="99" w:after="0"/>
            <w:ind w:left="819" w:right="0" w:hanging="659"/>
            <w:jc w:val="left"/>
          </w:pPr>
          <w:hyperlink w:history="true" w:anchor="_bookmark5">
            <w:r>
              <w:rPr>
                <w:spacing w:val="-2"/>
              </w:rPr>
              <w:t>Scope</w:t>
            </w:r>
            <w:r>
              <w:rPr/>
              <w:tab/>
            </w:r>
            <w:r>
              <w:rPr>
                <w:spacing w:val="-10"/>
              </w:rPr>
              <w:t>6</w:t>
            </w:r>
          </w:hyperlink>
        </w:p>
        <w:p>
          <w:pPr>
            <w:pStyle w:val="TOC1"/>
            <w:numPr>
              <w:ilvl w:val="0"/>
              <w:numId w:val="1"/>
            </w:numPr>
            <w:tabs>
              <w:tab w:pos="819" w:val="left" w:leader="none"/>
              <w:tab w:pos="9390" w:val="left" w:leader="dot"/>
            </w:tabs>
            <w:spacing w:line="240" w:lineRule="auto" w:before="100" w:after="0"/>
            <w:ind w:left="819" w:right="0" w:hanging="659"/>
            <w:jc w:val="left"/>
          </w:pPr>
          <w:hyperlink w:history="true" w:anchor="_bookmark6">
            <w:r>
              <w:rPr>
                <w:spacing w:val="-2"/>
              </w:rPr>
              <w:t>Policy</w:t>
            </w:r>
            <w:r>
              <w:rPr/>
              <w:tab/>
            </w:r>
            <w:r>
              <w:rPr>
                <w:spacing w:val="-10"/>
              </w:rPr>
              <w:t>6</w:t>
            </w:r>
          </w:hyperlink>
        </w:p>
        <w:p>
          <w:pPr>
            <w:pStyle w:val="TOC2"/>
            <w:numPr>
              <w:ilvl w:val="1"/>
              <w:numId w:val="1"/>
            </w:numPr>
            <w:tabs>
              <w:tab w:pos="1039" w:val="left" w:leader="none"/>
              <w:tab w:pos="9390" w:val="left" w:leader="dot"/>
            </w:tabs>
            <w:spacing w:line="240" w:lineRule="auto" w:before="101" w:after="0"/>
            <w:ind w:left="400" w:right="247" w:firstLine="0"/>
            <w:jc w:val="left"/>
          </w:pPr>
          <w:hyperlink w:history="true" w:anchor="_bookmark12">
            <w:r>
              <w:rPr/>
              <w:t>Laboratories Certified under CLIA that Meet the CLIA Regulatory Requirements to</w:t>
            </w:r>
          </w:hyperlink>
          <w:r>
            <w:rPr/>
            <w:t> </w:t>
          </w:r>
          <w:hyperlink w:history="true" w:anchor="_bookmark12">
            <w:r>
              <w:rPr/>
              <w:t>Perform High-Complexity Testing Using Their Validated Diagnostic Tests Prior to EUA</w:t>
            </w:r>
          </w:hyperlink>
          <w:r>
            <w:rPr/>
            <w:t> </w:t>
          </w:r>
          <w:hyperlink w:history="true" w:anchor="_bookmark12">
            <w:r>
              <w:rPr>
                <w:spacing w:val="-2"/>
              </w:rPr>
              <w:t>S</w:t>
            </w:r>
          </w:hyperlink>
          <w:hyperlink w:history="true" w:anchor="_bookmark12">
            <w:r>
              <w:rPr>
                <w:spacing w:val="-2"/>
              </w:rPr>
              <w:t>ubmission</w:t>
            </w:r>
            <w:r>
              <w:rPr/>
              <w:tab/>
            </w:r>
            <w:r>
              <w:rPr>
                <w:spacing w:val="-10"/>
              </w:rPr>
              <w:t>8</w:t>
            </w:r>
          </w:hyperlink>
        </w:p>
        <w:p>
          <w:pPr>
            <w:pStyle w:val="TOC2"/>
            <w:numPr>
              <w:ilvl w:val="2"/>
              <w:numId w:val="1"/>
            </w:numPr>
            <w:tabs>
              <w:tab w:pos="1039" w:val="left" w:leader="none"/>
              <w:tab w:pos="9390" w:val="left" w:leader="dot"/>
            </w:tabs>
            <w:spacing w:line="240" w:lineRule="auto" w:before="100" w:after="0"/>
            <w:ind w:left="1039" w:right="0" w:hanging="639"/>
            <w:jc w:val="left"/>
          </w:pPr>
          <w:hyperlink w:history="true" w:anchor="_bookmark13">
            <w:r>
              <w:rPr>
                <w:spacing w:val="-2"/>
              </w:rPr>
              <w:t>Validation</w:t>
            </w:r>
            <w:r>
              <w:rPr/>
              <w:tab/>
            </w:r>
            <w:r>
              <w:rPr>
                <w:spacing w:val="-10"/>
              </w:rPr>
              <w:t>8</w:t>
            </w:r>
          </w:hyperlink>
        </w:p>
        <w:p>
          <w:pPr>
            <w:pStyle w:val="TOC2"/>
            <w:numPr>
              <w:ilvl w:val="2"/>
              <w:numId w:val="1"/>
            </w:numPr>
            <w:tabs>
              <w:tab w:pos="1039" w:val="left" w:leader="none"/>
              <w:tab w:pos="9390" w:val="left" w:leader="dot"/>
            </w:tabs>
            <w:spacing w:line="240" w:lineRule="auto" w:before="99" w:after="0"/>
            <w:ind w:left="1039" w:right="0" w:hanging="639"/>
            <w:jc w:val="left"/>
          </w:pPr>
          <w:hyperlink w:history="true" w:anchor="_bookmark14">
            <w:r>
              <w:rPr/>
              <w:t>FDA</w:t>
            </w:r>
            <w:r>
              <w:rPr>
                <w:spacing w:val="-2"/>
              </w:rPr>
              <w:t> Notification</w:t>
            </w:r>
            <w:r>
              <w:rPr/>
              <w:tab/>
            </w:r>
            <w:r>
              <w:rPr>
                <w:spacing w:val="-12"/>
              </w:rPr>
              <w:t>8</w:t>
            </w:r>
          </w:hyperlink>
        </w:p>
        <w:p>
          <w:pPr>
            <w:pStyle w:val="TOC2"/>
            <w:numPr>
              <w:ilvl w:val="0"/>
              <w:numId w:val="2"/>
            </w:numPr>
            <w:tabs>
              <w:tab w:pos="1039" w:val="left" w:leader="none"/>
              <w:tab w:pos="9390" w:val="left" w:leader="dot"/>
            </w:tabs>
            <w:spacing w:line="240" w:lineRule="auto" w:before="100" w:after="0"/>
            <w:ind w:left="1039" w:right="0" w:hanging="639"/>
            <w:jc w:val="left"/>
          </w:pPr>
          <w:hyperlink w:history="true" w:anchor="_bookmark15">
            <w:r>
              <w:rPr/>
              <w:t>EUA</w:t>
            </w:r>
            <w:r>
              <w:rPr>
                <w:spacing w:val="-5"/>
              </w:rPr>
              <w:t> </w:t>
            </w:r>
            <w:r>
              <w:rPr>
                <w:spacing w:val="-2"/>
              </w:rPr>
              <w:t>Request</w:t>
            </w:r>
            <w:r>
              <w:rPr/>
              <w:tab/>
            </w:r>
            <w:r>
              <w:rPr>
                <w:spacing w:val="-10"/>
              </w:rPr>
              <w:t>9</w:t>
            </w:r>
          </w:hyperlink>
        </w:p>
        <w:p>
          <w:pPr>
            <w:pStyle w:val="TOC2"/>
            <w:numPr>
              <w:ilvl w:val="0"/>
              <w:numId w:val="2"/>
            </w:numPr>
            <w:tabs>
              <w:tab w:pos="1039" w:val="left" w:leader="none"/>
              <w:tab w:pos="9270" w:val="left" w:leader="dot"/>
            </w:tabs>
            <w:spacing w:line="240" w:lineRule="auto" w:before="101" w:after="0"/>
            <w:ind w:left="1039" w:right="0" w:hanging="639"/>
            <w:jc w:val="left"/>
          </w:pPr>
          <w:hyperlink w:history="true" w:anchor="_bookmark18">
            <w:r>
              <w:rPr/>
              <w:t>Clinical</w:t>
            </w:r>
            <w:r>
              <w:rPr>
                <w:spacing w:val="-4"/>
              </w:rPr>
              <w:t> </w:t>
            </w:r>
            <w:r>
              <w:rPr>
                <w:spacing w:val="-2"/>
              </w:rPr>
              <w:t>Testing</w:t>
            </w:r>
            <w:r>
              <w:rPr/>
              <w:tab/>
            </w:r>
            <w:r>
              <w:rPr>
                <w:spacing w:val="-7"/>
              </w:rPr>
              <w:t>10</w:t>
            </w:r>
          </w:hyperlink>
        </w:p>
        <w:p>
          <w:pPr>
            <w:pStyle w:val="TOC2"/>
            <w:numPr>
              <w:ilvl w:val="1"/>
              <w:numId w:val="1"/>
            </w:numPr>
            <w:tabs>
              <w:tab w:pos="1039" w:val="left" w:leader="none"/>
              <w:tab w:pos="9270" w:val="left" w:leader="dot"/>
            </w:tabs>
            <w:spacing w:line="240" w:lineRule="auto" w:before="99" w:after="0"/>
            <w:ind w:left="400" w:right="247" w:firstLine="0"/>
            <w:jc w:val="left"/>
          </w:pPr>
          <w:hyperlink w:history="true" w:anchor="_bookmark19">
            <w:r>
              <w:rPr/>
              <w:t>State Authorization of Laboratories Certified under CLIA that Meet the CLIA</w:t>
            </w:r>
          </w:hyperlink>
          <w:r>
            <w:rPr/>
            <w:t> </w:t>
          </w:r>
          <w:hyperlink w:history="true" w:anchor="_bookmark19">
            <w:r>
              <w:rPr/>
              <w:t>R</w:t>
            </w:r>
          </w:hyperlink>
          <w:hyperlink w:history="true" w:anchor="_bookmark19">
            <w:r>
              <w:rPr/>
              <w:t>egulatory Requirements to Perform High-Complexity Testing</w:t>
              <w:tab/>
            </w:r>
            <w:r>
              <w:rPr>
                <w:spacing w:val="-6"/>
              </w:rPr>
              <w:t>10</w:t>
            </w:r>
          </w:hyperlink>
        </w:p>
        <w:p>
          <w:pPr>
            <w:pStyle w:val="TOC2"/>
            <w:numPr>
              <w:ilvl w:val="1"/>
              <w:numId w:val="1"/>
            </w:numPr>
            <w:tabs>
              <w:tab w:pos="1039" w:val="left" w:leader="none"/>
              <w:tab w:pos="9270" w:val="left" w:leader="dot"/>
            </w:tabs>
            <w:spacing w:line="240" w:lineRule="auto" w:before="100" w:after="0"/>
            <w:ind w:left="400" w:right="247" w:firstLine="0"/>
            <w:jc w:val="left"/>
          </w:pPr>
          <w:hyperlink w:history="true" w:anchor="_bookmark21">
            <w:r>
              <w:rPr/>
              <w:t>Commercial Manufacturer Development and Distribution of Diagnostic Tests Prior to</w:t>
            </w:r>
          </w:hyperlink>
          <w:r>
            <w:rPr/>
            <w:t> </w:t>
          </w:r>
          <w:hyperlink w:history="true" w:anchor="_bookmark21">
            <w:r>
              <w:rPr/>
              <w:t>E</w:t>
            </w:r>
          </w:hyperlink>
          <w:hyperlink w:history="true" w:anchor="_bookmark21">
            <w:r>
              <w:rPr/>
              <w:t>UA</w:t>
            </w:r>
            <w:r>
              <w:rPr>
                <w:spacing w:val="-3"/>
              </w:rPr>
              <w:t> </w:t>
            </w:r>
            <w:r>
              <w:rPr>
                <w:spacing w:val="-2"/>
              </w:rPr>
              <w:t>Submission</w:t>
            </w:r>
            <w:r>
              <w:rPr/>
              <w:tab/>
            </w:r>
            <w:r>
              <w:rPr>
                <w:spacing w:val="-5"/>
              </w:rPr>
              <w:t>11</w:t>
            </w:r>
          </w:hyperlink>
        </w:p>
        <w:p>
          <w:pPr>
            <w:pStyle w:val="TOC2"/>
            <w:numPr>
              <w:ilvl w:val="2"/>
              <w:numId w:val="1"/>
            </w:numPr>
            <w:tabs>
              <w:tab w:pos="1039" w:val="left" w:leader="none"/>
              <w:tab w:pos="9270" w:val="left" w:leader="dot"/>
            </w:tabs>
            <w:spacing w:line="240" w:lineRule="auto" w:before="101" w:after="0"/>
            <w:ind w:left="1039" w:right="0" w:hanging="639"/>
            <w:jc w:val="left"/>
          </w:pPr>
          <w:hyperlink w:history="true" w:anchor="_bookmark23">
            <w:r>
              <w:rPr>
                <w:spacing w:val="-2"/>
              </w:rPr>
              <w:t>Validation</w:t>
            </w:r>
            <w:r>
              <w:rPr/>
              <w:tab/>
            </w:r>
            <w:r>
              <w:rPr>
                <w:spacing w:val="-5"/>
              </w:rPr>
              <w:t>12</w:t>
            </w:r>
          </w:hyperlink>
        </w:p>
        <w:p>
          <w:pPr>
            <w:pStyle w:val="TOC2"/>
            <w:numPr>
              <w:ilvl w:val="2"/>
              <w:numId w:val="1"/>
            </w:numPr>
            <w:tabs>
              <w:tab w:pos="1039" w:val="left" w:leader="none"/>
              <w:tab w:pos="9270" w:val="left" w:leader="dot"/>
            </w:tabs>
            <w:spacing w:line="240" w:lineRule="auto" w:before="99" w:after="0"/>
            <w:ind w:left="1039" w:right="0" w:hanging="639"/>
            <w:jc w:val="left"/>
          </w:pPr>
          <w:hyperlink w:history="true" w:anchor="_bookmark24">
            <w:r>
              <w:rPr/>
              <w:t>FDA</w:t>
            </w:r>
            <w:r>
              <w:rPr>
                <w:spacing w:val="-2"/>
              </w:rPr>
              <w:t> Notification</w:t>
            </w:r>
            <w:r>
              <w:rPr/>
              <w:tab/>
            </w:r>
            <w:r>
              <w:rPr>
                <w:spacing w:val="-7"/>
              </w:rPr>
              <w:t>12</w:t>
            </w:r>
          </w:hyperlink>
        </w:p>
        <w:p>
          <w:pPr>
            <w:pStyle w:val="TOC2"/>
            <w:numPr>
              <w:ilvl w:val="0"/>
              <w:numId w:val="3"/>
            </w:numPr>
            <w:tabs>
              <w:tab w:pos="1039" w:val="left" w:leader="none"/>
              <w:tab w:pos="9270" w:val="left" w:leader="dot"/>
            </w:tabs>
            <w:spacing w:line="240" w:lineRule="auto" w:before="100" w:after="0"/>
            <w:ind w:left="1039" w:right="0" w:hanging="639"/>
            <w:jc w:val="left"/>
          </w:pPr>
          <w:hyperlink w:history="true" w:anchor="_bookmark25">
            <w:r>
              <w:rPr/>
              <w:t>EUA</w:t>
            </w:r>
            <w:r>
              <w:rPr>
                <w:spacing w:val="-5"/>
              </w:rPr>
              <w:t> </w:t>
            </w:r>
            <w:r>
              <w:rPr>
                <w:spacing w:val="-2"/>
              </w:rPr>
              <w:t>Request</w:t>
            </w:r>
            <w:r>
              <w:rPr/>
              <w:tab/>
            </w:r>
            <w:r>
              <w:rPr>
                <w:spacing w:val="-5"/>
              </w:rPr>
              <w:t>13</w:t>
            </w:r>
          </w:hyperlink>
        </w:p>
        <w:p>
          <w:pPr>
            <w:pStyle w:val="TOC2"/>
            <w:numPr>
              <w:ilvl w:val="0"/>
              <w:numId w:val="3"/>
            </w:numPr>
            <w:tabs>
              <w:tab w:pos="1039" w:val="left" w:leader="none"/>
              <w:tab w:pos="9270" w:val="left" w:leader="dot"/>
            </w:tabs>
            <w:spacing w:line="240" w:lineRule="auto" w:before="101" w:after="0"/>
            <w:ind w:left="1039" w:right="0" w:hanging="639"/>
            <w:jc w:val="left"/>
          </w:pPr>
          <w:hyperlink w:history="true" w:anchor="_bookmark28">
            <w:r>
              <w:rPr/>
              <w:t>Clinical</w:t>
            </w:r>
            <w:r>
              <w:rPr>
                <w:spacing w:val="-4"/>
              </w:rPr>
              <w:t> </w:t>
            </w:r>
            <w:r>
              <w:rPr>
                <w:spacing w:val="-2"/>
              </w:rPr>
              <w:t>Testing</w:t>
            </w:r>
            <w:r>
              <w:rPr/>
              <w:tab/>
            </w:r>
            <w:r>
              <w:rPr>
                <w:spacing w:val="-7"/>
              </w:rPr>
              <w:t>14</w:t>
            </w:r>
          </w:hyperlink>
        </w:p>
        <w:p>
          <w:pPr>
            <w:pStyle w:val="TOC2"/>
            <w:numPr>
              <w:ilvl w:val="1"/>
              <w:numId w:val="1"/>
            </w:numPr>
            <w:tabs>
              <w:tab w:pos="1039" w:val="left" w:leader="none"/>
              <w:tab w:pos="9270" w:val="left" w:leader="dot"/>
            </w:tabs>
            <w:spacing w:line="240" w:lineRule="auto" w:before="99" w:after="0"/>
            <w:ind w:left="400" w:right="247" w:firstLine="0"/>
            <w:jc w:val="left"/>
          </w:pPr>
          <w:hyperlink w:history="true" w:anchor="_bookmark29">
            <w:r>
              <w:rPr/>
              <w:t>Commercial Manufacturer Development and Distribution and Laboratory Development</w:t>
            </w:r>
          </w:hyperlink>
          <w:r>
            <w:rPr/>
            <w:t> </w:t>
          </w:r>
          <w:hyperlink w:history="true" w:anchor="_bookmark29">
            <w:r>
              <w:rPr/>
              <w:t>a</w:t>
            </w:r>
          </w:hyperlink>
          <w:hyperlink w:history="true" w:anchor="_bookmark29">
            <w:r>
              <w:rPr/>
              <w:t>nd</w:t>
            </w:r>
            <w:r>
              <w:rPr>
                <w:spacing w:val="-3"/>
              </w:rPr>
              <w:t> </w:t>
            </w:r>
            <w:r>
              <w:rPr/>
              <w:t>Use</w:t>
            </w:r>
            <w:r>
              <w:rPr>
                <w:spacing w:val="-1"/>
              </w:rPr>
              <w:t> </w:t>
            </w:r>
            <w:r>
              <w:rPr/>
              <w:t>of</w:t>
            </w:r>
            <w:r>
              <w:rPr>
                <w:spacing w:val="-2"/>
              </w:rPr>
              <w:t> </w:t>
            </w:r>
            <w:r>
              <w:rPr/>
              <w:t>Serology</w:t>
            </w:r>
            <w:r>
              <w:rPr>
                <w:spacing w:val="-1"/>
              </w:rPr>
              <w:t> </w:t>
            </w:r>
            <w:r>
              <w:rPr/>
              <w:t>Tests</w:t>
            </w:r>
            <w:r>
              <w:rPr>
                <w:spacing w:val="-1"/>
              </w:rPr>
              <w:t> </w:t>
            </w:r>
            <w:r>
              <w:rPr/>
              <w:t>Without</w:t>
            </w:r>
            <w:r>
              <w:rPr>
                <w:spacing w:val="-1"/>
              </w:rPr>
              <w:t> </w:t>
            </w:r>
            <w:r>
              <w:rPr/>
              <w:t>or</w:t>
            </w:r>
            <w:r>
              <w:rPr>
                <w:spacing w:val="-1"/>
              </w:rPr>
              <w:t> </w:t>
            </w:r>
            <w:r>
              <w:rPr/>
              <w:t>Prior</w:t>
            </w:r>
            <w:r>
              <w:rPr>
                <w:spacing w:val="-2"/>
              </w:rPr>
              <w:t> </w:t>
            </w:r>
            <w:r>
              <w:rPr/>
              <w:t>to</w:t>
            </w:r>
            <w:r>
              <w:rPr>
                <w:spacing w:val="-1"/>
              </w:rPr>
              <w:t> </w:t>
            </w:r>
            <w:r>
              <w:rPr/>
              <w:t>an </w:t>
            </w:r>
            <w:r>
              <w:rPr>
                <w:spacing w:val="-5"/>
              </w:rPr>
              <w:t>EUA</w:t>
            </w:r>
            <w:r>
              <w:rPr/>
              <w:tab/>
            </w:r>
            <w:r>
              <w:rPr>
                <w:spacing w:val="-5"/>
              </w:rPr>
              <w:t>14</w:t>
            </w:r>
          </w:hyperlink>
        </w:p>
        <w:p>
          <w:pPr>
            <w:pStyle w:val="TOC2"/>
            <w:numPr>
              <w:ilvl w:val="2"/>
              <w:numId w:val="1"/>
            </w:numPr>
            <w:tabs>
              <w:tab w:pos="1039" w:val="left" w:leader="none"/>
              <w:tab w:pos="9270" w:val="left" w:leader="dot"/>
            </w:tabs>
            <w:spacing w:line="240" w:lineRule="auto" w:before="100" w:after="0"/>
            <w:ind w:left="1039" w:right="0" w:hanging="639"/>
            <w:jc w:val="left"/>
          </w:pPr>
          <w:hyperlink w:history="true" w:anchor="_bookmark32">
            <w:r>
              <w:rPr>
                <w:spacing w:val="-2"/>
              </w:rPr>
              <w:t>Validation</w:t>
            </w:r>
            <w:r>
              <w:rPr/>
              <w:tab/>
            </w:r>
            <w:r>
              <w:rPr>
                <w:spacing w:val="-5"/>
              </w:rPr>
              <w:t>15</w:t>
            </w:r>
          </w:hyperlink>
        </w:p>
        <w:p>
          <w:pPr>
            <w:pStyle w:val="TOC2"/>
            <w:numPr>
              <w:ilvl w:val="2"/>
              <w:numId w:val="1"/>
            </w:numPr>
            <w:tabs>
              <w:tab w:pos="1039" w:val="left" w:leader="none"/>
              <w:tab w:pos="9270" w:val="left" w:leader="dot"/>
            </w:tabs>
            <w:spacing w:line="240" w:lineRule="auto" w:before="101" w:after="0"/>
            <w:ind w:left="1039" w:right="0" w:hanging="639"/>
            <w:jc w:val="left"/>
          </w:pPr>
          <w:hyperlink w:history="true" w:anchor="_bookmark33">
            <w:r>
              <w:rPr/>
              <w:t>FDA</w:t>
            </w:r>
            <w:r>
              <w:rPr>
                <w:spacing w:val="-2"/>
              </w:rPr>
              <w:t> Notification</w:t>
            </w:r>
            <w:r>
              <w:rPr/>
              <w:tab/>
            </w:r>
            <w:r>
              <w:rPr>
                <w:spacing w:val="-7"/>
              </w:rPr>
              <w:t>15</w:t>
            </w:r>
          </w:hyperlink>
        </w:p>
        <w:p>
          <w:pPr>
            <w:pStyle w:val="TOC2"/>
            <w:numPr>
              <w:ilvl w:val="0"/>
              <w:numId w:val="4"/>
            </w:numPr>
            <w:tabs>
              <w:tab w:pos="1039" w:val="left" w:leader="none"/>
              <w:tab w:pos="9270" w:val="left" w:leader="dot"/>
            </w:tabs>
            <w:spacing w:line="240" w:lineRule="auto" w:before="99" w:after="0"/>
            <w:ind w:left="1039" w:right="0" w:hanging="639"/>
            <w:jc w:val="left"/>
          </w:pPr>
          <w:hyperlink w:history="true" w:anchor="_bookmark35">
            <w:r>
              <w:rPr/>
              <w:t>EUA</w:t>
            </w:r>
            <w:r>
              <w:rPr>
                <w:spacing w:val="-5"/>
              </w:rPr>
              <w:t> </w:t>
            </w:r>
            <w:r>
              <w:rPr>
                <w:spacing w:val="-2"/>
              </w:rPr>
              <w:t>Request</w:t>
            </w:r>
            <w:r>
              <w:rPr/>
              <w:tab/>
            </w:r>
            <w:r>
              <w:rPr>
                <w:spacing w:val="-5"/>
              </w:rPr>
              <w:t>17</w:t>
            </w:r>
          </w:hyperlink>
        </w:p>
        <w:p>
          <w:pPr>
            <w:pStyle w:val="TOC1"/>
            <w:numPr>
              <w:ilvl w:val="0"/>
              <w:numId w:val="1"/>
            </w:numPr>
            <w:tabs>
              <w:tab w:pos="819" w:val="left" w:leader="none"/>
              <w:tab w:pos="9270" w:val="left" w:leader="dot"/>
            </w:tabs>
            <w:spacing w:line="240" w:lineRule="auto" w:before="100" w:after="0"/>
            <w:ind w:left="819" w:right="0" w:hanging="659"/>
            <w:jc w:val="left"/>
          </w:pPr>
          <w:hyperlink w:history="true" w:anchor="_bookmark36">
            <w:r>
              <w:rPr/>
              <w:t>Validation</w:t>
            </w:r>
            <w:r>
              <w:rPr>
                <w:spacing w:val="-4"/>
              </w:rPr>
              <w:t> </w:t>
            </w:r>
            <w:r>
              <w:rPr/>
              <w:t>Study</w:t>
            </w:r>
            <w:r>
              <w:rPr>
                <w:spacing w:val="-2"/>
              </w:rPr>
              <w:t> </w:t>
            </w:r>
            <w:r>
              <w:rPr/>
              <w:t>Recommendations</w:t>
            </w:r>
            <w:r>
              <w:rPr>
                <w:spacing w:val="-3"/>
              </w:rPr>
              <w:t> </w:t>
            </w:r>
            <w:r>
              <w:rPr/>
              <w:t>Based</w:t>
            </w:r>
            <w:r>
              <w:rPr>
                <w:spacing w:val="-2"/>
              </w:rPr>
              <w:t> </w:t>
            </w:r>
            <w:r>
              <w:rPr/>
              <w:t>on</w:t>
            </w:r>
            <w:r>
              <w:rPr>
                <w:spacing w:val="-2"/>
              </w:rPr>
              <w:t> </w:t>
            </w:r>
            <w:r>
              <w:rPr/>
              <w:t>the</w:t>
            </w:r>
            <w:r>
              <w:rPr>
                <w:spacing w:val="-2"/>
              </w:rPr>
              <w:t> </w:t>
            </w:r>
            <w:r>
              <w:rPr/>
              <w:t>Technological</w:t>
            </w:r>
            <w:r>
              <w:rPr>
                <w:spacing w:val="-2"/>
              </w:rPr>
              <w:t> </w:t>
            </w:r>
            <w:r>
              <w:rPr/>
              <w:t>Principles</w:t>
            </w:r>
            <w:r>
              <w:rPr>
                <w:spacing w:val="-2"/>
              </w:rPr>
              <w:t> </w:t>
            </w:r>
            <w:r>
              <w:rPr/>
              <w:t>of</w:t>
            </w:r>
            <w:r>
              <w:rPr>
                <w:spacing w:val="-2"/>
              </w:rPr>
              <w:t> Tests</w:t>
            </w:r>
            <w:r>
              <w:rPr/>
              <w:tab/>
            </w:r>
            <w:r>
              <w:rPr>
                <w:spacing w:val="-5"/>
              </w:rPr>
              <w:t>17</w:t>
            </w:r>
          </w:hyperlink>
        </w:p>
        <w:p>
          <w:pPr>
            <w:pStyle w:val="TOC2"/>
            <w:numPr>
              <w:ilvl w:val="1"/>
              <w:numId w:val="1"/>
            </w:numPr>
            <w:tabs>
              <w:tab w:pos="1039" w:val="left" w:leader="none"/>
              <w:tab w:pos="9270" w:val="left" w:leader="dot"/>
            </w:tabs>
            <w:spacing w:line="240" w:lineRule="auto" w:before="101" w:after="0"/>
            <w:ind w:left="1039" w:right="0" w:hanging="639"/>
            <w:jc w:val="left"/>
          </w:pPr>
          <w:hyperlink w:history="true" w:anchor="_bookmark37">
            <w:r>
              <w:rPr/>
              <w:t>Molecular</w:t>
            </w:r>
            <w:r>
              <w:rPr>
                <w:spacing w:val="-2"/>
              </w:rPr>
              <w:t> Diagnostics</w:t>
            </w:r>
            <w:r>
              <w:rPr/>
              <w:tab/>
            </w:r>
            <w:r>
              <w:rPr>
                <w:spacing w:val="-7"/>
              </w:rPr>
              <w:t>17</w:t>
            </w:r>
          </w:hyperlink>
        </w:p>
        <w:p>
          <w:pPr>
            <w:pStyle w:val="TOC3"/>
            <w:numPr>
              <w:ilvl w:val="0"/>
              <w:numId w:val="5"/>
            </w:numPr>
            <w:tabs>
              <w:tab w:pos="1260" w:val="left" w:leader="none"/>
              <w:tab w:pos="9270" w:val="left" w:leader="dot"/>
            </w:tabs>
            <w:spacing w:line="240" w:lineRule="auto" w:before="100" w:after="0"/>
            <w:ind w:left="1260" w:right="0" w:hanging="620"/>
            <w:jc w:val="left"/>
          </w:pPr>
          <w:hyperlink w:history="true" w:anchor="_bookmark40">
            <w:r>
              <w:rPr/>
              <w:t>Limit</w:t>
            </w:r>
            <w:r>
              <w:rPr>
                <w:spacing w:val="-2"/>
              </w:rPr>
              <w:t> </w:t>
            </w:r>
            <w:r>
              <w:rPr/>
              <w:t>of</w:t>
            </w:r>
            <w:r>
              <w:rPr>
                <w:spacing w:val="-2"/>
              </w:rPr>
              <w:t> Detection</w:t>
            </w:r>
            <w:r>
              <w:rPr/>
              <w:tab/>
            </w:r>
            <w:r>
              <w:rPr>
                <w:spacing w:val="-5"/>
              </w:rPr>
              <w:t>18</w:t>
            </w:r>
          </w:hyperlink>
        </w:p>
        <w:p>
          <w:pPr>
            <w:pStyle w:val="TOC3"/>
            <w:numPr>
              <w:ilvl w:val="0"/>
              <w:numId w:val="5"/>
            </w:numPr>
            <w:tabs>
              <w:tab w:pos="1260" w:val="left" w:leader="none"/>
              <w:tab w:pos="9270" w:val="left" w:leader="dot"/>
            </w:tabs>
            <w:spacing w:line="240" w:lineRule="auto" w:before="99" w:after="0"/>
            <w:ind w:left="1260" w:right="0" w:hanging="620"/>
            <w:jc w:val="left"/>
          </w:pPr>
          <w:hyperlink w:history="true" w:anchor="_bookmark41">
            <w:r>
              <w:rPr/>
              <w:t>Clinical</w:t>
            </w:r>
            <w:r>
              <w:rPr>
                <w:spacing w:val="-2"/>
              </w:rPr>
              <w:t> Evaluation</w:t>
            </w:r>
            <w:r>
              <w:rPr/>
              <w:tab/>
            </w:r>
            <w:r>
              <w:rPr>
                <w:spacing w:val="-5"/>
              </w:rPr>
              <w:t>18</w:t>
            </w:r>
          </w:hyperlink>
        </w:p>
        <w:p>
          <w:pPr>
            <w:pStyle w:val="TOC3"/>
            <w:numPr>
              <w:ilvl w:val="0"/>
              <w:numId w:val="5"/>
            </w:numPr>
            <w:tabs>
              <w:tab w:pos="1260" w:val="left" w:leader="none"/>
              <w:tab w:pos="9270" w:val="left" w:leader="dot"/>
            </w:tabs>
            <w:spacing w:line="240" w:lineRule="auto" w:before="100" w:after="0"/>
            <w:ind w:left="1260" w:right="0" w:hanging="620"/>
            <w:jc w:val="left"/>
          </w:pPr>
          <w:hyperlink w:history="true" w:anchor="_bookmark42">
            <w:r>
              <w:rPr>
                <w:spacing w:val="-2"/>
              </w:rPr>
              <w:t>Inclusivity</w:t>
            </w:r>
            <w:r>
              <w:rPr/>
              <w:tab/>
            </w:r>
            <w:r>
              <w:rPr>
                <w:spacing w:val="-5"/>
              </w:rPr>
              <w:t>18</w:t>
            </w:r>
          </w:hyperlink>
        </w:p>
        <w:p>
          <w:pPr>
            <w:pStyle w:val="TOC3"/>
            <w:numPr>
              <w:ilvl w:val="0"/>
              <w:numId w:val="5"/>
            </w:numPr>
            <w:tabs>
              <w:tab w:pos="1260" w:val="left" w:leader="none"/>
              <w:tab w:pos="9270" w:val="left" w:leader="dot"/>
            </w:tabs>
            <w:spacing w:line="240" w:lineRule="auto" w:before="101" w:after="0"/>
            <w:ind w:left="1260" w:right="0" w:hanging="620"/>
            <w:jc w:val="left"/>
          </w:pPr>
          <w:hyperlink w:history="true" w:anchor="_bookmark43">
            <w:r>
              <w:rPr>
                <w:spacing w:val="-2"/>
              </w:rPr>
              <w:t>Cross-reactivity</w:t>
            </w:r>
            <w:r>
              <w:rPr/>
              <w:tab/>
            </w:r>
            <w:r>
              <w:rPr>
                <w:spacing w:val="-5"/>
              </w:rPr>
              <w:t>18</w:t>
            </w:r>
          </w:hyperlink>
        </w:p>
        <w:p>
          <w:pPr>
            <w:pStyle w:val="TOC2"/>
            <w:numPr>
              <w:ilvl w:val="1"/>
              <w:numId w:val="1"/>
            </w:numPr>
            <w:tabs>
              <w:tab w:pos="1039" w:val="left" w:leader="none"/>
              <w:tab w:pos="9270" w:val="left" w:leader="dot"/>
            </w:tabs>
            <w:spacing w:line="240" w:lineRule="auto" w:before="99" w:after="0"/>
            <w:ind w:left="1039" w:right="0" w:hanging="639"/>
            <w:jc w:val="left"/>
          </w:pPr>
          <w:hyperlink w:history="true" w:anchor="_bookmark44">
            <w:r>
              <w:rPr/>
              <w:t>Antigen</w:t>
            </w:r>
            <w:r>
              <w:rPr>
                <w:spacing w:val="-2"/>
              </w:rPr>
              <w:t> </w:t>
            </w:r>
            <w:r>
              <w:rPr/>
              <w:t>Detection</w:t>
            </w:r>
            <w:r>
              <w:rPr>
                <w:spacing w:val="-1"/>
              </w:rPr>
              <w:t> </w:t>
            </w:r>
            <w:r>
              <w:rPr>
                <w:spacing w:val="-2"/>
              </w:rPr>
              <w:t>Diagnostics</w:t>
            </w:r>
            <w:r>
              <w:rPr/>
              <w:tab/>
            </w:r>
            <w:r>
              <w:rPr>
                <w:spacing w:val="-5"/>
              </w:rPr>
              <w:t>19</w:t>
            </w:r>
          </w:hyperlink>
        </w:p>
        <w:p>
          <w:pPr>
            <w:pStyle w:val="TOC2"/>
            <w:numPr>
              <w:ilvl w:val="1"/>
              <w:numId w:val="1"/>
            </w:numPr>
            <w:tabs>
              <w:tab w:pos="1039" w:val="left" w:leader="none"/>
              <w:tab w:pos="9270" w:val="left" w:leader="dot"/>
            </w:tabs>
            <w:spacing w:line="240" w:lineRule="auto" w:before="100" w:after="0"/>
            <w:ind w:left="1039" w:right="0" w:hanging="639"/>
            <w:jc w:val="left"/>
          </w:pPr>
          <w:hyperlink w:history="true" w:anchor="_bookmark45">
            <w:r>
              <w:rPr/>
              <w:t>Serological</w:t>
            </w:r>
            <w:r>
              <w:rPr>
                <w:spacing w:val="-3"/>
              </w:rPr>
              <w:t> </w:t>
            </w:r>
            <w:r>
              <w:rPr>
                <w:spacing w:val="-2"/>
              </w:rPr>
              <w:t>Tests</w:t>
            </w:r>
            <w:r>
              <w:rPr/>
              <w:tab/>
            </w:r>
            <w:r>
              <w:rPr>
                <w:spacing w:val="-5"/>
              </w:rPr>
              <w:t>19</w:t>
            </w:r>
          </w:hyperlink>
        </w:p>
      </w:sdtContent>
    </w:sdt>
    <w:p>
      <w:pPr>
        <w:spacing w:after="0" w:line="240" w:lineRule="auto"/>
        <w:jc w:val="left"/>
        <w:sectPr>
          <w:pgSz w:w="12240" w:h="15840"/>
          <w:pgMar w:header="731" w:footer="785" w:top="1360" w:bottom="980" w:left="1280" w:right="1200"/>
        </w:sectPr>
      </w:pPr>
    </w:p>
    <w:p>
      <w:pPr>
        <w:spacing w:before="356"/>
        <w:ind w:left="458" w:right="538" w:firstLine="0"/>
        <w:jc w:val="center"/>
        <w:rPr>
          <w:b/>
          <w:sz w:val="56"/>
        </w:rPr>
      </w:pPr>
      <w:r>
        <w:rPr>
          <w:b/>
          <w:sz w:val="56"/>
        </w:rPr>
        <w:t>Policy</w:t>
      </w:r>
      <w:r>
        <w:rPr>
          <w:b/>
          <w:spacing w:val="-12"/>
          <w:sz w:val="56"/>
        </w:rPr>
        <w:t> </w:t>
      </w:r>
      <w:r>
        <w:rPr>
          <w:b/>
          <w:sz w:val="56"/>
        </w:rPr>
        <w:t>for</w:t>
      </w:r>
      <w:r>
        <w:rPr>
          <w:b/>
          <w:spacing w:val="-13"/>
          <w:sz w:val="56"/>
        </w:rPr>
        <w:t> </w:t>
      </w:r>
      <w:r>
        <w:rPr>
          <w:b/>
          <w:sz w:val="56"/>
        </w:rPr>
        <w:t>Coronavirus</w:t>
      </w:r>
      <w:r>
        <w:rPr>
          <w:b/>
          <w:spacing w:val="-13"/>
          <w:sz w:val="56"/>
        </w:rPr>
        <w:t> </w:t>
      </w:r>
      <w:r>
        <w:rPr>
          <w:b/>
          <w:sz w:val="56"/>
        </w:rPr>
        <w:t>Disease-2019 Tests During the Public Health </w:t>
      </w:r>
      <w:r>
        <w:rPr>
          <w:b/>
          <w:spacing w:val="-2"/>
          <w:sz w:val="56"/>
        </w:rPr>
        <w:t>Emergency</w:t>
      </w:r>
    </w:p>
    <w:p>
      <w:pPr>
        <w:spacing w:before="213"/>
        <w:ind w:left="551" w:right="632" w:firstLine="2"/>
        <w:jc w:val="center"/>
        <w:rPr>
          <w:b/>
          <w:sz w:val="56"/>
        </w:rPr>
      </w:pPr>
      <w:r>
        <w:rPr/>
        <mc:AlternateContent>
          <mc:Choice Requires="wps">
            <w:drawing>
              <wp:anchor distT="0" distB="0" distL="0" distR="0" allowOverlap="1" layoutInCell="1" locked="0" behindDoc="0" simplePos="0" relativeHeight="15729152">
                <wp:simplePos x="0" y="0"/>
                <wp:positionH relativeFrom="page">
                  <wp:posOffset>895350</wp:posOffset>
                </wp:positionH>
                <wp:positionV relativeFrom="paragraph">
                  <wp:posOffset>128138</wp:posOffset>
                </wp:positionV>
                <wp:extent cx="5982335" cy="6350"/>
                <wp:effectExtent l="0" t="0" r="0" b="0"/>
                <wp:wrapNone/>
                <wp:docPr id="4" name="Graphic 4"/>
                <wp:cNvGraphicFramePr>
                  <a:graphicFrameLocks/>
                </wp:cNvGraphicFramePr>
                <a:graphic>
                  <a:graphicData uri="http://schemas.microsoft.com/office/word/2010/wordprocessingShape">
                    <wps:wsp>
                      <wps:cNvPr id="4" name="Graphic 4"/>
                      <wps:cNvSpPr/>
                      <wps:spPr>
                        <a:xfrm>
                          <a:off x="0" y="0"/>
                          <a:ext cx="5982335" cy="6350"/>
                        </a:xfrm>
                        <a:custGeom>
                          <a:avLst/>
                          <a:gdLst/>
                          <a:ahLst/>
                          <a:cxnLst/>
                          <a:rect l="l" t="t" r="r" b="b"/>
                          <a:pathLst>
                            <a:path w="5982335" h="6350">
                              <a:moveTo>
                                <a:pt x="5981712" y="0"/>
                              </a:moveTo>
                              <a:lnTo>
                                <a:pt x="0" y="0"/>
                              </a:lnTo>
                              <a:lnTo>
                                <a:pt x="0" y="6108"/>
                              </a:lnTo>
                              <a:lnTo>
                                <a:pt x="5981712" y="6108"/>
                              </a:lnTo>
                              <a:lnTo>
                                <a:pt x="5981712"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0.5pt;margin-top:10.089635pt;width:471.001pt;height:.481pt;mso-position-horizontal-relative:page;mso-position-vertical-relative:paragraph;z-index:15729152" id="docshape4" filled="true" fillcolor="#000000" stroked="false">
                <v:fill type="solid"/>
                <w10:wrap type="none"/>
              </v:rect>
            </w:pict>
          </mc:Fallback>
        </mc:AlternateContent>
      </w:r>
      <w:r>
        <w:rPr>
          <w:b/>
          <w:sz w:val="56"/>
        </w:rPr>
        <w:t>Immediately in Effect Guidance for Clinical Laboratories, Commercial Manufacturers,</w:t>
      </w:r>
      <w:r>
        <w:rPr>
          <w:b/>
          <w:spacing w:val="-10"/>
          <w:sz w:val="56"/>
        </w:rPr>
        <w:t> </w:t>
      </w:r>
      <w:r>
        <w:rPr>
          <w:b/>
          <w:sz w:val="56"/>
        </w:rPr>
        <w:t>and</w:t>
      </w:r>
      <w:r>
        <w:rPr>
          <w:b/>
          <w:spacing w:val="-9"/>
          <w:sz w:val="56"/>
        </w:rPr>
        <w:t> </w:t>
      </w:r>
      <w:r>
        <w:rPr>
          <w:b/>
          <w:sz w:val="56"/>
        </w:rPr>
        <w:t>Food</w:t>
      </w:r>
      <w:r>
        <w:rPr>
          <w:b/>
          <w:spacing w:val="-10"/>
          <w:sz w:val="56"/>
        </w:rPr>
        <w:t> </w:t>
      </w:r>
      <w:r>
        <w:rPr>
          <w:b/>
          <w:sz w:val="56"/>
        </w:rPr>
        <w:t>and</w:t>
      </w:r>
      <w:r>
        <w:rPr>
          <w:b/>
          <w:spacing w:val="-8"/>
          <w:sz w:val="56"/>
        </w:rPr>
        <w:t> </w:t>
      </w:r>
      <w:r>
        <w:rPr>
          <w:b/>
          <w:sz w:val="56"/>
        </w:rPr>
        <w:t>Drug Administration Staff</w:t>
      </w:r>
    </w:p>
    <w:p>
      <w:pPr>
        <w:pStyle w:val="BodyText"/>
        <w:rPr>
          <w:b/>
          <w:sz w:val="40"/>
        </w:rPr>
      </w:pPr>
    </w:p>
    <w:p>
      <w:pPr>
        <w:pStyle w:val="BodyText"/>
        <w:rPr>
          <w:b/>
          <w:sz w:val="40"/>
        </w:rPr>
      </w:pPr>
    </w:p>
    <w:p>
      <w:pPr>
        <w:pStyle w:val="BodyText"/>
        <w:rPr>
          <w:b/>
          <w:sz w:val="40"/>
        </w:rPr>
      </w:pPr>
    </w:p>
    <w:p>
      <w:pPr>
        <w:pStyle w:val="BodyText"/>
        <w:spacing w:before="9"/>
        <w:rPr>
          <w:b/>
          <w:sz w:val="58"/>
        </w:rPr>
      </w:pPr>
    </w:p>
    <w:p>
      <w:pPr>
        <w:pStyle w:val="Heading1"/>
        <w:numPr>
          <w:ilvl w:val="0"/>
          <w:numId w:val="6"/>
        </w:numPr>
        <w:tabs>
          <w:tab w:pos="879" w:val="left" w:leader="none"/>
        </w:tabs>
        <w:spacing w:line="240" w:lineRule="auto" w:before="0" w:after="0"/>
        <w:ind w:left="879" w:right="0" w:hanging="719"/>
        <w:jc w:val="left"/>
      </w:pPr>
      <w:r>
        <w:rPr/>
        <mc:AlternateContent>
          <mc:Choice Requires="wps">
            <w:drawing>
              <wp:anchor distT="0" distB="0" distL="0" distR="0" allowOverlap="1" layoutInCell="1" locked="0" behindDoc="0" simplePos="0" relativeHeight="15729664">
                <wp:simplePos x="0" y="0"/>
                <wp:positionH relativeFrom="page">
                  <wp:posOffset>820674</wp:posOffset>
                </wp:positionH>
                <wp:positionV relativeFrom="paragraph">
                  <wp:posOffset>-1127700</wp:posOffset>
                </wp:positionV>
                <wp:extent cx="6181725" cy="1049655"/>
                <wp:effectExtent l="0" t="0" r="0" b="0"/>
                <wp:wrapNone/>
                <wp:docPr id="5" name="Group 5"/>
                <wp:cNvGraphicFramePr>
                  <a:graphicFrameLocks/>
                </wp:cNvGraphicFramePr>
                <a:graphic>
                  <a:graphicData uri="http://schemas.microsoft.com/office/word/2010/wordprocessingGroup">
                    <wpg:wgp>
                      <wpg:cNvPr id="5" name="Group 5"/>
                      <wpg:cNvGrpSpPr/>
                      <wpg:grpSpPr>
                        <a:xfrm>
                          <a:off x="0" y="0"/>
                          <a:ext cx="6181725" cy="1049655"/>
                          <a:chExt cx="6181725" cy="1049655"/>
                        </a:xfrm>
                      </wpg:grpSpPr>
                      <wps:wsp>
                        <wps:cNvPr id="6" name="Graphic 6"/>
                        <wps:cNvSpPr/>
                        <wps:spPr>
                          <a:xfrm>
                            <a:off x="0" y="0"/>
                            <a:ext cx="6181725" cy="1049655"/>
                          </a:xfrm>
                          <a:custGeom>
                            <a:avLst/>
                            <a:gdLst/>
                            <a:ahLst/>
                            <a:cxnLst/>
                            <a:rect l="l" t="t" r="r" b="b"/>
                            <a:pathLst>
                              <a:path w="6181725" h="1049655">
                                <a:moveTo>
                                  <a:pt x="6115812" y="65532"/>
                                </a:moveTo>
                                <a:lnTo>
                                  <a:pt x="6106680" y="65532"/>
                                </a:lnTo>
                                <a:lnTo>
                                  <a:pt x="6106668" y="74676"/>
                                </a:lnTo>
                                <a:lnTo>
                                  <a:pt x="6106668" y="974598"/>
                                </a:lnTo>
                                <a:lnTo>
                                  <a:pt x="74676" y="974598"/>
                                </a:lnTo>
                                <a:lnTo>
                                  <a:pt x="74676" y="74676"/>
                                </a:lnTo>
                                <a:lnTo>
                                  <a:pt x="6106668" y="74676"/>
                                </a:lnTo>
                                <a:lnTo>
                                  <a:pt x="6106668" y="65532"/>
                                </a:lnTo>
                                <a:lnTo>
                                  <a:pt x="74676" y="65532"/>
                                </a:lnTo>
                                <a:lnTo>
                                  <a:pt x="65532" y="65532"/>
                                </a:lnTo>
                                <a:lnTo>
                                  <a:pt x="65532" y="983742"/>
                                </a:lnTo>
                                <a:lnTo>
                                  <a:pt x="74676" y="983742"/>
                                </a:lnTo>
                                <a:lnTo>
                                  <a:pt x="6106668" y="983742"/>
                                </a:lnTo>
                                <a:lnTo>
                                  <a:pt x="6115812" y="983742"/>
                                </a:lnTo>
                                <a:lnTo>
                                  <a:pt x="6115812" y="974598"/>
                                </a:lnTo>
                                <a:lnTo>
                                  <a:pt x="6115812" y="74663"/>
                                </a:lnTo>
                                <a:lnTo>
                                  <a:pt x="6115812" y="65532"/>
                                </a:lnTo>
                                <a:close/>
                              </a:path>
                              <a:path w="6181725" h="1049655">
                                <a:moveTo>
                                  <a:pt x="6163056" y="18288"/>
                                </a:moveTo>
                                <a:lnTo>
                                  <a:pt x="6124956" y="18288"/>
                                </a:lnTo>
                                <a:lnTo>
                                  <a:pt x="6124956" y="56388"/>
                                </a:lnTo>
                                <a:lnTo>
                                  <a:pt x="6124956" y="74676"/>
                                </a:lnTo>
                                <a:lnTo>
                                  <a:pt x="6124956" y="992886"/>
                                </a:lnTo>
                                <a:lnTo>
                                  <a:pt x="6106668" y="992886"/>
                                </a:lnTo>
                                <a:lnTo>
                                  <a:pt x="74676" y="992886"/>
                                </a:lnTo>
                                <a:lnTo>
                                  <a:pt x="56388" y="992886"/>
                                </a:lnTo>
                                <a:lnTo>
                                  <a:pt x="56388" y="974598"/>
                                </a:lnTo>
                                <a:lnTo>
                                  <a:pt x="56388" y="56388"/>
                                </a:lnTo>
                                <a:lnTo>
                                  <a:pt x="74676" y="56388"/>
                                </a:lnTo>
                                <a:lnTo>
                                  <a:pt x="6106668" y="56388"/>
                                </a:lnTo>
                                <a:lnTo>
                                  <a:pt x="6124956" y="56388"/>
                                </a:lnTo>
                                <a:lnTo>
                                  <a:pt x="6124956" y="18288"/>
                                </a:lnTo>
                                <a:lnTo>
                                  <a:pt x="6106668" y="18288"/>
                                </a:lnTo>
                                <a:lnTo>
                                  <a:pt x="74676" y="18288"/>
                                </a:lnTo>
                                <a:lnTo>
                                  <a:pt x="56388" y="18288"/>
                                </a:lnTo>
                                <a:lnTo>
                                  <a:pt x="18288" y="18288"/>
                                </a:lnTo>
                                <a:lnTo>
                                  <a:pt x="18288" y="56388"/>
                                </a:lnTo>
                                <a:lnTo>
                                  <a:pt x="18288" y="1030986"/>
                                </a:lnTo>
                                <a:lnTo>
                                  <a:pt x="56388" y="1030986"/>
                                </a:lnTo>
                                <a:lnTo>
                                  <a:pt x="74676" y="1030986"/>
                                </a:lnTo>
                                <a:lnTo>
                                  <a:pt x="6106668" y="1030986"/>
                                </a:lnTo>
                                <a:lnTo>
                                  <a:pt x="6124956" y="1030986"/>
                                </a:lnTo>
                                <a:lnTo>
                                  <a:pt x="6163056" y="1030986"/>
                                </a:lnTo>
                                <a:lnTo>
                                  <a:pt x="6163056" y="992886"/>
                                </a:lnTo>
                                <a:lnTo>
                                  <a:pt x="6163056" y="56388"/>
                                </a:lnTo>
                                <a:lnTo>
                                  <a:pt x="6163056" y="18288"/>
                                </a:lnTo>
                                <a:close/>
                              </a:path>
                              <a:path w="6181725" h="1049655">
                                <a:moveTo>
                                  <a:pt x="6181344" y="0"/>
                                </a:moveTo>
                                <a:lnTo>
                                  <a:pt x="6172200" y="0"/>
                                </a:lnTo>
                                <a:lnTo>
                                  <a:pt x="6172200" y="9144"/>
                                </a:lnTo>
                                <a:lnTo>
                                  <a:pt x="6172200" y="74663"/>
                                </a:lnTo>
                                <a:lnTo>
                                  <a:pt x="6172200" y="1040130"/>
                                </a:lnTo>
                                <a:lnTo>
                                  <a:pt x="6106680" y="1040130"/>
                                </a:lnTo>
                                <a:lnTo>
                                  <a:pt x="74676" y="1040130"/>
                                </a:lnTo>
                                <a:lnTo>
                                  <a:pt x="9144" y="1040130"/>
                                </a:lnTo>
                                <a:lnTo>
                                  <a:pt x="9144" y="974598"/>
                                </a:lnTo>
                                <a:lnTo>
                                  <a:pt x="9144" y="9144"/>
                                </a:lnTo>
                                <a:lnTo>
                                  <a:pt x="74676" y="9144"/>
                                </a:lnTo>
                                <a:lnTo>
                                  <a:pt x="6106668" y="9144"/>
                                </a:lnTo>
                                <a:lnTo>
                                  <a:pt x="6172200" y="9144"/>
                                </a:lnTo>
                                <a:lnTo>
                                  <a:pt x="6172200" y="0"/>
                                </a:lnTo>
                                <a:lnTo>
                                  <a:pt x="0" y="0"/>
                                </a:lnTo>
                                <a:lnTo>
                                  <a:pt x="0" y="9144"/>
                                </a:lnTo>
                                <a:lnTo>
                                  <a:pt x="0" y="1049274"/>
                                </a:lnTo>
                                <a:lnTo>
                                  <a:pt x="9144" y="1049274"/>
                                </a:lnTo>
                                <a:lnTo>
                                  <a:pt x="6181344" y="1049274"/>
                                </a:lnTo>
                                <a:lnTo>
                                  <a:pt x="6181344" y="1040130"/>
                                </a:lnTo>
                                <a:lnTo>
                                  <a:pt x="6181344" y="9144"/>
                                </a:lnTo>
                                <a:lnTo>
                                  <a:pt x="6181344" y="0"/>
                                </a:lnTo>
                                <a:close/>
                              </a:path>
                            </a:pathLst>
                          </a:custGeom>
                          <a:solidFill>
                            <a:srgbClr val="000000"/>
                          </a:solidFill>
                        </wps:spPr>
                        <wps:bodyPr wrap="square" lIns="0" tIns="0" rIns="0" bIns="0" rtlCol="0">
                          <a:prstTxWarp prst="textNoShape">
                            <a:avLst/>
                          </a:prstTxWarp>
                          <a:noAutofit/>
                        </wps:bodyPr>
                      </wps:wsp>
                      <wps:wsp>
                        <wps:cNvPr id="7" name="Textbox 7"/>
                        <wps:cNvSpPr txBox="1"/>
                        <wps:spPr>
                          <a:xfrm>
                            <a:off x="56388" y="47244"/>
                            <a:ext cx="6068695" cy="955040"/>
                          </a:xfrm>
                          <a:prstGeom prst="rect">
                            <a:avLst/>
                          </a:prstGeom>
                        </wps:spPr>
                        <wps:txbx>
                          <w:txbxContent>
                            <w:p>
                              <w:pPr>
                                <w:spacing w:before="61"/>
                                <w:ind w:left="58" w:right="230" w:firstLine="0"/>
                                <w:jc w:val="left"/>
                                <w:rPr>
                                  <w:rFonts w:ascii="TimesNewRomanPS-BoldItalicMT"/>
                                  <w:b/>
                                  <w:i/>
                                  <w:sz w:val="24"/>
                                </w:rPr>
                              </w:pPr>
                              <w:r>
                                <w:rPr>
                                  <w:rFonts w:ascii="TimesNewRomanPS-BoldItalicMT"/>
                                  <w:b/>
                                  <w:i/>
                                  <w:sz w:val="24"/>
                                </w:rPr>
                                <w:t>This guidance represents the current thinking of</w:t>
                              </w:r>
                              <w:r>
                                <w:rPr>
                                  <w:rFonts w:ascii="TimesNewRomanPS-BoldItalicMT"/>
                                  <w:b/>
                                  <w:i/>
                                  <w:spacing w:val="-1"/>
                                  <w:sz w:val="24"/>
                                </w:rPr>
                                <w:t> </w:t>
                              </w:r>
                              <w:r>
                                <w:rPr>
                                  <w:rFonts w:ascii="TimesNewRomanPS-BoldItalicMT"/>
                                  <w:b/>
                                  <w:i/>
                                  <w:sz w:val="24"/>
                                </w:rPr>
                                <w:t>the Food and Drug Administration</w:t>
                              </w:r>
                              <w:r>
                                <w:rPr>
                                  <w:rFonts w:ascii="TimesNewRomanPS-BoldItalicMT"/>
                                  <w:b/>
                                  <w:i/>
                                  <w:spacing w:val="-2"/>
                                  <w:sz w:val="24"/>
                                </w:rPr>
                                <w:t> </w:t>
                              </w:r>
                              <w:r>
                                <w:rPr>
                                  <w:rFonts w:ascii="TimesNewRomanPS-BoldItalicMT"/>
                                  <w:b/>
                                  <w:i/>
                                  <w:sz w:val="24"/>
                                </w:rPr>
                                <w:t>(FDA</w:t>
                              </w:r>
                              <w:r>
                                <w:rPr>
                                  <w:rFonts w:ascii="TimesNewRomanPS-BoldItalicMT"/>
                                  <w:b/>
                                  <w:i/>
                                  <w:spacing w:val="-1"/>
                                  <w:sz w:val="24"/>
                                </w:rPr>
                                <w:t> </w:t>
                              </w:r>
                              <w:r>
                                <w:rPr>
                                  <w:rFonts w:ascii="TimesNewRomanPS-BoldItalicMT"/>
                                  <w:b/>
                                  <w:i/>
                                  <w:sz w:val="24"/>
                                </w:rPr>
                                <w:t>or Agency) on this topic. It does not establish any rights for any person and is not binding on FDA or the public. You can use an alternative approach if it satisfies the requirements of the applicable</w:t>
                              </w:r>
                              <w:r>
                                <w:rPr>
                                  <w:rFonts w:ascii="TimesNewRomanPS-BoldItalicMT"/>
                                  <w:b/>
                                  <w:i/>
                                  <w:spacing w:val="-3"/>
                                  <w:sz w:val="24"/>
                                </w:rPr>
                                <w:t> </w:t>
                              </w:r>
                              <w:r>
                                <w:rPr>
                                  <w:rFonts w:ascii="TimesNewRomanPS-BoldItalicMT"/>
                                  <w:b/>
                                  <w:i/>
                                  <w:sz w:val="24"/>
                                </w:rPr>
                                <w:t>statutes</w:t>
                              </w:r>
                              <w:r>
                                <w:rPr>
                                  <w:rFonts w:ascii="TimesNewRomanPS-BoldItalicMT"/>
                                  <w:b/>
                                  <w:i/>
                                  <w:spacing w:val="-3"/>
                                  <w:sz w:val="24"/>
                                </w:rPr>
                                <w:t> </w:t>
                              </w:r>
                              <w:r>
                                <w:rPr>
                                  <w:rFonts w:ascii="TimesNewRomanPS-BoldItalicMT"/>
                                  <w:b/>
                                  <w:i/>
                                  <w:sz w:val="24"/>
                                </w:rPr>
                                <w:t>and</w:t>
                              </w:r>
                              <w:r>
                                <w:rPr>
                                  <w:rFonts w:ascii="TimesNewRomanPS-BoldItalicMT"/>
                                  <w:b/>
                                  <w:i/>
                                  <w:spacing w:val="-5"/>
                                  <w:sz w:val="24"/>
                                </w:rPr>
                                <w:t> </w:t>
                              </w:r>
                              <w:r>
                                <w:rPr>
                                  <w:rFonts w:ascii="TimesNewRomanPS-BoldItalicMT"/>
                                  <w:b/>
                                  <w:i/>
                                  <w:sz w:val="24"/>
                                </w:rPr>
                                <w:t>regulations.</w:t>
                              </w:r>
                              <w:r>
                                <w:rPr>
                                  <w:rFonts w:ascii="TimesNewRomanPS-BoldItalicMT"/>
                                  <w:b/>
                                  <w:i/>
                                  <w:spacing w:val="-4"/>
                                  <w:sz w:val="24"/>
                                </w:rPr>
                                <w:t> </w:t>
                              </w:r>
                              <w:r>
                                <w:rPr>
                                  <w:rFonts w:ascii="TimesNewRomanPS-BoldItalicMT"/>
                                  <w:b/>
                                  <w:i/>
                                  <w:sz w:val="24"/>
                                </w:rPr>
                                <w:t>To</w:t>
                              </w:r>
                              <w:r>
                                <w:rPr>
                                  <w:rFonts w:ascii="TimesNewRomanPS-BoldItalicMT"/>
                                  <w:b/>
                                  <w:i/>
                                  <w:spacing w:val="-3"/>
                                  <w:sz w:val="24"/>
                                </w:rPr>
                                <w:t> </w:t>
                              </w:r>
                              <w:r>
                                <w:rPr>
                                  <w:rFonts w:ascii="TimesNewRomanPS-BoldItalicMT"/>
                                  <w:b/>
                                  <w:i/>
                                  <w:sz w:val="24"/>
                                </w:rPr>
                                <w:t>discuss</w:t>
                              </w:r>
                              <w:r>
                                <w:rPr>
                                  <w:rFonts w:ascii="TimesNewRomanPS-BoldItalicMT"/>
                                  <w:b/>
                                  <w:i/>
                                  <w:spacing w:val="-4"/>
                                  <w:sz w:val="24"/>
                                </w:rPr>
                                <w:t> </w:t>
                              </w:r>
                              <w:r>
                                <w:rPr>
                                  <w:rFonts w:ascii="TimesNewRomanPS-BoldItalicMT"/>
                                  <w:b/>
                                  <w:i/>
                                  <w:sz w:val="24"/>
                                </w:rPr>
                                <w:t>an</w:t>
                              </w:r>
                              <w:r>
                                <w:rPr>
                                  <w:rFonts w:ascii="TimesNewRomanPS-BoldItalicMT"/>
                                  <w:b/>
                                  <w:i/>
                                  <w:spacing w:val="-4"/>
                                  <w:sz w:val="24"/>
                                </w:rPr>
                                <w:t> </w:t>
                              </w:r>
                              <w:r>
                                <w:rPr>
                                  <w:rFonts w:ascii="TimesNewRomanPS-BoldItalicMT"/>
                                  <w:b/>
                                  <w:i/>
                                  <w:sz w:val="24"/>
                                </w:rPr>
                                <w:t>alternative</w:t>
                              </w:r>
                              <w:r>
                                <w:rPr>
                                  <w:rFonts w:ascii="TimesNewRomanPS-BoldItalicMT"/>
                                  <w:b/>
                                  <w:i/>
                                  <w:spacing w:val="-3"/>
                                  <w:sz w:val="24"/>
                                </w:rPr>
                                <w:t> </w:t>
                              </w:r>
                              <w:r>
                                <w:rPr>
                                  <w:rFonts w:ascii="TimesNewRomanPS-BoldItalicMT"/>
                                  <w:b/>
                                  <w:i/>
                                  <w:sz w:val="24"/>
                                </w:rPr>
                                <w:t>approach,</w:t>
                              </w:r>
                              <w:r>
                                <w:rPr>
                                  <w:rFonts w:ascii="TimesNewRomanPS-BoldItalicMT"/>
                                  <w:b/>
                                  <w:i/>
                                  <w:spacing w:val="-3"/>
                                  <w:sz w:val="24"/>
                                </w:rPr>
                                <w:t> </w:t>
                              </w:r>
                              <w:r>
                                <w:rPr>
                                  <w:rFonts w:ascii="TimesNewRomanPS-BoldItalicMT"/>
                                  <w:b/>
                                  <w:i/>
                                  <w:sz w:val="24"/>
                                </w:rPr>
                                <w:t>contact</w:t>
                              </w:r>
                              <w:r>
                                <w:rPr>
                                  <w:rFonts w:ascii="TimesNewRomanPS-BoldItalicMT"/>
                                  <w:b/>
                                  <w:i/>
                                  <w:spacing w:val="-4"/>
                                  <w:sz w:val="24"/>
                                </w:rPr>
                                <w:t> </w:t>
                              </w:r>
                              <w:r>
                                <w:rPr>
                                  <w:rFonts w:ascii="TimesNewRomanPS-BoldItalicMT"/>
                                  <w:b/>
                                  <w:i/>
                                  <w:sz w:val="24"/>
                                </w:rPr>
                                <w:t>the</w:t>
                              </w:r>
                              <w:r>
                                <w:rPr>
                                  <w:rFonts w:ascii="TimesNewRomanPS-BoldItalicMT"/>
                                  <w:b/>
                                  <w:i/>
                                  <w:spacing w:val="-4"/>
                                  <w:sz w:val="24"/>
                                </w:rPr>
                                <w:t> </w:t>
                              </w:r>
                              <w:r>
                                <w:rPr>
                                  <w:rFonts w:ascii="TimesNewRomanPS-BoldItalicMT"/>
                                  <w:b/>
                                  <w:i/>
                                  <w:sz w:val="24"/>
                                </w:rPr>
                                <w:t>FDA</w:t>
                              </w:r>
                              <w:r>
                                <w:rPr>
                                  <w:rFonts w:ascii="TimesNewRomanPS-BoldItalicMT"/>
                                  <w:b/>
                                  <w:i/>
                                  <w:spacing w:val="-4"/>
                                  <w:sz w:val="24"/>
                                </w:rPr>
                                <w:t> </w:t>
                              </w:r>
                              <w:r>
                                <w:rPr>
                                  <w:rFonts w:ascii="TimesNewRomanPS-BoldItalicMT"/>
                                  <w:b/>
                                  <w:i/>
                                  <w:sz w:val="24"/>
                                </w:rPr>
                                <w:t>staff or Office responsible for this guidance as listed on the title page.</w:t>
                              </w:r>
                            </w:p>
                          </w:txbxContent>
                        </wps:txbx>
                        <wps:bodyPr wrap="square" lIns="0" tIns="0" rIns="0" bIns="0" rtlCol="0">
                          <a:noAutofit/>
                        </wps:bodyPr>
                      </wps:wsp>
                    </wpg:wgp>
                  </a:graphicData>
                </a:graphic>
              </wp:anchor>
            </w:drawing>
          </mc:Choice>
          <mc:Fallback>
            <w:pict>
              <v:group style="position:absolute;margin-left:64.620003pt;margin-top:-88.795326pt;width:486.75pt;height:82.65pt;mso-position-horizontal-relative:page;mso-position-vertical-relative:paragraph;z-index:15729664" id="docshapegroup5" coordorigin="1292,-1776" coordsize="9735,1653">
                <v:shape style="position:absolute;left:1292;top:-1776;width:9735;height:1653" id="docshape6" coordorigin="1292,-1776" coordsize="9735,1653" path="m10924,-1673l10909,-1673,10909,-1673,10909,-1658,10909,-1364,10909,-1088,10909,-812,10909,-812,10909,-536,10909,-241,1410,-241,1410,-536,1410,-812,1410,-812,1410,-1088,1410,-1364,1410,-1658,10909,-1658,10909,-1673,1410,-1673,1396,-1673,1396,-1658,1396,-1658,1396,-1364,1396,-1088,1396,-812,1396,-812,1396,-536,1396,-241,1396,-227,1410,-227,10909,-227,10909,-227,10924,-227,10924,-241,10924,-536,10924,-812,10924,-812,10924,-1088,10924,-1364,10924,-1658,10924,-1658,10924,-1673xm10998,-1747l10938,-1747,10938,-1687,10938,-1658,10938,-1364,10938,-1088,10938,-812,10938,-536,10938,-241,10938,-212,10909,-212,1410,-212,1381,-212,1381,-241,1381,-536,1381,-812,1381,-1088,1381,-1364,1381,-1658,1381,-1687,1410,-1687,10909,-1687,10938,-1687,10938,-1747,10909,-1747,1410,-1747,1381,-1747,1321,-1747,1321,-1687,1321,-1658,1321,-1364,1321,-1088,1321,-812,1321,-536,1321,-241,1321,-212,1321,-152,1381,-152,1410,-152,10909,-152,10938,-152,10998,-152,10998,-212,10998,-241,10998,-536,10998,-812,10998,-1088,10998,-1364,10998,-1658,10998,-1687,10998,-1747xm11027,-1776l11012,-1776,11012,-1762,11012,-1658,11012,-1658,11012,-1364,11012,-1088,11012,-812,11012,-812,11012,-536,11012,-241,11012,-138,10909,-138,10909,-138,1410,-138,1307,-138,1307,-241,1307,-536,1307,-812,1307,-812,1307,-1088,1307,-1364,1307,-1658,1307,-1658,1307,-1762,1410,-1762,10909,-1762,10909,-1762,11012,-1762,11012,-1776,10909,-1776,10909,-1776,1410,-1776,1307,-1776,1292,-1776,1292,-1762,1292,-1658,1292,-1658,1292,-1364,1292,-1088,1292,-812,1292,-812,1292,-536,1292,-241,1292,-138,1292,-124,1307,-124,1410,-124,10909,-124,10909,-124,11012,-124,11027,-124,11027,-138,11027,-241,11027,-536,11027,-812,11027,-812,11027,-1088,11027,-1364,11027,-1658,11027,-1658,11027,-1762,11027,-1776xe" filled="true" fillcolor="#000000" stroked="false">
                  <v:path arrowok="t"/>
                  <v:fill type="solid"/>
                </v:shape>
                <v:shape style="position:absolute;left:1381;top:-1702;width:9557;height:1504" type="#_x0000_t202" id="docshape7" filled="false" stroked="false">
                  <v:textbox inset="0,0,0,0">
                    <w:txbxContent>
                      <w:p>
                        <w:pPr>
                          <w:spacing w:before="61"/>
                          <w:ind w:left="58" w:right="230" w:firstLine="0"/>
                          <w:jc w:val="left"/>
                          <w:rPr>
                            <w:rFonts w:ascii="TimesNewRomanPS-BoldItalicMT"/>
                            <w:b/>
                            <w:i/>
                            <w:sz w:val="24"/>
                          </w:rPr>
                        </w:pPr>
                        <w:r>
                          <w:rPr>
                            <w:rFonts w:ascii="TimesNewRomanPS-BoldItalicMT"/>
                            <w:b/>
                            <w:i/>
                            <w:sz w:val="24"/>
                          </w:rPr>
                          <w:t>This guidance represents the current thinking of</w:t>
                        </w:r>
                        <w:r>
                          <w:rPr>
                            <w:rFonts w:ascii="TimesNewRomanPS-BoldItalicMT"/>
                            <w:b/>
                            <w:i/>
                            <w:spacing w:val="-1"/>
                            <w:sz w:val="24"/>
                          </w:rPr>
                          <w:t> </w:t>
                        </w:r>
                        <w:r>
                          <w:rPr>
                            <w:rFonts w:ascii="TimesNewRomanPS-BoldItalicMT"/>
                            <w:b/>
                            <w:i/>
                            <w:sz w:val="24"/>
                          </w:rPr>
                          <w:t>the Food and Drug Administration</w:t>
                        </w:r>
                        <w:r>
                          <w:rPr>
                            <w:rFonts w:ascii="TimesNewRomanPS-BoldItalicMT"/>
                            <w:b/>
                            <w:i/>
                            <w:spacing w:val="-2"/>
                            <w:sz w:val="24"/>
                          </w:rPr>
                          <w:t> </w:t>
                        </w:r>
                        <w:r>
                          <w:rPr>
                            <w:rFonts w:ascii="TimesNewRomanPS-BoldItalicMT"/>
                            <w:b/>
                            <w:i/>
                            <w:sz w:val="24"/>
                          </w:rPr>
                          <w:t>(FDA</w:t>
                        </w:r>
                        <w:r>
                          <w:rPr>
                            <w:rFonts w:ascii="TimesNewRomanPS-BoldItalicMT"/>
                            <w:b/>
                            <w:i/>
                            <w:spacing w:val="-1"/>
                            <w:sz w:val="24"/>
                          </w:rPr>
                          <w:t> </w:t>
                        </w:r>
                        <w:r>
                          <w:rPr>
                            <w:rFonts w:ascii="TimesNewRomanPS-BoldItalicMT"/>
                            <w:b/>
                            <w:i/>
                            <w:sz w:val="24"/>
                          </w:rPr>
                          <w:t>or Agency) on this topic. It does not establish any rights for any person and is not binding on FDA or the public. You can use an alternative approach if it satisfies the requirements of the applicable</w:t>
                        </w:r>
                        <w:r>
                          <w:rPr>
                            <w:rFonts w:ascii="TimesNewRomanPS-BoldItalicMT"/>
                            <w:b/>
                            <w:i/>
                            <w:spacing w:val="-3"/>
                            <w:sz w:val="24"/>
                          </w:rPr>
                          <w:t> </w:t>
                        </w:r>
                        <w:r>
                          <w:rPr>
                            <w:rFonts w:ascii="TimesNewRomanPS-BoldItalicMT"/>
                            <w:b/>
                            <w:i/>
                            <w:sz w:val="24"/>
                          </w:rPr>
                          <w:t>statutes</w:t>
                        </w:r>
                        <w:r>
                          <w:rPr>
                            <w:rFonts w:ascii="TimesNewRomanPS-BoldItalicMT"/>
                            <w:b/>
                            <w:i/>
                            <w:spacing w:val="-3"/>
                            <w:sz w:val="24"/>
                          </w:rPr>
                          <w:t> </w:t>
                        </w:r>
                        <w:r>
                          <w:rPr>
                            <w:rFonts w:ascii="TimesNewRomanPS-BoldItalicMT"/>
                            <w:b/>
                            <w:i/>
                            <w:sz w:val="24"/>
                          </w:rPr>
                          <w:t>and</w:t>
                        </w:r>
                        <w:r>
                          <w:rPr>
                            <w:rFonts w:ascii="TimesNewRomanPS-BoldItalicMT"/>
                            <w:b/>
                            <w:i/>
                            <w:spacing w:val="-5"/>
                            <w:sz w:val="24"/>
                          </w:rPr>
                          <w:t> </w:t>
                        </w:r>
                        <w:r>
                          <w:rPr>
                            <w:rFonts w:ascii="TimesNewRomanPS-BoldItalicMT"/>
                            <w:b/>
                            <w:i/>
                            <w:sz w:val="24"/>
                          </w:rPr>
                          <w:t>regulations.</w:t>
                        </w:r>
                        <w:r>
                          <w:rPr>
                            <w:rFonts w:ascii="TimesNewRomanPS-BoldItalicMT"/>
                            <w:b/>
                            <w:i/>
                            <w:spacing w:val="-4"/>
                            <w:sz w:val="24"/>
                          </w:rPr>
                          <w:t> </w:t>
                        </w:r>
                        <w:r>
                          <w:rPr>
                            <w:rFonts w:ascii="TimesNewRomanPS-BoldItalicMT"/>
                            <w:b/>
                            <w:i/>
                            <w:sz w:val="24"/>
                          </w:rPr>
                          <w:t>To</w:t>
                        </w:r>
                        <w:r>
                          <w:rPr>
                            <w:rFonts w:ascii="TimesNewRomanPS-BoldItalicMT"/>
                            <w:b/>
                            <w:i/>
                            <w:spacing w:val="-3"/>
                            <w:sz w:val="24"/>
                          </w:rPr>
                          <w:t> </w:t>
                        </w:r>
                        <w:r>
                          <w:rPr>
                            <w:rFonts w:ascii="TimesNewRomanPS-BoldItalicMT"/>
                            <w:b/>
                            <w:i/>
                            <w:sz w:val="24"/>
                          </w:rPr>
                          <w:t>discuss</w:t>
                        </w:r>
                        <w:r>
                          <w:rPr>
                            <w:rFonts w:ascii="TimesNewRomanPS-BoldItalicMT"/>
                            <w:b/>
                            <w:i/>
                            <w:spacing w:val="-4"/>
                            <w:sz w:val="24"/>
                          </w:rPr>
                          <w:t> </w:t>
                        </w:r>
                        <w:r>
                          <w:rPr>
                            <w:rFonts w:ascii="TimesNewRomanPS-BoldItalicMT"/>
                            <w:b/>
                            <w:i/>
                            <w:sz w:val="24"/>
                          </w:rPr>
                          <w:t>an</w:t>
                        </w:r>
                        <w:r>
                          <w:rPr>
                            <w:rFonts w:ascii="TimesNewRomanPS-BoldItalicMT"/>
                            <w:b/>
                            <w:i/>
                            <w:spacing w:val="-4"/>
                            <w:sz w:val="24"/>
                          </w:rPr>
                          <w:t> </w:t>
                        </w:r>
                        <w:r>
                          <w:rPr>
                            <w:rFonts w:ascii="TimesNewRomanPS-BoldItalicMT"/>
                            <w:b/>
                            <w:i/>
                            <w:sz w:val="24"/>
                          </w:rPr>
                          <w:t>alternative</w:t>
                        </w:r>
                        <w:r>
                          <w:rPr>
                            <w:rFonts w:ascii="TimesNewRomanPS-BoldItalicMT"/>
                            <w:b/>
                            <w:i/>
                            <w:spacing w:val="-3"/>
                            <w:sz w:val="24"/>
                          </w:rPr>
                          <w:t> </w:t>
                        </w:r>
                        <w:r>
                          <w:rPr>
                            <w:rFonts w:ascii="TimesNewRomanPS-BoldItalicMT"/>
                            <w:b/>
                            <w:i/>
                            <w:sz w:val="24"/>
                          </w:rPr>
                          <w:t>approach,</w:t>
                        </w:r>
                        <w:r>
                          <w:rPr>
                            <w:rFonts w:ascii="TimesNewRomanPS-BoldItalicMT"/>
                            <w:b/>
                            <w:i/>
                            <w:spacing w:val="-3"/>
                            <w:sz w:val="24"/>
                          </w:rPr>
                          <w:t> </w:t>
                        </w:r>
                        <w:r>
                          <w:rPr>
                            <w:rFonts w:ascii="TimesNewRomanPS-BoldItalicMT"/>
                            <w:b/>
                            <w:i/>
                            <w:sz w:val="24"/>
                          </w:rPr>
                          <w:t>contact</w:t>
                        </w:r>
                        <w:r>
                          <w:rPr>
                            <w:rFonts w:ascii="TimesNewRomanPS-BoldItalicMT"/>
                            <w:b/>
                            <w:i/>
                            <w:spacing w:val="-4"/>
                            <w:sz w:val="24"/>
                          </w:rPr>
                          <w:t> </w:t>
                        </w:r>
                        <w:r>
                          <w:rPr>
                            <w:rFonts w:ascii="TimesNewRomanPS-BoldItalicMT"/>
                            <w:b/>
                            <w:i/>
                            <w:sz w:val="24"/>
                          </w:rPr>
                          <w:t>the</w:t>
                        </w:r>
                        <w:r>
                          <w:rPr>
                            <w:rFonts w:ascii="TimesNewRomanPS-BoldItalicMT"/>
                            <w:b/>
                            <w:i/>
                            <w:spacing w:val="-4"/>
                            <w:sz w:val="24"/>
                          </w:rPr>
                          <w:t> </w:t>
                        </w:r>
                        <w:r>
                          <w:rPr>
                            <w:rFonts w:ascii="TimesNewRomanPS-BoldItalicMT"/>
                            <w:b/>
                            <w:i/>
                            <w:sz w:val="24"/>
                          </w:rPr>
                          <w:t>FDA</w:t>
                        </w:r>
                        <w:r>
                          <w:rPr>
                            <w:rFonts w:ascii="TimesNewRomanPS-BoldItalicMT"/>
                            <w:b/>
                            <w:i/>
                            <w:spacing w:val="-4"/>
                            <w:sz w:val="24"/>
                          </w:rPr>
                          <w:t> </w:t>
                        </w:r>
                        <w:r>
                          <w:rPr>
                            <w:rFonts w:ascii="TimesNewRomanPS-BoldItalicMT"/>
                            <w:b/>
                            <w:i/>
                            <w:sz w:val="24"/>
                          </w:rPr>
                          <w:t>staff or Office responsible for this guidance as listed on the title page.</w:t>
                        </w:r>
                      </w:p>
                    </w:txbxContent>
                  </v:textbox>
                  <w10:wrap type="none"/>
                </v:shape>
                <w10:wrap type="none"/>
              </v:group>
            </w:pict>
          </mc:Fallback>
        </mc:AlternateContent>
      </w:r>
      <w:bookmarkStart w:name="I. Introduction" w:id="1"/>
      <w:bookmarkEnd w:id="1"/>
      <w:r>
        <w:rPr>
          <w:b w:val="0"/>
        </w:rPr>
      </w:r>
      <w:bookmarkStart w:name="_bookmark0" w:id="2"/>
      <w:bookmarkEnd w:id="2"/>
      <w:r>
        <w:rPr>
          <w:b w:val="0"/>
        </w:rPr>
      </w:r>
      <w:r>
        <w:rPr>
          <w:spacing w:val="-2"/>
        </w:rPr>
        <w:t>Introduction</w:t>
      </w:r>
    </w:p>
    <w:p>
      <w:pPr>
        <w:pStyle w:val="BodyText"/>
        <w:spacing w:before="6"/>
        <w:rPr>
          <w:b/>
          <w:sz w:val="34"/>
        </w:rPr>
      </w:pPr>
    </w:p>
    <w:p>
      <w:pPr>
        <w:pStyle w:val="BodyText"/>
        <w:ind w:left="160"/>
      </w:pPr>
      <w:r>
        <w:rPr/>
        <w:t>FDA</w:t>
      </w:r>
      <w:r>
        <w:rPr>
          <w:spacing w:val="-3"/>
        </w:rPr>
        <w:t> </w:t>
      </w:r>
      <w:r>
        <w:rPr/>
        <w:t>plays</w:t>
      </w:r>
      <w:r>
        <w:rPr>
          <w:spacing w:val="-2"/>
        </w:rPr>
        <w:t> </w:t>
      </w:r>
      <w:r>
        <w:rPr/>
        <w:t>a</w:t>
      </w:r>
      <w:r>
        <w:rPr>
          <w:spacing w:val="-2"/>
        </w:rPr>
        <w:t> </w:t>
      </w:r>
      <w:r>
        <w:rPr/>
        <w:t>critical</w:t>
      </w:r>
      <w:r>
        <w:rPr>
          <w:spacing w:val="-2"/>
        </w:rPr>
        <w:t> </w:t>
      </w:r>
      <w:r>
        <w:rPr/>
        <w:t>role</w:t>
      </w:r>
      <w:r>
        <w:rPr>
          <w:spacing w:val="-3"/>
        </w:rPr>
        <w:t> </w:t>
      </w:r>
      <w:r>
        <w:rPr/>
        <w:t>in</w:t>
      </w:r>
      <w:r>
        <w:rPr>
          <w:spacing w:val="-2"/>
        </w:rPr>
        <w:t> </w:t>
      </w:r>
      <w:r>
        <w:rPr/>
        <w:t>protecting</w:t>
      </w:r>
      <w:r>
        <w:rPr>
          <w:spacing w:val="-4"/>
        </w:rPr>
        <w:t> </w:t>
      </w:r>
      <w:r>
        <w:rPr/>
        <w:t>the</w:t>
      </w:r>
      <w:r>
        <w:rPr>
          <w:spacing w:val="-2"/>
        </w:rPr>
        <w:t> </w:t>
      </w:r>
      <w:r>
        <w:rPr/>
        <w:t>United</w:t>
      </w:r>
      <w:r>
        <w:rPr>
          <w:spacing w:val="-4"/>
        </w:rPr>
        <w:t> </w:t>
      </w:r>
      <w:r>
        <w:rPr/>
        <w:t>States</w:t>
      </w:r>
      <w:r>
        <w:rPr>
          <w:spacing w:val="-2"/>
        </w:rPr>
        <w:t> </w:t>
      </w:r>
      <w:r>
        <w:rPr/>
        <w:t>from</w:t>
      </w:r>
      <w:r>
        <w:rPr>
          <w:spacing w:val="-4"/>
        </w:rPr>
        <w:t> </w:t>
      </w:r>
      <w:r>
        <w:rPr/>
        <w:t>threats</w:t>
      </w:r>
      <w:r>
        <w:rPr>
          <w:spacing w:val="-3"/>
        </w:rPr>
        <w:t> </w:t>
      </w:r>
      <w:r>
        <w:rPr/>
        <w:t>such</w:t>
      </w:r>
      <w:r>
        <w:rPr>
          <w:spacing w:val="-4"/>
        </w:rPr>
        <w:t> </w:t>
      </w:r>
      <w:r>
        <w:rPr/>
        <w:t>as</w:t>
      </w:r>
      <w:r>
        <w:rPr>
          <w:spacing w:val="-2"/>
        </w:rPr>
        <w:t> </w:t>
      </w:r>
      <w:r>
        <w:rPr/>
        <w:t>emerging</w:t>
      </w:r>
      <w:r>
        <w:rPr>
          <w:spacing w:val="-2"/>
        </w:rPr>
        <w:t> </w:t>
      </w:r>
      <w:r>
        <w:rPr/>
        <w:t>infectious diseases, including the Coronavirus Disease 2019 (COVID-19) pandemic. FDA is committed to providing timely guidance to support response efforts to this pandemic.</w:t>
      </w:r>
    </w:p>
    <w:p>
      <w:pPr>
        <w:pStyle w:val="BodyText"/>
      </w:pPr>
    </w:p>
    <w:p>
      <w:pPr>
        <w:pStyle w:val="BodyText"/>
        <w:ind w:left="159" w:right="263"/>
      </w:pPr>
      <w:r>
        <w:rPr/>
        <w:t>FDA is issuing this guidance to provide a policy to help accelerate the availability of novel coronavirus (COVID-19) tests developed by laboratories and commercial manufacturers for the duration of the public health emergency. Rapid detection of COVID-19 cases in the United</w:t>
      </w:r>
      <w:r>
        <w:rPr>
          <w:spacing w:val="40"/>
        </w:rPr>
        <w:t> </w:t>
      </w:r>
      <w:r>
        <w:rPr/>
        <w:t>States requires wide availability of testing to control the emergence of this rapidly spreading, severe</w:t>
      </w:r>
      <w:r>
        <w:rPr>
          <w:spacing w:val="-4"/>
        </w:rPr>
        <w:t> </w:t>
      </w:r>
      <w:r>
        <w:rPr/>
        <w:t>illness.</w:t>
      </w:r>
      <w:r>
        <w:rPr>
          <w:spacing w:val="-3"/>
        </w:rPr>
        <w:t> </w:t>
      </w:r>
      <w:r>
        <w:rPr/>
        <w:t>This</w:t>
      </w:r>
      <w:r>
        <w:rPr>
          <w:spacing w:val="-3"/>
        </w:rPr>
        <w:t> </w:t>
      </w:r>
      <w:r>
        <w:rPr/>
        <w:t>guidance</w:t>
      </w:r>
      <w:r>
        <w:rPr>
          <w:spacing w:val="-3"/>
        </w:rPr>
        <w:t> </w:t>
      </w:r>
      <w:r>
        <w:rPr/>
        <w:t>describes</w:t>
      </w:r>
      <w:r>
        <w:rPr>
          <w:spacing w:val="-3"/>
        </w:rPr>
        <w:t> </w:t>
      </w:r>
      <w:r>
        <w:rPr/>
        <w:t>a</w:t>
      </w:r>
      <w:r>
        <w:rPr>
          <w:spacing w:val="-3"/>
        </w:rPr>
        <w:t> </w:t>
      </w:r>
      <w:r>
        <w:rPr/>
        <w:t>policy</w:t>
      </w:r>
      <w:r>
        <w:rPr>
          <w:spacing w:val="-3"/>
        </w:rPr>
        <w:t> </w:t>
      </w:r>
      <w:r>
        <w:rPr/>
        <w:t>for</w:t>
      </w:r>
      <w:r>
        <w:rPr>
          <w:spacing w:val="-3"/>
        </w:rPr>
        <w:t> </w:t>
      </w:r>
      <w:r>
        <w:rPr/>
        <w:t>laboratories</w:t>
      </w:r>
      <w:r>
        <w:rPr>
          <w:spacing w:val="-3"/>
        </w:rPr>
        <w:t> </w:t>
      </w:r>
      <w:r>
        <w:rPr/>
        <w:t>and</w:t>
      </w:r>
      <w:r>
        <w:rPr>
          <w:spacing w:val="-3"/>
        </w:rPr>
        <w:t> </w:t>
      </w:r>
      <w:r>
        <w:rPr/>
        <w:t>commercial</w:t>
      </w:r>
      <w:r>
        <w:rPr>
          <w:spacing w:val="-3"/>
        </w:rPr>
        <w:t> </w:t>
      </w:r>
      <w:r>
        <w:rPr/>
        <w:t>manufacturers</w:t>
      </w:r>
      <w:r>
        <w:rPr>
          <w:spacing w:val="-3"/>
        </w:rPr>
        <w:t> </w:t>
      </w:r>
      <w:r>
        <w:rPr/>
        <w:t>to help accelerate the use of tests they develop in order to achieve more rapid and widespread testing capacity in the United States.</w:t>
      </w:r>
    </w:p>
    <w:p>
      <w:pPr>
        <w:pStyle w:val="BodyText"/>
      </w:pPr>
    </w:p>
    <w:p>
      <w:pPr>
        <w:pStyle w:val="BodyText"/>
        <w:ind w:left="159" w:right="241"/>
      </w:pPr>
      <w:r>
        <w:rPr/>
        <w:t>This policy is intended to remain in effect only for the duration of the public health emergency related</w:t>
      </w:r>
      <w:r>
        <w:rPr>
          <w:spacing w:val="-3"/>
        </w:rPr>
        <w:t> </w:t>
      </w:r>
      <w:r>
        <w:rPr/>
        <w:t>to</w:t>
      </w:r>
      <w:r>
        <w:rPr>
          <w:spacing w:val="-3"/>
        </w:rPr>
        <w:t> </w:t>
      </w:r>
      <w:r>
        <w:rPr/>
        <w:t>COVID-19</w:t>
      </w:r>
      <w:r>
        <w:rPr>
          <w:spacing w:val="-3"/>
        </w:rPr>
        <w:t> </w:t>
      </w:r>
      <w:r>
        <w:rPr/>
        <w:t>declared</w:t>
      </w:r>
      <w:r>
        <w:rPr>
          <w:spacing w:val="-3"/>
        </w:rPr>
        <w:t> </w:t>
      </w:r>
      <w:r>
        <w:rPr/>
        <w:t>by</w:t>
      </w:r>
      <w:r>
        <w:rPr>
          <w:spacing w:val="-3"/>
        </w:rPr>
        <w:t> </w:t>
      </w:r>
      <w:r>
        <w:rPr/>
        <w:t>the</w:t>
      </w:r>
      <w:r>
        <w:rPr>
          <w:spacing w:val="-3"/>
        </w:rPr>
        <w:t> </w:t>
      </w:r>
      <w:r>
        <w:rPr/>
        <w:t>Secretary</w:t>
      </w:r>
      <w:r>
        <w:rPr>
          <w:spacing w:val="-5"/>
        </w:rPr>
        <w:t> </w:t>
      </w:r>
      <w:r>
        <w:rPr/>
        <w:t>of</w:t>
      </w:r>
      <w:r>
        <w:rPr>
          <w:spacing w:val="-4"/>
        </w:rPr>
        <w:t> </w:t>
      </w:r>
      <w:r>
        <w:rPr/>
        <w:t>Health</w:t>
      </w:r>
      <w:r>
        <w:rPr>
          <w:spacing w:val="-3"/>
        </w:rPr>
        <w:t> </w:t>
      </w:r>
      <w:r>
        <w:rPr/>
        <w:t>and</w:t>
      </w:r>
      <w:r>
        <w:rPr>
          <w:spacing w:val="-3"/>
        </w:rPr>
        <w:t> </w:t>
      </w:r>
      <w:r>
        <w:rPr/>
        <w:t>Human</w:t>
      </w:r>
      <w:r>
        <w:rPr>
          <w:spacing w:val="-3"/>
        </w:rPr>
        <w:t> </w:t>
      </w:r>
      <w:r>
        <w:rPr/>
        <w:t>Services</w:t>
      </w:r>
      <w:r>
        <w:rPr>
          <w:spacing w:val="-4"/>
        </w:rPr>
        <w:t> </w:t>
      </w:r>
      <w:r>
        <w:rPr/>
        <w:t>(HHS)</w:t>
      </w:r>
      <w:r>
        <w:rPr>
          <w:spacing w:val="-3"/>
        </w:rPr>
        <w:t> </w:t>
      </w:r>
      <w:r>
        <w:rPr/>
        <w:t>on</w:t>
      </w:r>
      <w:r>
        <w:rPr>
          <w:spacing w:val="-3"/>
        </w:rPr>
        <w:t> </w:t>
      </w:r>
      <w:r>
        <w:rPr/>
        <w:t>January 31, 2020, effective January 27, 2020, including any renewals made by the HHS Secretary in accordance with section 319(a)(2) of the Public Health Service Act (PHS Act).</w:t>
      </w:r>
    </w:p>
    <w:p>
      <w:pPr>
        <w:spacing w:after="0"/>
        <w:sectPr>
          <w:pgSz w:w="12240" w:h="15840"/>
          <w:pgMar w:header="731" w:footer="785" w:top="1360" w:bottom="980" w:left="1280" w:right="1200"/>
        </w:sectPr>
      </w:pPr>
    </w:p>
    <w:p>
      <w:pPr>
        <w:pStyle w:val="BodyText"/>
        <w:spacing w:before="80"/>
        <w:ind w:left="160" w:right="341"/>
      </w:pPr>
      <w:r>
        <w:rPr/>
        <w:t>Given this public health emergency, and as discussed in the Notice in the </w:t>
      </w:r>
      <w:r>
        <w:rPr>
          <w:i/>
        </w:rPr>
        <w:t>Federal Register </w:t>
      </w:r>
      <w:r>
        <w:rPr/>
        <w:t>of March 25, 2020, titled “Process for Making Available Guidance Documents Related to Coronavirus Disease 2019,” </w:t>
      </w:r>
      <w:r>
        <w:rPr>
          <w:i/>
        </w:rPr>
        <w:t>available at </w:t>
      </w:r>
      <w:hyperlink r:id="rId12">
        <w:r>
          <w:rPr>
            <w:color w:val="0000FF"/>
            <w:u w:val="single" w:color="0000FF"/>
          </w:rPr>
          <w:t>https://www.govinfo.gov/content/pkg/FR-2020-03-</w:t>
        </w:r>
      </w:hyperlink>
      <w:r>
        <w:rPr>
          <w:color w:val="0000FF"/>
        </w:rPr>
        <w:t> </w:t>
      </w:r>
      <w:hyperlink r:id="rId12">
        <w:r>
          <w:rPr>
            <w:color w:val="0000FF"/>
            <w:u w:val="single" w:color="0000FF"/>
          </w:rPr>
          <w:t>25/pdf/2020-06222.pdf</w:t>
        </w:r>
      </w:hyperlink>
      <w:r>
        <w:rPr/>
        <w:t>, this guidance is being implemented without prior public comment because FDA has determined that prior public participation for this guidance is not feasible or appropriate</w:t>
      </w:r>
      <w:r>
        <w:rPr>
          <w:spacing w:val="-4"/>
        </w:rPr>
        <w:t> </w:t>
      </w:r>
      <w:r>
        <w:rPr/>
        <w:t>(see</w:t>
      </w:r>
      <w:r>
        <w:rPr>
          <w:spacing w:val="-3"/>
        </w:rPr>
        <w:t> </w:t>
      </w:r>
      <w:r>
        <w:rPr/>
        <w:t>section</w:t>
      </w:r>
      <w:r>
        <w:rPr>
          <w:spacing w:val="-5"/>
        </w:rPr>
        <w:t> </w:t>
      </w:r>
      <w:r>
        <w:rPr/>
        <w:t>701(h)(1)(C)</w:t>
      </w:r>
      <w:r>
        <w:rPr>
          <w:spacing w:val="-3"/>
        </w:rPr>
        <w:t> </w:t>
      </w:r>
      <w:r>
        <w:rPr/>
        <w:t>of</w:t>
      </w:r>
      <w:r>
        <w:rPr>
          <w:spacing w:val="-4"/>
        </w:rPr>
        <w:t> </w:t>
      </w:r>
      <w:r>
        <w:rPr/>
        <w:t>the</w:t>
      </w:r>
      <w:r>
        <w:rPr>
          <w:spacing w:val="-3"/>
        </w:rPr>
        <w:t> </w:t>
      </w:r>
      <w:r>
        <w:rPr/>
        <w:t>Federal</w:t>
      </w:r>
      <w:r>
        <w:rPr>
          <w:spacing w:val="-3"/>
        </w:rPr>
        <w:t> </w:t>
      </w:r>
      <w:r>
        <w:rPr/>
        <w:t>Food,</w:t>
      </w:r>
      <w:r>
        <w:rPr>
          <w:spacing w:val="-3"/>
        </w:rPr>
        <w:t> </w:t>
      </w:r>
      <w:r>
        <w:rPr/>
        <w:t>Drug,</w:t>
      </w:r>
      <w:r>
        <w:rPr>
          <w:spacing w:val="-3"/>
        </w:rPr>
        <w:t> </w:t>
      </w:r>
      <w:r>
        <w:rPr/>
        <w:t>and</w:t>
      </w:r>
      <w:r>
        <w:rPr>
          <w:spacing w:val="-3"/>
        </w:rPr>
        <w:t> </w:t>
      </w:r>
      <w:r>
        <w:rPr/>
        <w:t>Cosmetic</w:t>
      </w:r>
      <w:r>
        <w:rPr>
          <w:spacing w:val="-3"/>
        </w:rPr>
        <w:t> </w:t>
      </w:r>
      <w:r>
        <w:rPr/>
        <w:t>Act</w:t>
      </w:r>
      <w:r>
        <w:rPr>
          <w:spacing w:val="-3"/>
        </w:rPr>
        <w:t> </w:t>
      </w:r>
      <w:r>
        <w:rPr/>
        <w:t>(FD&amp;C</w:t>
      </w:r>
      <w:r>
        <w:rPr>
          <w:spacing w:val="-4"/>
        </w:rPr>
        <w:t> </w:t>
      </w:r>
      <w:r>
        <w:rPr/>
        <w:t>Act) and 21 CFR 10.115(g)(2)). This guidance document is being implemented immediately, but it remains subject to comment in accordance with the Agency’s good guidance practices.</w:t>
      </w:r>
    </w:p>
    <w:p>
      <w:pPr>
        <w:pStyle w:val="BodyText"/>
      </w:pPr>
    </w:p>
    <w:p>
      <w:pPr>
        <w:pStyle w:val="BodyText"/>
        <w:ind w:left="160" w:right="241"/>
      </w:pPr>
      <w:r>
        <w:rPr/>
        <w:t>In general, FDA’s guidance documents, including this guidance, do not establish legally enforceable</w:t>
      </w:r>
      <w:r>
        <w:rPr>
          <w:spacing w:val="-4"/>
        </w:rPr>
        <w:t> </w:t>
      </w:r>
      <w:r>
        <w:rPr/>
        <w:t>responsibilities.</w:t>
      </w:r>
      <w:r>
        <w:rPr>
          <w:spacing w:val="-3"/>
        </w:rPr>
        <w:t> </w:t>
      </w:r>
      <w:r>
        <w:rPr/>
        <w:t>Instead,</w:t>
      </w:r>
      <w:r>
        <w:rPr>
          <w:spacing w:val="-5"/>
        </w:rPr>
        <w:t> </w:t>
      </w:r>
      <w:r>
        <w:rPr/>
        <w:t>guidances</w:t>
      </w:r>
      <w:r>
        <w:rPr>
          <w:spacing w:val="-3"/>
        </w:rPr>
        <w:t> </w:t>
      </w:r>
      <w:r>
        <w:rPr/>
        <w:t>describe</w:t>
      </w:r>
      <w:r>
        <w:rPr>
          <w:spacing w:val="-3"/>
        </w:rPr>
        <w:t> </w:t>
      </w:r>
      <w:r>
        <w:rPr/>
        <w:t>the</w:t>
      </w:r>
      <w:r>
        <w:rPr>
          <w:spacing w:val="-4"/>
        </w:rPr>
        <w:t> </w:t>
      </w:r>
      <w:r>
        <w:rPr/>
        <w:t>Agency’s</w:t>
      </w:r>
      <w:r>
        <w:rPr>
          <w:spacing w:val="-3"/>
        </w:rPr>
        <w:t> </w:t>
      </w:r>
      <w:r>
        <w:rPr/>
        <w:t>current</w:t>
      </w:r>
      <w:r>
        <w:rPr>
          <w:spacing w:val="-4"/>
        </w:rPr>
        <w:t> </w:t>
      </w:r>
      <w:r>
        <w:rPr/>
        <w:t>thinking</w:t>
      </w:r>
      <w:r>
        <w:rPr>
          <w:spacing w:val="-3"/>
        </w:rPr>
        <w:t> </w:t>
      </w:r>
      <w:r>
        <w:rPr/>
        <w:t>on</w:t>
      </w:r>
      <w:r>
        <w:rPr>
          <w:spacing w:val="-3"/>
        </w:rPr>
        <w:t> </w:t>
      </w:r>
      <w:r>
        <w:rPr/>
        <w:t>a</w:t>
      </w:r>
      <w:r>
        <w:rPr>
          <w:spacing w:val="-3"/>
        </w:rPr>
        <w:t> </w:t>
      </w:r>
      <w:r>
        <w:rPr/>
        <w:t>topic and should be viewed only as recommendations, unless specific regulatory or statutory requirements are cited. The use of the word </w:t>
      </w:r>
      <w:r>
        <w:rPr>
          <w:i/>
        </w:rPr>
        <w:t>should </w:t>
      </w:r>
      <w:r>
        <w:rPr/>
        <w:t>in Agency guidance means that something is suggested or recommended, but not required.</w:t>
      </w:r>
    </w:p>
    <w:p>
      <w:pPr>
        <w:pStyle w:val="BodyText"/>
        <w:spacing w:before="4"/>
        <w:rPr>
          <w:sz w:val="34"/>
        </w:rPr>
      </w:pPr>
    </w:p>
    <w:p>
      <w:pPr>
        <w:pStyle w:val="Heading1"/>
        <w:numPr>
          <w:ilvl w:val="0"/>
          <w:numId w:val="6"/>
        </w:numPr>
        <w:tabs>
          <w:tab w:pos="879" w:val="left" w:leader="none"/>
        </w:tabs>
        <w:spacing w:line="240" w:lineRule="auto" w:before="0" w:after="0"/>
        <w:ind w:left="879" w:right="0" w:hanging="719"/>
        <w:jc w:val="left"/>
      </w:pPr>
      <w:bookmarkStart w:name="II. Background" w:id="3"/>
      <w:bookmarkEnd w:id="3"/>
      <w:r>
        <w:rPr>
          <w:b w:val="0"/>
        </w:rPr>
      </w:r>
      <w:bookmarkStart w:name="_bookmark1" w:id="4"/>
      <w:bookmarkEnd w:id="4"/>
      <w:r>
        <w:rPr>
          <w:b w:val="0"/>
        </w:rPr>
      </w:r>
      <w:r>
        <w:rPr>
          <w:spacing w:val="-2"/>
        </w:rPr>
        <w:t>Background</w:t>
      </w:r>
    </w:p>
    <w:p>
      <w:pPr>
        <w:pStyle w:val="BodyText"/>
        <w:spacing w:before="121"/>
        <w:ind w:left="159" w:right="556"/>
      </w:pPr>
      <w:r>
        <w:rPr/>
        <w:t>There</w:t>
      </w:r>
      <w:r>
        <w:rPr>
          <w:spacing w:val="-3"/>
        </w:rPr>
        <w:t> </w:t>
      </w:r>
      <w:r>
        <w:rPr/>
        <w:t>is</w:t>
      </w:r>
      <w:r>
        <w:rPr>
          <w:spacing w:val="-4"/>
        </w:rPr>
        <w:t> </w:t>
      </w:r>
      <w:r>
        <w:rPr/>
        <w:t>currently</w:t>
      </w:r>
      <w:r>
        <w:rPr>
          <w:spacing w:val="-3"/>
        </w:rPr>
        <w:t> </w:t>
      </w:r>
      <w:r>
        <w:rPr/>
        <w:t>a</w:t>
      </w:r>
      <w:r>
        <w:rPr>
          <w:spacing w:val="-3"/>
        </w:rPr>
        <w:t> </w:t>
      </w:r>
      <w:r>
        <w:rPr/>
        <w:t>pandemic</w:t>
      </w:r>
      <w:r>
        <w:rPr>
          <w:spacing w:val="-3"/>
        </w:rPr>
        <w:t> </w:t>
      </w:r>
      <w:r>
        <w:rPr/>
        <w:t>of</w:t>
      </w:r>
      <w:r>
        <w:rPr>
          <w:spacing w:val="-4"/>
        </w:rPr>
        <w:t> </w:t>
      </w:r>
      <w:r>
        <w:rPr/>
        <w:t>respiratory</w:t>
      </w:r>
      <w:r>
        <w:rPr>
          <w:spacing w:val="-3"/>
        </w:rPr>
        <w:t> </w:t>
      </w:r>
      <w:r>
        <w:rPr/>
        <w:t>disease</w:t>
      </w:r>
      <w:r>
        <w:rPr>
          <w:spacing w:val="-3"/>
        </w:rPr>
        <w:t> </w:t>
      </w:r>
      <w:r>
        <w:rPr/>
        <w:t>caused</w:t>
      </w:r>
      <w:r>
        <w:rPr>
          <w:spacing w:val="-3"/>
        </w:rPr>
        <w:t> </w:t>
      </w:r>
      <w:r>
        <w:rPr/>
        <w:t>by</w:t>
      </w:r>
      <w:r>
        <w:rPr>
          <w:spacing w:val="-5"/>
        </w:rPr>
        <w:t> </w:t>
      </w:r>
      <w:r>
        <w:rPr/>
        <w:t>a</w:t>
      </w:r>
      <w:r>
        <w:rPr>
          <w:spacing w:val="-3"/>
        </w:rPr>
        <w:t> </w:t>
      </w:r>
      <w:r>
        <w:rPr/>
        <w:t>novel</w:t>
      </w:r>
      <w:r>
        <w:rPr>
          <w:spacing w:val="-3"/>
        </w:rPr>
        <w:t> </w:t>
      </w:r>
      <w:r>
        <w:rPr/>
        <w:t>coronavirus.</w:t>
      </w:r>
      <w:r>
        <w:rPr>
          <w:spacing w:val="-3"/>
        </w:rPr>
        <w:t> </w:t>
      </w:r>
      <w:r>
        <w:rPr/>
        <w:t>The</w:t>
      </w:r>
      <w:r>
        <w:rPr>
          <w:spacing w:val="-3"/>
        </w:rPr>
        <w:t> </w:t>
      </w:r>
      <w:r>
        <w:rPr/>
        <w:t>virus has been named “severe acute respiratory syndrome coronavirus 2” (SARS-CoV-2) and the disease it causes has been named “Coronavirus Disease 2019” (COVID-19). On January 31, 2020, HHS issued a declaration of a public health emergency related to COVID-19 and mobilized the Operating Divisions of HHS.</w:t>
      </w:r>
      <w:hyperlink w:history="true" w:anchor="_bookmark2">
        <w:r>
          <w:rPr>
            <w:vertAlign w:val="superscript"/>
          </w:rPr>
          <w:t>1</w:t>
        </w:r>
      </w:hyperlink>
      <w:r>
        <w:rPr>
          <w:vertAlign w:val="baseline"/>
        </w:rPr>
        <w:t> In addition, on March 13, 2020, the President declared a national emergency in response to COVID-19.</w:t>
      </w:r>
      <w:hyperlink w:history="true" w:anchor="_bookmark3">
        <w:r>
          <w:rPr>
            <w:vertAlign w:val="superscript"/>
          </w:rPr>
          <w:t>2</w:t>
        </w:r>
      </w:hyperlink>
    </w:p>
    <w:p>
      <w:pPr>
        <w:pStyle w:val="BodyText"/>
      </w:pPr>
    </w:p>
    <w:p>
      <w:pPr>
        <w:pStyle w:val="BodyText"/>
        <w:ind w:left="160" w:right="241"/>
      </w:pPr>
      <w:r>
        <w:rPr/>
        <w:t>SARS-CoV-2</w:t>
      </w:r>
      <w:r>
        <w:rPr>
          <w:spacing w:val="-3"/>
        </w:rPr>
        <w:t> </w:t>
      </w:r>
      <w:r>
        <w:rPr/>
        <w:t>has</w:t>
      </w:r>
      <w:r>
        <w:rPr>
          <w:spacing w:val="-3"/>
        </w:rPr>
        <w:t> </w:t>
      </w:r>
      <w:r>
        <w:rPr/>
        <w:t>demonstrated</w:t>
      </w:r>
      <w:r>
        <w:rPr>
          <w:spacing w:val="-3"/>
        </w:rPr>
        <w:t> </w:t>
      </w:r>
      <w:r>
        <w:rPr/>
        <w:t>the</w:t>
      </w:r>
      <w:r>
        <w:rPr>
          <w:spacing w:val="-3"/>
        </w:rPr>
        <w:t> </w:t>
      </w:r>
      <w:r>
        <w:rPr/>
        <w:t>capability</w:t>
      </w:r>
      <w:r>
        <w:rPr>
          <w:spacing w:val="-4"/>
        </w:rPr>
        <w:t> </w:t>
      </w:r>
      <w:r>
        <w:rPr/>
        <w:t>to</w:t>
      </w:r>
      <w:r>
        <w:rPr>
          <w:spacing w:val="-5"/>
        </w:rPr>
        <w:t> </w:t>
      </w:r>
      <w:r>
        <w:rPr/>
        <w:t>spread</w:t>
      </w:r>
      <w:r>
        <w:rPr>
          <w:spacing w:val="-3"/>
        </w:rPr>
        <w:t> </w:t>
      </w:r>
      <w:r>
        <w:rPr/>
        <w:t>rapidly,</w:t>
      </w:r>
      <w:r>
        <w:rPr>
          <w:spacing w:val="-3"/>
        </w:rPr>
        <w:t> </w:t>
      </w:r>
      <w:r>
        <w:rPr/>
        <w:t>leading</w:t>
      </w:r>
      <w:r>
        <w:rPr>
          <w:spacing w:val="-3"/>
        </w:rPr>
        <w:t> </w:t>
      </w:r>
      <w:r>
        <w:rPr/>
        <w:t>to</w:t>
      </w:r>
      <w:r>
        <w:rPr>
          <w:spacing w:val="-3"/>
        </w:rPr>
        <w:t> </w:t>
      </w:r>
      <w:r>
        <w:rPr/>
        <w:t>significant</w:t>
      </w:r>
      <w:r>
        <w:rPr>
          <w:spacing w:val="-4"/>
        </w:rPr>
        <w:t> </w:t>
      </w:r>
      <w:r>
        <w:rPr/>
        <w:t>impacts</w:t>
      </w:r>
      <w:r>
        <w:rPr>
          <w:spacing w:val="-3"/>
        </w:rPr>
        <w:t> </w:t>
      </w:r>
      <w:r>
        <w:rPr/>
        <w:t>on healthcare systems and causing societal disruption. The potential public health threat posed by COVID-19</w:t>
      </w:r>
      <w:r>
        <w:rPr>
          <w:spacing w:val="-1"/>
        </w:rPr>
        <w:t> </w:t>
      </w:r>
      <w:r>
        <w:rPr/>
        <w:t>is</w:t>
      </w:r>
      <w:r>
        <w:rPr>
          <w:spacing w:val="-1"/>
        </w:rPr>
        <w:t> </w:t>
      </w:r>
      <w:r>
        <w:rPr/>
        <w:t>high,</w:t>
      </w:r>
      <w:r>
        <w:rPr>
          <w:spacing w:val="-1"/>
        </w:rPr>
        <w:t> </w:t>
      </w:r>
      <w:r>
        <w:rPr/>
        <w:t>both</w:t>
      </w:r>
      <w:r>
        <w:rPr>
          <w:spacing w:val="-3"/>
        </w:rPr>
        <w:t> </w:t>
      </w:r>
      <w:r>
        <w:rPr/>
        <w:t>globally</w:t>
      </w:r>
      <w:r>
        <w:rPr>
          <w:spacing w:val="-1"/>
        </w:rPr>
        <w:t> </w:t>
      </w:r>
      <w:r>
        <w:rPr/>
        <w:t>and</w:t>
      </w:r>
      <w:r>
        <w:rPr>
          <w:spacing w:val="-3"/>
        </w:rPr>
        <w:t> </w:t>
      </w:r>
      <w:r>
        <w:rPr/>
        <w:t>to</w:t>
      </w:r>
      <w:r>
        <w:rPr>
          <w:spacing w:val="-1"/>
        </w:rPr>
        <w:t> </w:t>
      </w:r>
      <w:r>
        <w:rPr/>
        <w:t>the</w:t>
      </w:r>
      <w:r>
        <w:rPr>
          <w:spacing w:val="-1"/>
        </w:rPr>
        <w:t> </w:t>
      </w:r>
      <w:r>
        <w:rPr/>
        <w:t>United</w:t>
      </w:r>
      <w:r>
        <w:rPr>
          <w:spacing w:val="-1"/>
        </w:rPr>
        <w:t> </w:t>
      </w:r>
      <w:r>
        <w:rPr/>
        <w:t>States.</w:t>
      </w:r>
      <w:r>
        <w:rPr>
          <w:spacing w:val="-1"/>
        </w:rPr>
        <w:t> </w:t>
      </w:r>
      <w:r>
        <w:rPr/>
        <w:t>To</w:t>
      </w:r>
      <w:r>
        <w:rPr>
          <w:spacing w:val="-2"/>
        </w:rPr>
        <w:t> </w:t>
      </w:r>
      <w:r>
        <w:rPr/>
        <w:t>respond</w:t>
      </w:r>
      <w:r>
        <w:rPr>
          <w:spacing w:val="-1"/>
        </w:rPr>
        <w:t> </w:t>
      </w:r>
      <w:r>
        <w:rPr/>
        <w:t>effectively</w:t>
      </w:r>
      <w:r>
        <w:rPr>
          <w:spacing w:val="-1"/>
        </w:rPr>
        <w:t> </w:t>
      </w:r>
      <w:r>
        <w:rPr/>
        <w:t>to</w:t>
      </w:r>
      <w:r>
        <w:rPr>
          <w:spacing w:val="-2"/>
        </w:rPr>
        <w:t> </w:t>
      </w:r>
      <w:r>
        <w:rPr/>
        <w:t>the</w:t>
      </w:r>
      <w:r>
        <w:rPr>
          <w:spacing w:val="-1"/>
        </w:rPr>
        <w:t> </w:t>
      </w:r>
      <w:r>
        <w:rPr/>
        <w:t>COVID- 19</w:t>
      </w:r>
      <w:r>
        <w:rPr>
          <w:spacing w:val="-3"/>
        </w:rPr>
        <w:t> </w:t>
      </w:r>
      <w:r>
        <w:rPr/>
        <w:t>outbreak,</w:t>
      </w:r>
      <w:r>
        <w:rPr>
          <w:spacing w:val="-5"/>
        </w:rPr>
        <w:t> </w:t>
      </w:r>
      <w:r>
        <w:rPr/>
        <w:t>rapid</w:t>
      </w:r>
      <w:r>
        <w:rPr>
          <w:spacing w:val="-3"/>
        </w:rPr>
        <w:t> </w:t>
      </w:r>
      <w:r>
        <w:rPr/>
        <w:t>detection</w:t>
      </w:r>
      <w:r>
        <w:rPr>
          <w:spacing w:val="-3"/>
        </w:rPr>
        <w:t> </w:t>
      </w:r>
      <w:r>
        <w:rPr/>
        <w:t>of</w:t>
      </w:r>
      <w:r>
        <w:rPr>
          <w:spacing w:val="-4"/>
        </w:rPr>
        <w:t> </w:t>
      </w:r>
      <w:r>
        <w:rPr/>
        <w:t>cases</w:t>
      </w:r>
      <w:r>
        <w:rPr>
          <w:spacing w:val="-4"/>
        </w:rPr>
        <w:t> </w:t>
      </w:r>
      <w:r>
        <w:rPr/>
        <w:t>and</w:t>
      </w:r>
      <w:r>
        <w:rPr>
          <w:spacing w:val="-3"/>
        </w:rPr>
        <w:t> </w:t>
      </w:r>
      <w:r>
        <w:rPr/>
        <w:t>contacts,</w:t>
      </w:r>
      <w:r>
        <w:rPr>
          <w:spacing w:val="-3"/>
        </w:rPr>
        <w:t> </w:t>
      </w:r>
      <w:r>
        <w:rPr/>
        <w:t>appropriate</w:t>
      </w:r>
      <w:r>
        <w:rPr>
          <w:spacing w:val="-4"/>
        </w:rPr>
        <w:t> </w:t>
      </w:r>
      <w:r>
        <w:rPr/>
        <w:t>clinical</w:t>
      </w:r>
      <w:r>
        <w:rPr>
          <w:spacing w:val="-3"/>
        </w:rPr>
        <w:t> </w:t>
      </w:r>
      <w:r>
        <w:rPr/>
        <w:t>management</w:t>
      </w:r>
      <w:r>
        <w:rPr>
          <w:spacing w:val="-3"/>
        </w:rPr>
        <w:t> </w:t>
      </w:r>
      <w:r>
        <w:rPr/>
        <w:t>and</w:t>
      </w:r>
      <w:r>
        <w:rPr>
          <w:spacing w:val="-3"/>
        </w:rPr>
        <w:t> </w:t>
      </w:r>
      <w:r>
        <w:rPr/>
        <w:t>infection control, and implementation of community mitigation efforts are critical. FDA believes the policies set forth in this guidance will help address these urgent public health concerns by</w:t>
      </w:r>
      <w:r>
        <w:rPr>
          <w:spacing w:val="40"/>
        </w:rPr>
        <w:t> </w:t>
      </w:r>
      <w:r>
        <w:rPr/>
        <w:t>helping to expand the number and variety of tests,</w:t>
      </w:r>
      <w:hyperlink w:history="true" w:anchor="_bookmark4">
        <w:r>
          <w:rPr>
            <w:vertAlign w:val="superscript"/>
          </w:rPr>
          <w:t>3</w:t>
        </w:r>
      </w:hyperlink>
      <w:r>
        <w:rPr>
          <w:vertAlign w:val="baseline"/>
        </w:rPr>
        <w:t> as well as available testing capabilities in reference and commercial laboratories and healthcare settings, while helping ensure these tests are accurate and reliable.</w:t>
      </w:r>
    </w:p>
    <w:p>
      <w:pPr>
        <w:pStyle w:val="BodyText"/>
        <w:rPr>
          <w:sz w:val="20"/>
        </w:rPr>
      </w:pPr>
    </w:p>
    <w:p>
      <w:pPr>
        <w:pStyle w:val="BodyText"/>
        <w:rPr>
          <w:sz w:val="20"/>
        </w:rPr>
      </w:pPr>
    </w:p>
    <w:p>
      <w:pPr>
        <w:pStyle w:val="BodyText"/>
        <w:spacing w:before="1"/>
        <w:rPr>
          <w:sz w:val="10"/>
        </w:rPr>
      </w:pPr>
      <w:r>
        <w:rPr/>
        <mc:AlternateContent>
          <mc:Choice Requires="wps">
            <w:drawing>
              <wp:anchor distT="0" distB="0" distL="0" distR="0" allowOverlap="1" layoutInCell="1" locked="0" behindDoc="1" simplePos="0" relativeHeight="487589376">
                <wp:simplePos x="0" y="0"/>
                <wp:positionH relativeFrom="page">
                  <wp:posOffset>914400</wp:posOffset>
                </wp:positionH>
                <wp:positionV relativeFrom="paragraph">
                  <wp:posOffset>89076</wp:posOffset>
                </wp:positionV>
                <wp:extent cx="1828800" cy="7620"/>
                <wp:effectExtent l="0" t="0" r="0" b="0"/>
                <wp:wrapTopAndBottom/>
                <wp:docPr id="8" name="Graphic 8"/>
                <wp:cNvGraphicFramePr>
                  <a:graphicFrameLocks/>
                </wp:cNvGraphicFramePr>
                <a:graphic>
                  <a:graphicData uri="http://schemas.microsoft.com/office/word/2010/wordprocessingShape">
                    <wps:wsp>
                      <wps:cNvPr id="8" name="Graphic 8"/>
                      <wps:cNvSpPr/>
                      <wps:spPr>
                        <a:xfrm>
                          <a:off x="0" y="0"/>
                          <a:ext cx="1828800" cy="7620"/>
                        </a:xfrm>
                        <a:custGeom>
                          <a:avLst/>
                          <a:gdLst/>
                          <a:ahLst/>
                          <a:cxnLst/>
                          <a:rect l="l" t="t" r="r" b="b"/>
                          <a:pathLst>
                            <a:path w="1828800" h="7620">
                              <a:moveTo>
                                <a:pt x="1828800" y="0"/>
                              </a:moveTo>
                              <a:lnTo>
                                <a:pt x="0" y="0"/>
                              </a:lnTo>
                              <a:lnTo>
                                <a:pt x="0" y="7619"/>
                              </a:lnTo>
                              <a:lnTo>
                                <a:pt x="1828800" y="7619"/>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7.013887pt;width:144pt;height:.6pt;mso-position-horizontal-relative:page;mso-position-vertical-relative:paragraph;z-index:-15727104;mso-wrap-distance-left:0;mso-wrap-distance-right:0" id="docshape8" filled="true" fillcolor="#000000" stroked="false">
                <v:fill type="solid"/>
                <w10:wrap type="topAndBottom"/>
              </v:rect>
            </w:pict>
          </mc:Fallback>
        </mc:AlternateContent>
      </w:r>
    </w:p>
    <w:p>
      <w:pPr>
        <w:spacing w:before="102"/>
        <w:ind w:left="159" w:right="278" w:firstLine="0"/>
        <w:jc w:val="left"/>
        <w:rPr>
          <w:sz w:val="20"/>
        </w:rPr>
      </w:pPr>
      <w:bookmarkStart w:name="_bookmark2" w:id="5"/>
      <w:bookmarkEnd w:id="5"/>
      <w:r>
        <w:rPr/>
      </w:r>
      <w:r>
        <w:rPr>
          <w:sz w:val="20"/>
          <w:vertAlign w:val="superscript"/>
        </w:rPr>
        <w:t>1</w:t>
      </w:r>
      <w:r>
        <w:rPr>
          <w:sz w:val="20"/>
          <w:vertAlign w:val="baseline"/>
        </w:rPr>
        <w:t> Secretary of Health and Human Services Alex M. Azar II, Determination that a Public Health Emergency Exists, (Jan.</w:t>
      </w:r>
      <w:r>
        <w:rPr>
          <w:spacing w:val="-7"/>
          <w:sz w:val="20"/>
          <w:vertAlign w:val="baseline"/>
        </w:rPr>
        <w:t> </w:t>
      </w:r>
      <w:r>
        <w:rPr>
          <w:sz w:val="20"/>
          <w:vertAlign w:val="baseline"/>
        </w:rPr>
        <w:t>31,</w:t>
      </w:r>
      <w:r>
        <w:rPr>
          <w:spacing w:val="-7"/>
          <w:sz w:val="20"/>
          <w:vertAlign w:val="baseline"/>
        </w:rPr>
        <w:t> </w:t>
      </w:r>
      <w:r>
        <w:rPr>
          <w:sz w:val="20"/>
          <w:vertAlign w:val="baseline"/>
        </w:rPr>
        <w:t>2020),</w:t>
      </w:r>
      <w:r>
        <w:rPr>
          <w:spacing w:val="-6"/>
          <w:sz w:val="20"/>
          <w:vertAlign w:val="baseline"/>
        </w:rPr>
        <w:t> </w:t>
      </w:r>
      <w:r>
        <w:rPr>
          <w:i/>
          <w:sz w:val="20"/>
          <w:vertAlign w:val="baseline"/>
        </w:rPr>
        <w:t>available</w:t>
      </w:r>
      <w:r>
        <w:rPr>
          <w:i/>
          <w:spacing w:val="-7"/>
          <w:sz w:val="20"/>
          <w:vertAlign w:val="baseline"/>
        </w:rPr>
        <w:t> </w:t>
      </w:r>
      <w:r>
        <w:rPr>
          <w:i/>
          <w:sz w:val="20"/>
          <w:vertAlign w:val="baseline"/>
        </w:rPr>
        <w:t>at</w:t>
      </w:r>
      <w:r>
        <w:rPr>
          <w:i/>
          <w:spacing w:val="-6"/>
          <w:sz w:val="20"/>
          <w:vertAlign w:val="baseline"/>
        </w:rPr>
        <w:t> </w:t>
      </w:r>
      <w:hyperlink r:id="rId13">
        <w:r>
          <w:rPr>
            <w:color w:val="0000FF"/>
            <w:sz w:val="20"/>
            <w:u w:val="single" w:color="0000FF"/>
            <w:vertAlign w:val="baseline"/>
          </w:rPr>
          <w:t>https://www.phe.gov/emergency/news/healthactions/phe/Pages/2019-nCoV.aspx</w:t>
        </w:r>
      </w:hyperlink>
      <w:r>
        <w:rPr>
          <w:sz w:val="20"/>
          <w:vertAlign w:val="baseline"/>
        </w:rPr>
        <w:t>).</w:t>
      </w:r>
      <w:r>
        <w:rPr>
          <w:spacing w:val="-7"/>
          <w:sz w:val="20"/>
          <w:vertAlign w:val="baseline"/>
        </w:rPr>
        <w:t> </w:t>
      </w:r>
      <w:r>
        <w:rPr>
          <w:sz w:val="20"/>
          <w:vertAlign w:val="baseline"/>
        </w:rPr>
        <w:t>The declaration was renewed on April 21, 2020, effective April 26, 2020.</w:t>
      </w:r>
    </w:p>
    <w:p>
      <w:pPr>
        <w:spacing w:before="0"/>
        <w:ind w:left="160" w:right="527" w:firstLine="0"/>
        <w:jc w:val="left"/>
        <w:rPr>
          <w:sz w:val="20"/>
        </w:rPr>
      </w:pPr>
      <w:bookmarkStart w:name="_bookmark3" w:id="6"/>
      <w:bookmarkEnd w:id="6"/>
      <w:r>
        <w:rPr/>
      </w:r>
      <w:r>
        <w:rPr>
          <w:sz w:val="20"/>
          <w:vertAlign w:val="superscript"/>
        </w:rPr>
        <w:t>2</w:t>
      </w:r>
      <w:r>
        <w:rPr>
          <w:sz w:val="20"/>
          <w:vertAlign w:val="baseline"/>
        </w:rPr>
        <w:t> Proclamation on Declaring a National Emergency Concerning the Novel Coronavirus Disease (COVID-19) Outbreak</w:t>
      </w:r>
      <w:r>
        <w:rPr>
          <w:spacing w:val="-7"/>
          <w:sz w:val="20"/>
          <w:vertAlign w:val="baseline"/>
        </w:rPr>
        <w:t> </w:t>
      </w:r>
      <w:r>
        <w:rPr>
          <w:sz w:val="20"/>
          <w:vertAlign w:val="baseline"/>
        </w:rPr>
        <w:t>(Mar.</w:t>
      </w:r>
      <w:r>
        <w:rPr>
          <w:spacing w:val="-6"/>
          <w:sz w:val="20"/>
          <w:vertAlign w:val="baseline"/>
        </w:rPr>
        <w:t> </w:t>
      </w:r>
      <w:r>
        <w:rPr>
          <w:sz w:val="20"/>
          <w:vertAlign w:val="baseline"/>
        </w:rPr>
        <w:t>13,</w:t>
      </w:r>
      <w:r>
        <w:rPr>
          <w:spacing w:val="-7"/>
          <w:sz w:val="20"/>
          <w:vertAlign w:val="baseline"/>
        </w:rPr>
        <w:t> </w:t>
      </w:r>
      <w:r>
        <w:rPr>
          <w:sz w:val="20"/>
          <w:vertAlign w:val="baseline"/>
        </w:rPr>
        <w:t>2020),</w:t>
      </w:r>
      <w:r>
        <w:rPr>
          <w:spacing w:val="-7"/>
          <w:sz w:val="20"/>
          <w:vertAlign w:val="baseline"/>
        </w:rPr>
        <w:t> </w:t>
      </w:r>
      <w:r>
        <w:rPr>
          <w:i/>
          <w:sz w:val="20"/>
          <w:vertAlign w:val="baseline"/>
        </w:rPr>
        <w:t>available</w:t>
      </w:r>
      <w:r>
        <w:rPr>
          <w:i/>
          <w:spacing w:val="-7"/>
          <w:sz w:val="20"/>
          <w:vertAlign w:val="baseline"/>
        </w:rPr>
        <w:t> </w:t>
      </w:r>
      <w:r>
        <w:rPr>
          <w:i/>
          <w:sz w:val="20"/>
          <w:vertAlign w:val="baseline"/>
        </w:rPr>
        <w:t>at</w:t>
      </w:r>
      <w:r>
        <w:rPr>
          <w:i/>
          <w:spacing w:val="-8"/>
          <w:sz w:val="20"/>
          <w:vertAlign w:val="baseline"/>
        </w:rPr>
        <w:t> </w:t>
      </w:r>
      <w:hyperlink r:id="rId14">
        <w:r>
          <w:rPr>
            <w:color w:val="0000FF"/>
            <w:sz w:val="20"/>
            <w:u w:val="single" w:color="0000FF"/>
            <w:vertAlign w:val="baseline"/>
          </w:rPr>
          <w:t>https://www.whitehouse.gov/presidential-actions/proclamation-declaring-</w:t>
        </w:r>
      </w:hyperlink>
      <w:r>
        <w:rPr>
          <w:color w:val="0000FF"/>
          <w:sz w:val="20"/>
          <w:vertAlign w:val="baseline"/>
        </w:rPr>
        <w:t> </w:t>
      </w:r>
      <w:hyperlink r:id="rId14">
        <w:r>
          <w:rPr>
            <w:color w:val="0000FF"/>
            <w:spacing w:val="-2"/>
            <w:sz w:val="20"/>
            <w:u w:val="single" w:color="0000FF"/>
            <w:vertAlign w:val="baseline"/>
          </w:rPr>
          <w:t>national-emergency-concerning-novel-coronavirus-disease-covid-19-outbreak/</w:t>
        </w:r>
        <w:r>
          <w:rPr>
            <w:spacing w:val="-2"/>
            <w:sz w:val="20"/>
            <w:vertAlign w:val="baseline"/>
          </w:rPr>
          <w:t>.</w:t>
        </w:r>
      </w:hyperlink>
    </w:p>
    <w:p>
      <w:pPr>
        <w:spacing w:before="0"/>
        <w:ind w:left="160" w:right="250" w:hanging="1"/>
        <w:jc w:val="left"/>
        <w:rPr>
          <w:sz w:val="20"/>
        </w:rPr>
      </w:pPr>
      <w:bookmarkStart w:name="_bookmark4" w:id="7"/>
      <w:bookmarkEnd w:id="7"/>
      <w:r>
        <w:rPr/>
      </w:r>
      <w:r>
        <w:rPr>
          <w:sz w:val="20"/>
          <w:vertAlign w:val="superscript"/>
        </w:rPr>
        <w:t>3</w:t>
      </w:r>
      <w:r>
        <w:rPr>
          <w:spacing w:val="-2"/>
          <w:sz w:val="20"/>
          <w:vertAlign w:val="baseline"/>
        </w:rPr>
        <w:t> </w:t>
      </w:r>
      <w:r>
        <w:rPr>
          <w:sz w:val="20"/>
          <w:vertAlign w:val="baseline"/>
        </w:rPr>
        <w:t>Throughout</w:t>
      </w:r>
      <w:r>
        <w:rPr>
          <w:spacing w:val="-3"/>
          <w:sz w:val="20"/>
          <w:vertAlign w:val="baseline"/>
        </w:rPr>
        <w:t> </w:t>
      </w:r>
      <w:r>
        <w:rPr>
          <w:sz w:val="20"/>
          <w:vertAlign w:val="baseline"/>
        </w:rPr>
        <w:t>this</w:t>
      </w:r>
      <w:r>
        <w:rPr>
          <w:spacing w:val="-2"/>
          <w:sz w:val="20"/>
          <w:vertAlign w:val="baseline"/>
        </w:rPr>
        <w:t> </w:t>
      </w:r>
      <w:r>
        <w:rPr>
          <w:sz w:val="20"/>
          <w:vertAlign w:val="baseline"/>
        </w:rPr>
        <w:t>guidance,</w:t>
      </w:r>
      <w:r>
        <w:rPr>
          <w:spacing w:val="-2"/>
          <w:sz w:val="20"/>
          <w:vertAlign w:val="baseline"/>
        </w:rPr>
        <w:t> </w:t>
      </w:r>
      <w:r>
        <w:rPr>
          <w:sz w:val="20"/>
          <w:vertAlign w:val="baseline"/>
        </w:rPr>
        <w:t>the</w:t>
      </w:r>
      <w:r>
        <w:rPr>
          <w:spacing w:val="-2"/>
          <w:sz w:val="20"/>
          <w:vertAlign w:val="baseline"/>
        </w:rPr>
        <w:t> </w:t>
      </w:r>
      <w:r>
        <w:rPr>
          <w:sz w:val="20"/>
          <w:vertAlign w:val="baseline"/>
        </w:rPr>
        <w:t>term</w:t>
      </w:r>
      <w:r>
        <w:rPr>
          <w:spacing w:val="-4"/>
          <w:sz w:val="20"/>
          <w:vertAlign w:val="baseline"/>
        </w:rPr>
        <w:t> </w:t>
      </w:r>
      <w:r>
        <w:rPr>
          <w:sz w:val="20"/>
          <w:vertAlign w:val="baseline"/>
        </w:rPr>
        <w:t>“diagnostic</w:t>
      </w:r>
      <w:r>
        <w:rPr>
          <w:spacing w:val="-1"/>
          <w:sz w:val="20"/>
          <w:vertAlign w:val="baseline"/>
        </w:rPr>
        <w:t> </w:t>
      </w:r>
      <w:r>
        <w:rPr>
          <w:sz w:val="20"/>
          <w:vertAlign w:val="baseline"/>
        </w:rPr>
        <w:t>test”</w:t>
      </w:r>
      <w:r>
        <w:rPr>
          <w:spacing w:val="-2"/>
          <w:sz w:val="20"/>
          <w:vertAlign w:val="baseline"/>
        </w:rPr>
        <w:t> </w:t>
      </w:r>
      <w:r>
        <w:rPr>
          <w:sz w:val="20"/>
          <w:vertAlign w:val="baseline"/>
        </w:rPr>
        <w:t>is</w:t>
      </w:r>
      <w:r>
        <w:rPr>
          <w:spacing w:val="-2"/>
          <w:sz w:val="20"/>
          <w:vertAlign w:val="baseline"/>
        </w:rPr>
        <w:t> </w:t>
      </w:r>
      <w:r>
        <w:rPr>
          <w:sz w:val="20"/>
          <w:vertAlign w:val="baseline"/>
        </w:rPr>
        <w:t>generally</w:t>
      </w:r>
      <w:r>
        <w:rPr>
          <w:spacing w:val="-3"/>
          <w:sz w:val="20"/>
          <w:vertAlign w:val="baseline"/>
        </w:rPr>
        <w:t> </w:t>
      </w:r>
      <w:r>
        <w:rPr>
          <w:sz w:val="20"/>
          <w:vertAlign w:val="baseline"/>
        </w:rPr>
        <w:t>used</w:t>
      </w:r>
      <w:r>
        <w:rPr>
          <w:spacing w:val="-3"/>
          <w:sz w:val="20"/>
          <w:vertAlign w:val="baseline"/>
        </w:rPr>
        <w:t> </w:t>
      </w:r>
      <w:r>
        <w:rPr>
          <w:sz w:val="20"/>
          <w:vertAlign w:val="baseline"/>
        </w:rPr>
        <w:t>to</w:t>
      </w:r>
      <w:r>
        <w:rPr>
          <w:spacing w:val="-3"/>
          <w:sz w:val="20"/>
          <w:vertAlign w:val="baseline"/>
        </w:rPr>
        <w:t> </w:t>
      </w:r>
      <w:r>
        <w:rPr>
          <w:sz w:val="20"/>
          <w:vertAlign w:val="baseline"/>
        </w:rPr>
        <w:t>refer</w:t>
      </w:r>
      <w:r>
        <w:rPr>
          <w:spacing w:val="-2"/>
          <w:sz w:val="20"/>
          <w:vertAlign w:val="baseline"/>
        </w:rPr>
        <w:t> </w:t>
      </w:r>
      <w:r>
        <w:rPr>
          <w:sz w:val="20"/>
          <w:vertAlign w:val="baseline"/>
        </w:rPr>
        <w:t>to</w:t>
      </w:r>
      <w:r>
        <w:rPr>
          <w:spacing w:val="-1"/>
          <w:sz w:val="20"/>
          <w:vertAlign w:val="baseline"/>
        </w:rPr>
        <w:t> </w:t>
      </w:r>
      <w:r>
        <w:rPr>
          <w:sz w:val="20"/>
          <w:vertAlign w:val="baseline"/>
        </w:rPr>
        <w:t>molecular</w:t>
      </w:r>
      <w:r>
        <w:rPr>
          <w:spacing w:val="-3"/>
          <w:sz w:val="20"/>
          <w:vertAlign w:val="baseline"/>
        </w:rPr>
        <w:t> </w:t>
      </w:r>
      <w:r>
        <w:rPr>
          <w:sz w:val="20"/>
          <w:vertAlign w:val="baseline"/>
        </w:rPr>
        <w:t>or</w:t>
      </w:r>
      <w:r>
        <w:rPr>
          <w:spacing w:val="-2"/>
          <w:sz w:val="20"/>
          <w:vertAlign w:val="baseline"/>
        </w:rPr>
        <w:t> </w:t>
      </w:r>
      <w:r>
        <w:rPr>
          <w:sz w:val="20"/>
          <w:vertAlign w:val="baseline"/>
        </w:rPr>
        <w:t>antigen</w:t>
      </w:r>
      <w:r>
        <w:rPr>
          <w:spacing w:val="-1"/>
          <w:sz w:val="20"/>
          <w:vertAlign w:val="baseline"/>
        </w:rPr>
        <w:t> </w:t>
      </w:r>
      <w:r>
        <w:rPr>
          <w:sz w:val="20"/>
          <w:vertAlign w:val="baseline"/>
        </w:rPr>
        <w:t>tests,</w:t>
      </w:r>
      <w:r>
        <w:rPr>
          <w:spacing w:val="-2"/>
          <w:sz w:val="20"/>
          <w:vertAlign w:val="baseline"/>
        </w:rPr>
        <w:t> </w:t>
      </w:r>
      <w:r>
        <w:rPr>
          <w:sz w:val="20"/>
          <w:vertAlign w:val="baseline"/>
        </w:rPr>
        <w:t>both</w:t>
      </w:r>
      <w:r>
        <w:rPr>
          <w:spacing w:val="-3"/>
          <w:sz w:val="20"/>
          <w:vertAlign w:val="baseline"/>
        </w:rPr>
        <w:t> </w:t>
      </w:r>
      <w:r>
        <w:rPr>
          <w:sz w:val="20"/>
          <w:vertAlign w:val="baseline"/>
        </w:rPr>
        <w:t>of which can be used to diagnose infection with the SARS-CoV-2 virus.</w:t>
      </w:r>
      <w:r>
        <w:rPr>
          <w:spacing w:val="40"/>
          <w:sz w:val="20"/>
          <w:vertAlign w:val="baseline"/>
        </w:rPr>
        <w:t> </w:t>
      </w:r>
      <w:r>
        <w:rPr>
          <w:sz w:val="20"/>
          <w:vertAlign w:val="baseline"/>
        </w:rPr>
        <w:t>Molecular tests detect the presence of viral RNA and antigen tests detect the presence of viral proteins that are part of the SARS-CoV-2 virus.</w:t>
      </w:r>
      <w:r>
        <w:rPr>
          <w:spacing w:val="40"/>
          <w:sz w:val="20"/>
          <w:vertAlign w:val="baseline"/>
        </w:rPr>
        <w:t> </w:t>
      </w:r>
      <w:r>
        <w:rPr>
          <w:sz w:val="20"/>
          <w:vertAlign w:val="baseline"/>
        </w:rPr>
        <w:t>The terms “serological” or “antibody” tests are generally used to refer to tests that</w:t>
      </w:r>
      <w:r>
        <w:rPr>
          <w:spacing w:val="-1"/>
          <w:sz w:val="20"/>
          <w:vertAlign w:val="baseline"/>
        </w:rPr>
        <w:t> </w:t>
      </w:r>
      <w:r>
        <w:rPr>
          <w:sz w:val="20"/>
          <w:vertAlign w:val="baseline"/>
        </w:rPr>
        <w:t>detect antibodies to the SARS-CoV-2 virus. Because the antibodies are part of the body’s immune response to exposure and not the virus itself, such testing cannot be used for diagnosis of infection.</w:t>
      </w:r>
    </w:p>
    <w:p>
      <w:pPr>
        <w:spacing w:after="0"/>
        <w:jc w:val="left"/>
        <w:rPr>
          <w:sz w:val="20"/>
        </w:rPr>
        <w:sectPr>
          <w:pgSz w:w="12240" w:h="15840"/>
          <w:pgMar w:header="731" w:footer="785" w:top="1360" w:bottom="980" w:left="1280" w:right="1200"/>
        </w:sectPr>
      </w:pPr>
    </w:p>
    <w:p>
      <w:pPr>
        <w:pStyle w:val="BodyText"/>
        <w:spacing w:before="80"/>
        <w:ind w:left="160" w:right="278"/>
      </w:pPr>
      <w:r>
        <w:rPr/>
        <w:t>The</w:t>
      </w:r>
      <w:r>
        <w:rPr>
          <w:spacing w:val="-3"/>
        </w:rPr>
        <w:t> </w:t>
      </w:r>
      <w:r>
        <w:rPr/>
        <w:t>Centers</w:t>
      </w:r>
      <w:r>
        <w:rPr>
          <w:spacing w:val="-4"/>
        </w:rPr>
        <w:t> </w:t>
      </w:r>
      <w:r>
        <w:rPr/>
        <w:t>for</w:t>
      </w:r>
      <w:r>
        <w:rPr>
          <w:spacing w:val="-3"/>
        </w:rPr>
        <w:t> </w:t>
      </w:r>
      <w:r>
        <w:rPr/>
        <w:t>Disease</w:t>
      </w:r>
      <w:r>
        <w:rPr>
          <w:spacing w:val="-4"/>
        </w:rPr>
        <w:t> </w:t>
      </w:r>
      <w:r>
        <w:rPr/>
        <w:t>Control</w:t>
      </w:r>
      <w:r>
        <w:rPr>
          <w:spacing w:val="-3"/>
        </w:rPr>
        <w:t> </w:t>
      </w:r>
      <w:r>
        <w:rPr/>
        <w:t>and</w:t>
      </w:r>
      <w:r>
        <w:rPr>
          <w:spacing w:val="-5"/>
        </w:rPr>
        <w:t> </w:t>
      </w:r>
      <w:r>
        <w:rPr/>
        <w:t>Prevention</w:t>
      </w:r>
      <w:r>
        <w:rPr>
          <w:spacing w:val="-3"/>
        </w:rPr>
        <w:t> </w:t>
      </w:r>
      <w:r>
        <w:rPr/>
        <w:t>(CDC)</w:t>
      </w:r>
      <w:r>
        <w:rPr>
          <w:spacing w:val="-3"/>
        </w:rPr>
        <w:t> </w:t>
      </w:r>
      <w:r>
        <w:rPr/>
        <w:t>laboratories</w:t>
      </w:r>
      <w:r>
        <w:rPr>
          <w:spacing w:val="-3"/>
        </w:rPr>
        <w:t> </w:t>
      </w:r>
      <w:r>
        <w:rPr/>
        <w:t>have</w:t>
      </w:r>
      <w:r>
        <w:rPr>
          <w:spacing w:val="-4"/>
        </w:rPr>
        <w:t> </w:t>
      </w:r>
      <w:r>
        <w:rPr/>
        <w:t>supported</w:t>
      </w:r>
      <w:r>
        <w:rPr>
          <w:spacing w:val="-5"/>
        </w:rPr>
        <w:t> </w:t>
      </w:r>
      <w:r>
        <w:rPr/>
        <w:t>the</w:t>
      </w:r>
      <w:r>
        <w:rPr>
          <w:spacing w:val="-3"/>
        </w:rPr>
        <w:t> </w:t>
      </w:r>
      <w:r>
        <w:rPr/>
        <w:t>COVID- 19 response, including development of a diagnostic assay that was issued an Emergency Use Authorization (EUA) on February 4, 2020.</w:t>
      </w:r>
      <w:hyperlink w:history="true" w:anchor="_bookmark7">
        <w:r>
          <w:rPr>
            <w:vertAlign w:val="superscript"/>
          </w:rPr>
          <w:t>4</w:t>
        </w:r>
      </w:hyperlink>
      <w:r>
        <w:rPr>
          <w:vertAlign w:val="baseline"/>
        </w:rPr>
        <w:t> Since authorizing CDC’s EUA, FDA has been actively working with other SARS-CoV-2 diagnostic test developers to help accelerate development programs and respond to requests for in vitro diagnostic EUAs.</w:t>
      </w:r>
      <w:hyperlink w:history="true" w:anchor="_bookmark8">
        <w:r>
          <w:rPr>
            <w:vertAlign w:val="superscript"/>
          </w:rPr>
          <w:t>5</w:t>
        </w:r>
      </w:hyperlink>
      <w:r>
        <w:rPr>
          <w:vertAlign w:val="baseline"/>
        </w:rPr>
        <w:t> However, the severity and scope of the current COVID-19 situation around the globe necessitates greater testing capacity for the virus than is currently available.</w:t>
      </w:r>
      <w:hyperlink w:history="true" w:anchor="_bookmark9">
        <w:r>
          <w:rPr>
            <w:vertAlign w:val="superscript"/>
          </w:rPr>
          <w:t>6</w:t>
        </w:r>
      </w:hyperlink>
    </w:p>
    <w:p>
      <w:pPr>
        <w:pStyle w:val="BodyText"/>
        <w:spacing w:before="11"/>
        <w:rPr>
          <w:sz w:val="23"/>
        </w:rPr>
      </w:pPr>
    </w:p>
    <w:p>
      <w:pPr>
        <w:pStyle w:val="BodyText"/>
        <w:ind w:left="159" w:right="287"/>
      </w:pPr>
      <w:r>
        <w:rPr/>
        <w:t>The EUA</w:t>
      </w:r>
      <w:r>
        <w:rPr>
          <w:spacing w:val="-1"/>
        </w:rPr>
        <w:t> </w:t>
      </w:r>
      <w:r>
        <w:rPr/>
        <w:t>authorities allow</w:t>
      </w:r>
      <w:r>
        <w:rPr>
          <w:spacing w:val="-1"/>
        </w:rPr>
        <w:t> </w:t>
      </w:r>
      <w:r>
        <w:rPr/>
        <w:t>FDA</w:t>
      </w:r>
      <w:r>
        <w:rPr>
          <w:spacing w:val="-1"/>
        </w:rPr>
        <w:t> </w:t>
      </w:r>
      <w:r>
        <w:rPr/>
        <w:t>to help strengthen the nation’s public health protections against chemical,</w:t>
      </w:r>
      <w:r>
        <w:rPr>
          <w:spacing w:val="-4"/>
        </w:rPr>
        <w:t> </w:t>
      </w:r>
      <w:r>
        <w:rPr/>
        <w:t>biological,</w:t>
      </w:r>
      <w:r>
        <w:rPr>
          <w:spacing w:val="-4"/>
        </w:rPr>
        <w:t> </w:t>
      </w:r>
      <w:r>
        <w:rPr/>
        <w:t>radiological,</w:t>
      </w:r>
      <w:r>
        <w:rPr>
          <w:spacing w:val="-4"/>
        </w:rPr>
        <w:t> </w:t>
      </w:r>
      <w:r>
        <w:rPr/>
        <w:t>and</w:t>
      </w:r>
      <w:r>
        <w:rPr>
          <w:spacing w:val="-4"/>
        </w:rPr>
        <w:t> </w:t>
      </w:r>
      <w:r>
        <w:rPr/>
        <w:t>nuclear</w:t>
      </w:r>
      <w:r>
        <w:rPr>
          <w:spacing w:val="-4"/>
        </w:rPr>
        <w:t> </w:t>
      </w:r>
      <w:r>
        <w:rPr/>
        <w:t>(CBRN)</w:t>
      </w:r>
      <w:r>
        <w:rPr>
          <w:spacing w:val="-4"/>
        </w:rPr>
        <w:t> </w:t>
      </w:r>
      <w:r>
        <w:rPr/>
        <w:t>threats</w:t>
      </w:r>
      <w:r>
        <w:rPr>
          <w:spacing w:val="-4"/>
        </w:rPr>
        <w:t> </w:t>
      </w:r>
      <w:r>
        <w:rPr/>
        <w:t>by</w:t>
      </w:r>
      <w:r>
        <w:rPr>
          <w:spacing w:val="-4"/>
        </w:rPr>
        <w:t> </w:t>
      </w:r>
      <w:r>
        <w:rPr/>
        <w:t>facilitating</w:t>
      </w:r>
      <w:r>
        <w:rPr>
          <w:spacing w:val="-4"/>
        </w:rPr>
        <w:t> </w:t>
      </w:r>
      <w:r>
        <w:rPr/>
        <w:t>the</w:t>
      </w:r>
      <w:r>
        <w:rPr>
          <w:spacing w:val="-4"/>
        </w:rPr>
        <w:t> </w:t>
      </w:r>
      <w:r>
        <w:rPr/>
        <w:t>availability</w:t>
      </w:r>
      <w:r>
        <w:rPr>
          <w:spacing w:val="-4"/>
        </w:rPr>
        <w:t> </w:t>
      </w:r>
      <w:r>
        <w:rPr/>
        <w:t>and use of medical countermeasures initiatives (MCMs) needed during certain public health emergencies. Under section 564 of the FD&amp;C Act, the FDA Commissioner may authorize the use of unapproved medical products, or unapproved uses of approved medical products, in certain emergency circumstances, after the HHS Secretary has made a declaration of emergency or threat justifying authorization of emergency use, to diagnose, treat, or prevent serious or life- threatening disease or conditions caused by CBRN threat agents when certain criteria are met.</w:t>
      </w:r>
    </w:p>
    <w:p>
      <w:pPr>
        <w:pStyle w:val="BodyText"/>
        <w:spacing w:before="5"/>
        <w:rPr>
          <w:sz w:val="34"/>
        </w:rPr>
      </w:pPr>
    </w:p>
    <w:p>
      <w:pPr>
        <w:pStyle w:val="Heading1"/>
        <w:numPr>
          <w:ilvl w:val="0"/>
          <w:numId w:val="6"/>
        </w:numPr>
        <w:tabs>
          <w:tab w:pos="878" w:val="left" w:leader="none"/>
        </w:tabs>
        <w:spacing w:line="240" w:lineRule="auto" w:before="0" w:after="0"/>
        <w:ind w:left="878" w:right="0" w:hanging="718"/>
        <w:jc w:val="left"/>
      </w:pPr>
      <w:bookmarkStart w:name="III. Scope" w:id="8"/>
      <w:bookmarkEnd w:id="8"/>
      <w:r>
        <w:rPr>
          <w:b w:val="0"/>
        </w:rPr>
      </w:r>
      <w:bookmarkStart w:name="_bookmark5" w:id="9"/>
      <w:bookmarkEnd w:id="9"/>
      <w:r>
        <w:rPr>
          <w:b w:val="0"/>
        </w:rPr>
      </w:r>
      <w:r>
        <w:rPr>
          <w:spacing w:val="-2"/>
        </w:rPr>
        <w:t>Scope</w:t>
      </w:r>
    </w:p>
    <w:p>
      <w:pPr>
        <w:pStyle w:val="BodyText"/>
        <w:spacing w:before="120"/>
        <w:ind w:left="159" w:right="278"/>
      </w:pPr>
      <w:r>
        <w:rPr/>
        <w:t>The</w:t>
      </w:r>
      <w:r>
        <w:rPr>
          <w:spacing w:val="-3"/>
        </w:rPr>
        <w:t> </w:t>
      </w:r>
      <w:r>
        <w:rPr/>
        <w:t>policies</w:t>
      </w:r>
      <w:r>
        <w:rPr>
          <w:spacing w:val="-4"/>
        </w:rPr>
        <w:t> </w:t>
      </w:r>
      <w:r>
        <w:rPr/>
        <w:t>described</w:t>
      </w:r>
      <w:r>
        <w:rPr>
          <w:spacing w:val="-3"/>
        </w:rPr>
        <w:t> </w:t>
      </w:r>
      <w:r>
        <w:rPr/>
        <w:t>in</w:t>
      </w:r>
      <w:r>
        <w:rPr>
          <w:spacing w:val="-5"/>
        </w:rPr>
        <w:t> </w:t>
      </w:r>
      <w:r>
        <w:rPr/>
        <w:t>this</w:t>
      </w:r>
      <w:r>
        <w:rPr>
          <w:spacing w:val="-3"/>
        </w:rPr>
        <w:t> </w:t>
      </w:r>
      <w:r>
        <w:rPr/>
        <w:t>guidance</w:t>
      </w:r>
      <w:r>
        <w:rPr>
          <w:spacing w:val="-3"/>
        </w:rPr>
        <w:t> </w:t>
      </w:r>
      <w:r>
        <w:rPr/>
        <w:t>for</w:t>
      </w:r>
      <w:r>
        <w:rPr>
          <w:spacing w:val="-3"/>
        </w:rPr>
        <w:t> </w:t>
      </w:r>
      <w:r>
        <w:rPr/>
        <w:t>accelerating</w:t>
      </w:r>
      <w:r>
        <w:rPr>
          <w:spacing w:val="-3"/>
        </w:rPr>
        <w:t> </w:t>
      </w:r>
      <w:r>
        <w:rPr/>
        <w:t>availability</w:t>
      </w:r>
      <w:r>
        <w:rPr>
          <w:spacing w:val="-3"/>
        </w:rPr>
        <w:t> </w:t>
      </w:r>
      <w:r>
        <w:rPr/>
        <w:t>of</w:t>
      </w:r>
      <w:r>
        <w:rPr>
          <w:spacing w:val="-4"/>
        </w:rPr>
        <w:t> </w:t>
      </w:r>
      <w:r>
        <w:rPr/>
        <w:t>testing</w:t>
      </w:r>
      <w:r>
        <w:rPr>
          <w:spacing w:val="-3"/>
        </w:rPr>
        <w:t> </w:t>
      </w:r>
      <w:r>
        <w:rPr/>
        <w:t>for</w:t>
      </w:r>
      <w:r>
        <w:rPr>
          <w:spacing w:val="-3"/>
        </w:rPr>
        <w:t> </w:t>
      </w:r>
      <w:r>
        <w:rPr/>
        <w:t>COVID-19 apply to certain laboratories and commercial manufacturers developing SARS-CoV-2 tests during the public health emergency, as described below.</w:t>
      </w:r>
    </w:p>
    <w:p>
      <w:pPr>
        <w:pStyle w:val="BodyText"/>
        <w:spacing w:before="5"/>
        <w:rPr>
          <w:sz w:val="34"/>
        </w:rPr>
      </w:pPr>
    </w:p>
    <w:p>
      <w:pPr>
        <w:pStyle w:val="Heading1"/>
        <w:numPr>
          <w:ilvl w:val="0"/>
          <w:numId w:val="6"/>
        </w:numPr>
        <w:tabs>
          <w:tab w:pos="879" w:val="left" w:leader="none"/>
        </w:tabs>
        <w:spacing w:line="240" w:lineRule="auto" w:before="0" w:after="0"/>
        <w:ind w:left="879" w:right="0" w:hanging="719"/>
        <w:jc w:val="left"/>
      </w:pPr>
      <w:bookmarkStart w:name="IV. Policy" w:id="10"/>
      <w:bookmarkEnd w:id="10"/>
      <w:r>
        <w:rPr>
          <w:b w:val="0"/>
        </w:rPr>
      </w:r>
      <w:bookmarkStart w:name="_bookmark6" w:id="11"/>
      <w:bookmarkEnd w:id="11"/>
      <w:r>
        <w:rPr>
          <w:b w:val="0"/>
        </w:rPr>
      </w:r>
      <w:r>
        <w:rPr>
          <w:spacing w:val="-2"/>
        </w:rPr>
        <w:t>Policy</w:t>
      </w:r>
    </w:p>
    <w:p>
      <w:pPr>
        <w:pStyle w:val="BodyText"/>
        <w:spacing w:before="121"/>
        <w:ind w:left="160" w:right="278"/>
      </w:pPr>
      <w:r>
        <w:rPr/>
        <w:t>This</w:t>
      </w:r>
      <w:r>
        <w:rPr>
          <w:spacing w:val="-3"/>
        </w:rPr>
        <w:t> </w:t>
      </w:r>
      <w:r>
        <w:rPr/>
        <w:t>guidance</w:t>
      </w:r>
      <w:r>
        <w:rPr>
          <w:spacing w:val="-3"/>
        </w:rPr>
        <w:t> </w:t>
      </w:r>
      <w:r>
        <w:rPr/>
        <w:t>describes</w:t>
      </w:r>
      <w:r>
        <w:rPr>
          <w:spacing w:val="-4"/>
        </w:rPr>
        <w:t> </w:t>
      </w:r>
      <w:r>
        <w:rPr/>
        <w:t>policies</w:t>
      </w:r>
      <w:r>
        <w:rPr>
          <w:spacing w:val="-3"/>
        </w:rPr>
        <w:t> </w:t>
      </w:r>
      <w:r>
        <w:rPr/>
        <w:t>intended</w:t>
      </w:r>
      <w:r>
        <w:rPr>
          <w:spacing w:val="-3"/>
        </w:rPr>
        <w:t> </w:t>
      </w:r>
      <w:r>
        <w:rPr/>
        <w:t>to</w:t>
      </w:r>
      <w:r>
        <w:rPr>
          <w:spacing w:val="-3"/>
        </w:rPr>
        <w:t> </w:t>
      </w:r>
      <w:r>
        <w:rPr/>
        <w:t>help</w:t>
      </w:r>
      <w:r>
        <w:rPr>
          <w:spacing w:val="-5"/>
        </w:rPr>
        <w:t> </w:t>
      </w:r>
      <w:r>
        <w:rPr/>
        <w:t>rapidly</w:t>
      </w:r>
      <w:r>
        <w:rPr>
          <w:spacing w:val="-3"/>
        </w:rPr>
        <w:t> </w:t>
      </w:r>
      <w:r>
        <w:rPr/>
        <w:t>expand</w:t>
      </w:r>
      <w:r>
        <w:rPr>
          <w:spacing w:val="-3"/>
        </w:rPr>
        <w:t> </w:t>
      </w:r>
      <w:r>
        <w:rPr/>
        <w:t>testing</w:t>
      </w:r>
      <w:r>
        <w:rPr>
          <w:spacing w:val="-3"/>
        </w:rPr>
        <w:t> </w:t>
      </w:r>
      <w:r>
        <w:rPr/>
        <w:t>capacity</w:t>
      </w:r>
      <w:r>
        <w:rPr>
          <w:spacing w:val="-3"/>
        </w:rPr>
        <w:t> </w:t>
      </w:r>
      <w:r>
        <w:rPr/>
        <w:t>by</w:t>
      </w:r>
      <w:r>
        <w:rPr>
          <w:spacing w:val="-3"/>
        </w:rPr>
        <w:t> </w:t>
      </w:r>
      <w:r>
        <w:rPr/>
        <w:t>facilitating the development and use of SARS-CoV-2 tests during the public health emergency.</w:t>
      </w:r>
    </w:p>
    <w:p>
      <w:pPr>
        <w:pStyle w:val="BodyText"/>
        <w:spacing w:before="10"/>
        <w:rPr>
          <w:sz w:val="23"/>
        </w:rPr>
      </w:pPr>
    </w:p>
    <w:p>
      <w:pPr>
        <w:pStyle w:val="BodyText"/>
        <w:ind w:left="160" w:right="278"/>
      </w:pPr>
      <w:r>
        <w:rPr/>
        <w:t>This guidance describes two policies for accelerating the development of certain laboratory- developed diagnostic tests for COVID-19 – one leading to an EUA submission to FDA, and the other not leading to an EUA submission when the test is developed under the authorities of the State in which the laboratory resides and the State takes responsibility for COVID-19 testing by laboratories in its State. The policy leading to an EUA remains unchanged from the initial publication of this guidance on February 29, 2020, though some process updates and clarifications</w:t>
      </w:r>
      <w:r>
        <w:rPr>
          <w:spacing w:val="-3"/>
        </w:rPr>
        <w:t> </w:t>
      </w:r>
      <w:r>
        <w:rPr/>
        <w:t>have</w:t>
      </w:r>
      <w:r>
        <w:rPr>
          <w:spacing w:val="-3"/>
        </w:rPr>
        <w:t> </w:t>
      </w:r>
      <w:r>
        <w:rPr/>
        <w:t>been</w:t>
      </w:r>
      <w:r>
        <w:rPr>
          <w:spacing w:val="-5"/>
        </w:rPr>
        <w:t> </w:t>
      </w:r>
      <w:r>
        <w:rPr/>
        <w:t>made</w:t>
      </w:r>
      <w:r>
        <w:rPr>
          <w:spacing w:val="-3"/>
        </w:rPr>
        <w:t> </w:t>
      </w:r>
      <w:r>
        <w:rPr/>
        <w:t>as</w:t>
      </w:r>
      <w:r>
        <w:rPr>
          <w:spacing w:val="-3"/>
        </w:rPr>
        <w:t> </w:t>
      </w:r>
      <w:r>
        <w:rPr/>
        <w:t>discussed</w:t>
      </w:r>
      <w:r>
        <w:rPr>
          <w:spacing w:val="-3"/>
        </w:rPr>
        <w:t> </w:t>
      </w:r>
      <w:r>
        <w:rPr/>
        <w:t>further</w:t>
      </w:r>
      <w:r>
        <w:rPr>
          <w:spacing w:val="-2"/>
        </w:rPr>
        <w:t> </w:t>
      </w:r>
      <w:r>
        <w:rPr/>
        <w:t>below.</w:t>
      </w:r>
      <w:r>
        <w:rPr>
          <w:spacing w:val="-3"/>
        </w:rPr>
        <w:t> </w:t>
      </w:r>
      <w:r>
        <w:rPr/>
        <w:t>The</w:t>
      </w:r>
      <w:r>
        <w:rPr>
          <w:spacing w:val="-4"/>
        </w:rPr>
        <w:t> </w:t>
      </w:r>
      <w:r>
        <w:rPr/>
        <w:t>policy</w:t>
      </w:r>
      <w:r>
        <w:rPr>
          <w:spacing w:val="-3"/>
        </w:rPr>
        <w:t> </w:t>
      </w:r>
      <w:r>
        <w:rPr/>
        <w:t>for</w:t>
      </w:r>
      <w:r>
        <w:rPr>
          <w:spacing w:val="-3"/>
        </w:rPr>
        <w:t> </w:t>
      </w:r>
      <w:r>
        <w:rPr/>
        <w:t>State</w:t>
      </w:r>
      <w:r>
        <w:rPr>
          <w:spacing w:val="-3"/>
        </w:rPr>
        <w:t> </w:t>
      </w:r>
      <w:r>
        <w:rPr/>
        <w:t>oversight</w:t>
      </w:r>
      <w:r>
        <w:rPr>
          <w:spacing w:val="-3"/>
        </w:rPr>
        <w:t> </w:t>
      </w:r>
      <w:r>
        <w:rPr/>
        <w:t>remains unchanged from the second publication of this guidance on March 16, 2020.</w:t>
      </w:r>
    </w:p>
    <w:p>
      <w:pPr>
        <w:pStyle w:val="BodyText"/>
        <w:rPr>
          <w:sz w:val="20"/>
        </w:rPr>
      </w:pPr>
    </w:p>
    <w:p>
      <w:pPr>
        <w:pStyle w:val="BodyText"/>
        <w:spacing w:before="4"/>
        <w:rPr>
          <w:sz w:val="29"/>
        </w:rPr>
      </w:pPr>
      <w:r>
        <w:rPr/>
        <mc:AlternateContent>
          <mc:Choice Requires="wps">
            <w:drawing>
              <wp:anchor distT="0" distB="0" distL="0" distR="0" allowOverlap="1" layoutInCell="1" locked="0" behindDoc="1" simplePos="0" relativeHeight="487589888">
                <wp:simplePos x="0" y="0"/>
                <wp:positionH relativeFrom="page">
                  <wp:posOffset>914400</wp:posOffset>
                </wp:positionH>
                <wp:positionV relativeFrom="paragraph">
                  <wp:posOffset>229695</wp:posOffset>
                </wp:positionV>
                <wp:extent cx="1828800" cy="7620"/>
                <wp:effectExtent l="0" t="0" r="0" b="0"/>
                <wp:wrapTopAndBottom/>
                <wp:docPr id="9" name="Graphic 9"/>
                <wp:cNvGraphicFramePr>
                  <a:graphicFrameLocks/>
                </wp:cNvGraphicFramePr>
                <a:graphic>
                  <a:graphicData uri="http://schemas.microsoft.com/office/word/2010/wordprocessingShape">
                    <wps:wsp>
                      <wps:cNvPr id="9" name="Graphic 9"/>
                      <wps:cNvSpPr/>
                      <wps:spPr>
                        <a:xfrm>
                          <a:off x="0" y="0"/>
                          <a:ext cx="1828800" cy="7620"/>
                        </a:xfrm>
                        <a:custGeom>
                          <a:avLst/>
                          <a:gdLst/>
                          <a:ahLst/>
                          <a:cxnLst/>
                          <a:rect l="l" t="t" r="r" b="b"/>
                          <a:pathLst>
                            <a:path w="1828800" h="7620">
                              <a:moveTo>
                                <a:pt x="1828800" y="0"/>
                              </a:moveTo>
                              <a:lnTo>
                                <a:pt x="0" y="0"/>
                              </a:lnTo>
                              <a:lnTo>
                                <a:pt x="0" y="7620"/>
                              </a:lnTo>
                              <a:lnTo>
                                <a:pt x="1828800" y="762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18.086231pt;width:144pt;height:.6pt;mso-position-horizontal-relative:page;mso-position-vertical-relative:paragraph;z-index:-15726592;mso-wrap-distance-left:0;mso-wrap-distance-right:0" id="docshape9" filled="true" fillcolor="#000000" stroked="false">
                <v:fill type="solid"/>
                <w10:wrap type="topAndBottom"/>
              </v:rect>
            </w:pict>
          </mc:Fallback>
        </mc:AlternateContent>
      </w:r>
    </w:p>
    <w:p>
      <w:pPr>
        <w:spacing w:before="101"/>
        <w:ind w:left="159" w:right="303" w:firstLine="0"/>
        <w:jc w:val="left"/>
        <w:rPr>
          <w:sz w:val="20"/>
        </w:rPr>
      </w:pPr>
      <w:bookmarkStart w:name="_bookmark7" w:id="12"/>
      <w:bookmarkEnd w:id="12"/>
      <w:r>
        <w:rPr/>
      </w:r>
      <w:r>
        <w:rPr>
          <w:sz w:val="20"/>
          <w:vertAlign w:val="superscript"/>
        </w:rPr>
        <w:t>4</w:t>
      </w:r>
      <w:r>
        <w:rPr>
          <w:sz w:val="20"/>
          <w:vertAlign w:val="baseline"/>
        </w:rPr>
        <w:t> See FDA’s February 4, 2020, letter authorizing CDC’s 2019-nCoV (RT)-PCR Diagnostic Panel for the presumptive</w:t>
      </w:r>
      <w:r>
        <w:rPr>
          <w:spacing w:val="-3"/>
          <w:sz w:val="20"/>
          <w:vertAlign w:val="baseline"/>
        </w:rPr>
        <w:t> </w:t>
      </w:r>
      <w:r>
        <w:rPr>
          <w:sz w:val="20"/>
          <w:vertAlign w:val="baseline"/>
        </w:rPr>
        <w:t>qualitative</w:t>
      </w:r>
      <w:r>
        <w:rPr>
          <w:spacing w:val="-3"/>
          <w:sz w:val="20"/>
          <w:vertAlign w:val="baseline"/>
        </w:rPr>
        <w:t> </w:t>
      </w:r>
      <w:r>
        <w:rPr>
          <w:sz w:val="20"/>
          <w:vertAlign w:val="baseline"/>
        </w:rPr>
        <w:t>detection</w:t>
      </w:r>
      <w:r>
        <w:rPr>
          <w:spacing w:val="-4"/>
          <w:sz w:val="20"/>
          <w:vertAlign w:val="baseline"/>
        </w:rPr>
        <w:t> </w:t>
      </w:r>
      <w:r>
        <w:rPr>
          <w:sz w:val="20"/>
          <w:vertAlign w:val="baseline"/>
        </w:rPr>
        <w:t>of</w:t>
      </w:r>
      <w:r>
        <w:rPr>
          <w:spacing w:val="-4"/>
          <w:sz w:val="20"/>
          <w:vertAlign w:val="baseline"/>
        </w:rPr>
        <w:t> </w:t>
      </w:r>
      <w:r>
        <w:rPr>
          <w:sz w:val="20"/>
          <w:vertAlign w:val="baseline"/>
        </w:rPr>
        <w:t>nucleic</w:t>
      </w:r>
      <w:r>
        <w:rPr>
          <w:spacing w:val="-4"/>
          <w:sz w:val="20"/>
          <w:vertAlign w:val="baseline"/>
        </w:rPr>
        <w:t> </w:t>
      </w:r>
      <w:r>
        <w:rPr>
          <w:sz w:val="20"/>
          <w:vertAlign w:val="baseline"/>
        </w:rPr>
        <w:t>acid</w:t>
      </w:r>
      <w:r>
        <w:rPr>
          <w:spacing w:val="-2"/>
          <w:sz w:val="20"/>
          <w:vertAlign w:val="baseline"/>
        </w:rPr>
        <w:t> </w:t>
      </w:r>
      <w:r>
        <w:rPr>
          <w:sz w:val="20"/>
          <w:vertAlign w:val="baseline"/>
        </w:rPr>
        <w:t>from</w:t>
      </w:r>
      <w:r>
        <w:rPr>
          <w:spacing w:val="-5"/>
          <w:sz w:val="20"/>
          <w:vertAlign w:val="baseline"/>
        </w:rPr>
        <w:t> </w:t>
      </w:r>
      <w:r>
        <w:rPr>
          <w:sz w:val="20"/>
          <w:vertAlign w:val="baseline"/>
        </w:rPr>
        <w:t>the</w:t>
      </w:r>
      <w:r>
        <w:rPr>
          <w:spacing w:val="-4"/>
          <w:sz w:val="20"/>
          <w:vertAlign w:val="baseline"/>
        </w:rPr>
        <w:t> </w:t>
      </w:r>
      <w:r>
        <w:rPr>
          <w:sz w:val="20"/>
          <w:vertAlign w:val="baseline"/>
        </w:rPr>
        <w:t>2019-nCoV</w:t>
      </w:r>
      <w:r>
        <w:rPr>
          <w:spacing w:val="-4"/>
          <w:sz w:val="20"/>
          <w:vertAlign w:val="baseline"/>
        </w:rPr>
        <w:t> </w:t>
      </w:r>
      <w:r>
        <w:rPr>
          <w:sz w:val="20"/>
          <w:vertAlign w:val="baseline"/>
        </w:rPr>
        <w:t>in</w:t>
      </w:r>
      <w:r>
        <w:rPr>
          <w:spacing w:val="-4"/>
          <w:sz w:val="20"/>
          <w:vertAlign w:val="baseline"/>
        </w:rPr>
        <w:t> </w:t>
      </w:r>
      <w:r>
        <w:rPr>
          <w:sz w:val="20"/>
          <w:vertAlign w:val="baseline"/>
        </w:rPr>
        <w:t>upper</w:t>
      </w:r>
      <w:r>
        <w:rPr>
          <w:spacing w:val="-3"/>
          <w:sz w:val="20"/>
          <w:vertAlign w:val="baseline"/>
        </w:rPr>
        <w:t> </w:t>
      </w:r>
      <w:r>
        <w:rPr>
          <w:sz w:val="20"/>
          <w:vertAlign w:val="baseline"/>
        </w:rPr>
        <w:t>and</w:t>
      </w:r>
      <w:r>
        <w:rPr>
          <w:spacing w:val="-2"/>
          <w:sz w:val="20"/>
          <w:vertAlign w:val="baseline"/>
        </w:rPr>
        <w:t> </w:t>
      </w:r>
      <w:r>
        <w:rPr>
          <w:sz w:val="20"/>
          <w:vertAlign w:val="baseline"/>
        </w:rPr>
        <w:t>lower</w:t>
      </w:r>
      <w:r>
        <w:rPr>
          <w:spacing w:val="-4"/>
          <w:sz w:val="20"/>
          <w:vertAlign w:val="baseline"/>
        </w:rPr>
        <w:t> </w:t>
      </w:r>
      <w:r>
        <w:rPr>
          <w:sz w:val="20"/>
          <w:vertAlign w:val="baseline"/>
        </w:rPr>
        <w:t>respiratory</w:t>
      </w:r>
      <w:r>
        <w:rPr>
          <w:spacing w:val="-4"/>
          <w:sz w:val="20"/>
          <w:vertAlign w:val="baseline"/>
        </w:rPr>
        <w:t> </w:t>
      </w:r>
      <w:r>
        <w:rPr>
          <w:sz w:val="20"/>
          <w:vertAlign w:val="baseline"/>
        </w:rPr>
        <w:t>specimens, available at </w:t>
      </w:r>
      <w:hyperlink r:id="rId15">
        <w:r>
          <w:rPr>
            <w:color w:val="0000FF"/>
            <w:sz w:val="20"/>
            <w:u w:val="single" w:color="0000FF"/>
            <w:vertAlign w:val="baseline"/>
          </w:rPr>
          <w:t>https://www.fda.gov/media/134919/download</w:t>
        </w:r>
        <w:r>
          <w:rPr>
            <w:sz w:val="20"/>
            <w:vertAlign w:val="baseline"/>
          </w:rPr>
          <w:t>.</w:t>
        </w:r>
      </w:hyperlink>
      <w:r>
        <w:rPr>
          <w:sz w:val="20"/>
          <w:vertAlign w:val="baseline"/>
        </w:rPr>
        <w:t> This EUA was re-issued in its entirety on March 15, </w:t>
      </w:r>
      <w:bookmarkStart w:name="_bookmark8" w:id="13"/>
      <w:bookmarkEnd w:id="13"/>
      <w:r>
        <w:rPr>
          <w:sz w:val="20"/>
          <w:vertAlign w:val="baseline"/>
        </w:rPr>
        <w:t>2</w:t>
      </w:r>
      <w:r>
        <w:rPr>
          <w:sz w:val="20"/>
          <w:vertAlign w:val="baseline"/>
        </w:rPr>
        <w:t>020 to reflect a number of amendments including changes to the intended use and primer and probe materials.</w:t>
      </w:r>
    </w:p>
    <w:p>
      <w:pPr>
        <w:spacing w:before="0"/>
        <w:ind w:left="160" w:right="303" w:firstLine="0"/>
        <w:jc w:val="left"/>
        <w:rPr>
          <w:sz w:val="20"/>
        </w:rPr>
      </w:pPr>
      <w:r>
        <w:rPr>
          <w:sz w:val="20"/>
          <w:vertAlign w:val="superscript"/>
        </w:rPr>
        <w:t>5</w:t>
      </w:r>
      <w:r>
        <w:rPr>
          <w:sz w:val="20"/>
          <w:vertAlign w:val="baseline"/>
        </w:rPr>
        <w:t> See FDA’s Guidance, Emergency Use Authorization of Medical Products and Related Authorities, available at </w:t>
      </w:r>
      <w:hyperlink r:id="rId16">
        <w:r>
          <w:rPr>
            <w:color w:val="0000FF"/>
            <w:spacing w:val="-2"/>
            <w:sz w:val="20"/>
            <w:u w:val="single" w:color="0000FF"/>
            <w:vertAlign w:val="baseline"/>
          </w:rPr>
          <w:t>https://www.fda.gov/regulatory-information/search-fda-guidance-documents/emergency-use-authorization-medical-</w:t>
        </w:r>
      </w:hyperlink>
      <w:r>
        <w:rPr>
          <w:color w:val="0000FF"/>
          <w:spacing w:val="-2"/>
          <w:sz w:val="20"/>
          <w:vertAlign w:val="baseline"/>
        </w:rPr>
        <w:t> </w:t>
      </w:r>
      <w:hyperlink r:id="rId16">
        <w:r>
          <w:rPr>
            <w:color w:val="0000FF"/>
            <w:spacing w:val="-2"/>
            <w:sz w:val="20"/>
            <w:u w:val="single" w:color="0000FF"/>
            <w:vertAlign w:val="baseline"/>
          </w:rPr>
          <w:t>products-and-related-authorities</w:t>
        </w:r>
        <w:r>
          <w:rPr>
            <w:spacing w:val="-2"/>
            <w:sz w:val="20"/>
            <w:vertAlign w:val="baseline"/>
          </w:rPr>
          <w:t>.</w:t>
        </w:r>
      </w:hyperlink>
    </w:p>
    <w:p>
      <w:pPr>
        <w:spacing w:line="238" w:lineRule="exact" w:before="34"/>
        <w:ind w:left="160" w:right="278" w:hanging="1"/>
        <w:jc w:val="left"/>
        <w:rPr>
          <w:sz w:val="20"/>
        </w:rPr>
      </w:pPr>
      <w:bookmarkStart w:name="_bookmark9" w:id="14"/>
      <w:bookmarkEnd w:id="14"/>
      <w:r>
        <w:rPr/>
      </w:r>
      <w:r>
        <w:rPr>
          <w:position w:val="9"/>
          <w:sz w:val="16"/>
        </w:rPr>
        <w:t>6</w:t>
      </w:r>
      <w:r>
        <w:rPr>
          <w:spacing w:val="17"/>
          <w:position w:val="9"/>
          <w:sz w:val="16"/>
        </w:rPr>
        <w:t> </w:t>
      </w:r>
      <w:r>
        <w:rPr>
          <w:sz w:val="20"/>
        </w:rPr>
        <w:t>Nothing</w:t>
      </w:r>
      <w:r>
        <w:rPr>
          <w:spacing w:val="-2"/>
          <w:sz w:val="20"/>
        </w:rPr>
        <w:t> </w:t>
      </w:r>
      <w:r>
        <w:rPr>
          <w:sz w:val="20"/>
        </w:rPr>
        <w:t>in</w:t>
      </w:r>
      <w:r>
        <w:rPr>
          <w:spacing w:val="-3"/>
          <w:sz w:val="20"/>
        </w:rPr>
        <w:t> </w:t>
      </w:r>
      <w:r>
        <w:rPr>
          <w:sz w:val="20"/>
        </w:rPr>
        <w:t>this</w:t>
      </w:r>
      <w:r>
        <w:rPr>
          <w:spacing w:val="-3"/>
          <w:sz w:val="20"/>
        </w:rPr>
        <w:t> </w:t>
      </w:r>
      <w:r>
        <w:rPr>
          <w:sz w:val="20"/>
        </w:rPr>
        <w:t>guidance</w:t>
      </w:r>
      <w:r>
        <w:rPr>
          <w:spacing w:val="-3"/>
          <w:sz w:val="20"/>
        </w:rPr>
        <w:t> </w:t>
      </w:r>
      <w:r>
        <w:rPr>
          <w:sz w:val="20"/>
        </w:rPr>
        <w:t>is</w:t>
      </w:r>
      <w:r>
        <w:rPr>
          <w:spacing w:val="-3"/>
          <w:sz w:val="20"/>
        </w:rPr>
        <w:t> </w:t>
      </w:r>
      <w:r>
        <w:rPr>
          <w:sz w:val="20"/>
        </w:rPr>
        <w:t>intended</w:t>
      </w:r>
      <w:r>
        <w:rPr>
          <w:spacing w:val="-3"/>
          <w:sz w:val="20"/>
        </w:rPr>
        <w:t> </w:t>
      </w:r>
      <w:r>
        <w:rPr>
          <w:sz w:val="20"/>
        </w:rPr>
        <w:t>to</w:t>
      </w:r>
      <w:r>
        <w:rPr>
          <w:spacing w:val="-2"/>
          <w:sz w:val="20"/>
        </w:rPr>
        <w:t> </w:t>
      </w:r>
      <w:r>
        <w:rPr>
          <w:sz w:val="20"/>
        </w:rPr>
        <w:t>impact</w:t>
      </w:r>
      <w:r>
        <w:rPr>
          <w:spacing w:val="-3"/>
          <w:sz w:val="20"/>
        </w:rPr>
        <w:t> </w:t>
      </w:r>
      <w:r>
        <w:rPr>
          <w:sz w:val="20"/>
        </w:rPr>
        <w:t>or</w:t>
      </w:r>
      <w:r>
        <w:rPr>
          <w:spacing w:val="-3"/>
          <w:sz w:val="20"/>
        </w:rPr>
        <w:t> </w:t>
      </w:r>
      <w:r>
        <w:rPr>
          <w:sz w:val="20"/>
        </w:rPr>
        <w:t>supersede</w:t>
      </w:r>
      <w:r>
        <w:rPr>
          <w:spacing w:val="-3"/>
          <w:sz w:val="20"/>
        </w:rPr>
        <w:t> </w:t>
      </w:r>
      <w:r>
        <w:rPr>
          <w:sz w:val="20"/>
        </w:rPr>
        <w:t>CDC’s</w:t>
      </w:r>
      <w:r>
        <w:rPr>
          <w:spacing w:val="-3"/>
          <w:sz w:val="20"/>
        </w:rPr>
        <w:t> </w:t>
      </w:r>
      <w:r>
        <w:rPr>
          <w:sz w:val="20"/>
        </w:rPr>
        <w:t>recommendations</w:t>
      </w:r>
      <w:r>
        <w:rPr>
          <w:spacing w:val="-3"/>
          <w:sz w:val="20"/>
        </w:rPr>
        <w:t> </w:t>
      </w:r>
      <w:r>
        <w:rPr>
          <w:sz w:val="20"/>
        </w:rPr>
        <w:t>regarding</w:t>
      </w:r>
      <w:r>
        <w:rPr>
          <w:spacing w:val="-3"/>
          <w:sz w:val="20"/>
        </w:rPr>
        <w:t> </w:t>
      </w:r>
      <w:r>
        <w:rPr>
          <w:sz w:val="20"/>
        </w:rPr>
        <w:t>which</w:t>
      </w:r>
      <w:r>
        <w:rPr>
          <w:spacing w:val="-3"/>
          <w:sz w:val="20"/>
        </w:rPr>
        <w:t> </w:t>
      </w:r>
      <w:r>
        <w:rPr>
          <w:sz w:val="20"/>
        </w:rPr>
        <w:t>patients should be tested for COVID-19.</w:t>
      </w:r>
    </w:p>
    <w:p>
      <w:pPr>
        <w:spacing w:after="0" w:line="238" w:lineRule="exact"/>
        <w:jc w:val="left"/>
        <w:rPr>
          <w:sz w:val="20"/>
        </w:rPr>
        <w:sectPr>
          <w:pgSz w:w="12240" w:h="15840"/>
          <w:pgMar w:header="731" w:footer="785" w:top="1360" w:bottom="980" w:left="1280" w:right="1200"/>
        </w:sectPr>
      </w:pPr>
    </w:p>
    <w:p>
      <w:pPr>
        <w:pStyle w:val="BodyText"/>
        <w:spacing w:before="80"/>
        <w:ind w:left="160"/>
      </w:pPr>
      <w:r>
        <w:rPr/>
        <w:t>In addition, this guidance describes a policy for commercial manufacturers to more rapidly distribute</w:t>
      </w:r>
      <w:r>
        <w:rPr>
          <w:spacing w:val="-3"/>
        </w:rPr>
        <w:t> </w:t>
      </w:r>
      <w:r>
        <w:rPr/>
        <w:t>their</w:t>
      </w:r>
      <w:r>
        <w:rPr>
          <w:spacing w:val="-3"/>
        </w:rPr>
        <w:t> </w:t>
      </w:r>
      <w:r>
        <w:rPr/>
        <w:t>SARS-CoV-2</w:t>
      </w:r>
      <w:r>
        <w:rPr>
          <w:spacing w:val="-3"/>
        </w:rPr>
        <w:t> </w:t>
      </w:r>
      <w:r>
        <w:rPr/>
        <w:t>diagnostic</w:t>
      </w:r>
      <w:r>
        <w:rPr>
          <w:spacing w:val="-4"/>
        </w:rPr>
        <w:t> </w:t>
      </w:r>
      <w:r>
        <w:rPr/>
        <w:t>tests</w:t>
      </w:r>
      <w:r>
        <w:rPr>
          <w:spacing w:val="-3"/>
        </w:rPr>
        <w:t> </w:t>
      </w:r>
      <w:r>
        <w:rPr/>
        <w:t>to</w:t>
      </w:r>
      <w:r>
        <w:rPr>
          <w:spacing w:val="-5"/>
        </w:rPr>
        <w:t> </w:t>
      </w:r>
      <w:r>
        <w:rPr/>
        <w:t>laboratories</w:t>
      </w:r>
      <w:r>
        <w:rPr>
          <w:spacing w:val="-3"/>
        </w:rPr>
        <w:t> </w:t>
      </w:r>
      <w:r>
        <w:rPr/>
        <w:t>for</w:t>
      </w:r>
      <w:r>
        <w:rPr>
          <w:spacing w:val="-3"/>
        </w:rPr>
        <w:t> </w:t>
      </w:r>
      <w:r>
        <w:rPr/>
        <w:t>specimen</w:t>
      </w:r>
      <w:r>
        <w:rPr>
          <w:spacing w:val="-3"/>
        </w:rPr>
        <w:t> </w:t>
      </w:r>
      <w:r>
        <w:rPr/>
        <w:t>testing</w:t>
      </w:r>
      <w:r>
        <w:rPr>
          <w:spacing w:val="-3"/>
        </w:rPr>
        <w:t> </w:t>
      </w:r>
      <w:r>
        <w:rPr/>
        <w:t>after</w:t>
      </w:r>
      <w:r>
        <w:rPr>
          <w:spacing w:val="-4"/>
        </w:rPr>
        <w:t> </w:t>
      </w:r>
      <w:r>
        <w:rPr/>
        <w:t>validation, while</w:t>
      </w:r>
      <w:r>
        <w:rPr>
          <w:spacing w:val="-3"/>
        </w:rPr>
        <w:t> </w:t>
      </w:r>
      <w:r>
        <w:rPr/>
        <w:t>an</w:t>
      </w:r>
      <w:r>
        <w:rPr>
          <w:spacing w:val="-3"/>
        </w:rPr>
        <w:t> </w:t>
      </w:r>
      <w:r>
        <w:rPr/>
        <w:t>EUA</w:t>
      </w:r>
      <w:r>
        <w:rPr>
          <w:spacing w:val="-4"/>
        </w:rPr>
        <w:t> </w:t>
      </w:r>
      <w:r>
        <w:rPr/>
        <w:t>is</w:t>
      </w:r>
      <w:r>
        <w:rPr>
          <w:spacing w:val="-3"/>
        </w:rPr>
        <w:t> </w:t>
      </w:r>
      <w:r>
        <w:rPr/>
        <w:t>being</w:t>
      </w:r>
      <w:r>
        <w:rPr>
          <w:spacing w:val="-3"/>
        </w:rPr>
        <w:t> </w:t>
      </w:r>
      <w:r>
        <w:rPr/>
        <w:t>prepared</w:t>
      </w:r>
      <w:r>
        <w:rPr>
          <w:spacing w:val="-3"/>
        </w:rPr>
        <w:t> </w:t>
      </w:r>
      <w:r>
        <w:rPr/>
        <w:t>for</w:t>
      </w:r>
      <w:r>
        <w:rPr>
          <w:spacing w:val="-3"/>
        </w:rPr>
        <w:t> </w:t>
      </w:r>
      <w:r>
        <w:rPr/>
        <w:t>submission</w:t>
      </w:r>
      <w:r>
        <w:rPr>
          <w:spacing w:val="-3"/>
        </w:rPr>
        <w:t> </w:t>
      </w:r>
      <w:r>
        <w:rPr/>
        <w:t>to</w:t>
      </w:r>
      <w:r>
        <w:rPr>
          <w:spacing w:val="-3"/>
        </w:rPr>
        <w:t> </w:t>
      </w:r>
      <w:r>
        <w:rPr/>
        <w:t>FDA.</w:t>
      </w:r>
      <w:r>
        <w:rPr>
          <w:spacing w:val="-3"/>
        </w:rPr>
        <w:t> </w:t>
      </w:r>
      <w:r>
        <w:rPr/>
        <w:t>This</w:t>
      </w:r>
      <w:r>
        <w:rPr>
          <w:spacing w:val="-2"/>
        </w:rPr>
        <w:t> </w:t>
      </w:r>
      <w:r>
        <w:rPr/>
        <w:t>policy</w:t>
      </w:r>
      <w:r>
        <w:rPr>
          <w:spacing w:val="-5"/>
        </w:rPr>
        <w:t> </w:t>
      </w:r>
      <w:r>
        <w:rPr/>
        <w:t>remains</w:t>
      </w:r>
      <w:r>
        <w:rPr>
          <w:spacing w:val="-3"/>
        </w:rPr>
        <w:t> </w:t>
      </w:r>
      <w:r>
        <w:rPr/>
        <w:t>unchanged</w:t>
      </w:r>
      <w:r>
        <w:rPr>
          <w:spacing w:val="-3"/>
        </w:rPr>
        <w:t> </w:t>
      </w:r>
      <w:r>
        <w:rPr/>
        <w:t>from</w:t>
      </w:r>
      <w:r>
        <w:rPr>
          <w:spacing w:val="-5"/>
        </w:rPr>
        <w:t> </w:t>
      </w:r>
      <w:r>
        <w:rPr/>
        <w:t>the second publication of this guidance on March 16, 2020, though some process updates and clarification have been made as discussed further below.</w:t>
      </w:r>
    </w:p>
    <w:p>
      <w:pPr>
        <w:pStyle w:val="BodyText"/>
        <w:spacing w:before="11"/>
        <w:rPr>
          <w:sz w:val="23"/>
        </w:rPr>
      </w:pPr>
    </w:p>
    <w:p>
      <w:pPr>
        <w:pStyle w:val="BodyText"/>
        <w:ind w:left="160" w:right="269"/>
      </w:pPr>
      <w:r>
        <w:rPr/>
        <w:t>This guidance also describes a policy regarding SARS-CoV-2 serological testing, which is modified from the policy included in the March 16, 2020 guidance as it pertains to commercial manufacturers but not laboratories. At the time of previous issuance, FDA provided flexibility</w:t>
      </w:r>
      <w:r>
        <w:rPr>
          <w:spacing w:val="40"/>
        </w:rPr>
        <w:t> </w:t>
      </w:r>
      <w:r>
        <w:rPr/>
        <w:t>for serology tests to be marketed with notification to FDA and certain labeling information, but without</w:t>
      </w:r>
      <w:r>
        <w:rPr>
          <w:spacing w:val="-3"/>
        </w:rPr>
        <w:t> </w:t>
      </w:r>
      <w:r>
        <w:rPr/>
        <w:t>submission</w:t>
      </w:r>
      <w:r>
        <w:rPr>
          <w:spacing w:val="-3"/>
        </w:rPr>
        <w:t> </w:t>
      </w:r>
      <w:r>
        <w:rPr/>
        <w:t>of</w:t>
      </w:r>
      <w:r>
        <w:rPr>
          <w:spacing w:val="-4"/>
        </w:rPr>
        <w:t> </w:t>
      </w:r>
      <w:r>
        <w:rPr/>
        <w:t>an</w:t>
      </w:r>
      <w:r>
        <w:rPr>
          <w:spacing w:val="-3"/>
        </w:rPr>
        <w:t> </w:t>
      </w:r>
      <w:r>
        <w:rPr/>
        <w:t>EUA.</w:t>
      </w:r>
      <w:r>
        <w:rPr>
          <w:spacing w:val="-3"/>
        </w:rPr>
        <w:t> </w:t>
      </w:r>
      <w:r>
        <w:rPr/>
        <w:t>FDA’s</w:t>
      </w:r>
      <w:r>
        <w:rPr>
          <w:spacing w:val="-3"/>
        </w:rPr>
        <w:t> </w:t>
      </w:r>
      <w:r>
        <w:rPr/>
        <w:t>policy</w:t>
      </w:r>
      <w:r>
        <w:rPr>
          <w:spacing w:val="-5"/>
        </w:rPr>
        <w:t> </w:t>
      </w:r>
      <w:r>
        <w:rPr/>
        <w:t>was</w:t>
      </w:r>
      <w:r>
        <w:rPr>
          <w:spacing w:val="-3"/>
        </w:rPr>
        <w:t> </w:t>
      </w:r>
      <w:r>
        <w:rPr/>
        <w:t>based</w:t>
      </w:r>
      <w:r>
        <w:rPr>
          <w:spacing w:val="-3"/>
        </w:rPr>
        <w:t> </w:t>
      </w:r>
      <w:r>
        <w:rPr/>
        <w:t>on</w:t>
      </w:r>
      <w:r>
        <w:rPr>
          <w:spacing w:val="-3"/>
        </w:rPr>
        <w:t> </w:t>
      </w:r>
      <w:r>
        <w:rPr/>
        <w:t>the</w:t>
      </w:r>
      <w:r>
        <w:rPr>
          <w:spacing w:val="-3"/>
        </w:rPr>
        <w:t> </w:t>
      </w:r>
      <w:r>
        <w:rPr/>
        <w:t>considerations</w:t>
      </w:r>
      <w:r>
        <w:rPr>
          <w:spacing w:val="-3"/>
        </w:rPr>
        <w:t> </w:t>
      </w:r>
      <w:r>
        <w:rPr/>
        <w:t>that</w:t>
      </w:r>
      <w:r>
        <w:rPr>
          <w:spacing w:val="-4"/>
        </w:rPr>
        <w:t> </w:t>
      </w:r>
      <w:r>
        <w:rPr/>
        <w:t>serology</w:t>
      </w:r>
      <w:r>
        <w:rPr>
          <w:spacing w:val="-5"/>
        </w:rPr>
        <w:t> </w:t>
      </w:r>
      <w:r>
        <w:rPr/>
        <w:t>tests are not meant to diagnose active SARS-CoV-2 infection and that early availability and use of these tests could help answer critical questions about the prevalence of COVID-19 infections in different communities,</w:t>
      </w:r>
      <w:r>
        <w:rPr>
          <w:spacing w:val="-2"/>
        </w:rPr>
        <w:t> </w:t>
      </w:r>
      <w:r>
        <w:rPr/>
        <w:t>whether the</w:t>
      </w:r>
      <w:r>
        <w:rPr>
          <w:spacing w:val="-1"/>
        </w:rPr>
        <w:t> </w:t>
      </w:r>
      <w:r>
        <w:rPr/>
        <w:t>presence of</w:t>
      </w:r>
      <w:r>
        <w:rPr>
          <w:spacing w:val="-1"/>
        </w:rPr>
        <w:t> </w:t>
      </w:r>
      <w:r>
        <w:rPr/>
        <w:t>antibodies conveys immunity, and,</w:t>
      </w:r>
      <w:r>
        <w:rPr>
          <w:spacing w:val="-2"/>
        </w:rPr>
        <w:t> </w:t>
      </w:r>
      <w:r>
        <w:rPr/>
        <w:t>if</w:t>
      </w:r>
      <w:r>
        <w:rPr>
          <w:spacing w:val="-1"/>
        </w:rPr>
        <w:t> </w:t>
      </w:r>
      <w:r>
        <w:rPr/>
        <w:t>so, for how long. That policy succeeded in encouraging development of serology tests.</w:t>
      </w:r>
    </w:p>
    <w:p>
      <w:pPr>
        <w:pStyle w:val="BodyText"/>
      </w:pPr>
    </w:p>
    <w:p>
      <w:pPr>
        <w:pStyle w:val="BodyText"/>
        <w:ind w:left="160" w:right="278"/>
      </w:pPr>
      <w:r>
        <w:rPr/>
        <w:t>Since that policy was issued, FDA has authorized several serology tests under individual EUAs and has issued an umbrella EUA providing a streamlined approach for EUA authorization of serology tests that are evaluated by the National Institutes of Health’s National Cancer Institute (NIH/NCI).</w:t>
      </w:r>
      <w:hyperlink w:history="true" w:anchor="_bookmark10">
        <w:r>
          <w:rPr>
            <w:vertAlign w:val="superscript"/>
          </w:rPr>
          <w:t>7</w:t>
        </w:r>
      </w:hyperlink>
      <w:r>
        <w:rPr>
          <w:vertAlign w:val="baseline"/>
        </w:rPr>
        <w:t> The umbrella EUA</w:t>
      </w:r>
      <w:r>
        <w:rPr>
          <w:spacing w:val="-1"/>
          <w:vertAlign w:val="baseline"/>
        </w:rPr>
        <w:t> </w:t>
      </w:r>
      <w:r>
        <w:rPr>
          <w:vertAlign w:val="baseline"/>
        </w:rPr>
        <w:t>for NIH-evaluated tests has</w:t>
      </w:r>
      <w:r>
        <w:rPr>
          <w:spacing w:val="-1"/>
          <w:vertAlign w:val="baseline"/>
        </w:rPr>
        <w:t> </w:t>
      </w:r>
      <w:r>
        <w:rPr>
          <w:vertAlign w:val="baseline"/>
        </w:rPr>
        <w:t>provided a streamlined pathway for EUA authorization of commercial serology tests. Also since that time, FDA has become aware that a concerning number of commercial serology tests are being promoted inappropriately, including</w:t>
      </w:r>
      <w:r>
        <w:rPr>
          <w:spacing w:val="-3"/>
          <w:vertAlign w:val="baseline"/>
        </w:rPr>
        <w:t> </w:t>
      </w:r>
      <w:r>
        <w:rPr>
          <w:vertAlign w:val="baseline"/>
        </w:rPr>
        <w:t>for</w:t>
      </w:r>
      <w:r>
        <w:rPr>
          <w:spacing w:val="-3"/>
          <w:vertAlign w:val="baseline"/>
        </w:rPr>
        <w:t> </w:t>
      </w:r>
      <w:r>
        <w:rPr>
          <w:vertAlign w:val="baseline"/>
        </w:rPr>
        <w:t>diagnostic</w:t>
      </w:r>
      <w:r>
        <w:rPr>
          <w:spacing w:val="-4"/>
          <w:vertAlign w:val="baseline"/>
        </w:rPr>
        <w:t> </w:t>
      </w:r>
      <w:r>
        <w:rPr>
          <w:vertAlign w:val="baseline"/>
        </w:rPr>
        <w:t>use,</w:t>
      </w:r>
      <w:r>
        <w:rPr>
          <w:spacing w:val="-3"/>
          <w:vertAlign w:val="baseline"/>
        </w:rPr>
        <w:t> </w:t>
      </w:r>
      <w:r>
        <w:rPr>
          <w:vertAlign w:val="baseline"/>
        </w:rPr>
        <w:t>or</w:t>
      </w:r>
      <w:r>
        <w:rPr>
          <w:spacing w:val="-3"/>
          <w:vertAlign w:val="baseline"/>
        </w:rPr>
        <w:t> </w:t>
      </w:r>
      <w:r>
        <w:rPr>
          <w:vertAlign w:val="baseline"/>
        </w:rPr>
        <w:t>are</w:t>
      </w:r>
      <w:r>
        <w:rPr>
          <w:spacing w:val="-3"/>
          <w:vertAlign w:val="baseline"/>
        </w:rPr>
        <w:t> </w:t>
      </w:r>
      <w:r>
        <w:rPr>
          <w:vertAlign w:val="baseline"/>
        </w:rPr>
        <w:t>performing</w:t>
      </w:r>
      <w:r>
        <w:rPr>
          <w:spacing w:val="-3"/>
          <w:vertAlign w:val="baseline"/>
        </w:rPr>
        <w:t> </w:t>
      </w:r>
      <w:r>
        <w:rPr>
          <w:vertAlign w:val="baseline"/>
        </w:rPr>
        <w:t>poorly</w:t>
      </w:r>
      <w:r>
        <w:rPr>
          <w:spacing w:val="-3"/>
          <w:vertAlign w:val="baseline"/>
        </w:rPr>
        <w:t> </w:t>
      </w:r>
      <w:r>
        <w:rPr>
          <w:vertAlign w:val="baseline"/>
        </w:rPr>
        <w:t>based</w:t>
      </w:r>
      <w:r>
        <w:rPr>
          <w:spacing w:val="-5"/>
          <w:vertAlign w:val="baseline"/>
        </w:rPr>
        <w:t> </w:t>
      </w:r>
      <w:r>
        <w:rPr>
          <w:vertAlign w:val="baseline"/>
        </w:rPr>
        <w:t>on</w:t>
      </w:r>
      <w:r>
        <w:rPr>
          <w:spacing w:val="-3"/>
          <w:vertAlign w:val="baseline"/>
        </w:rPr>
        <w:t> </w:t>
      </w:r>
      <w:r>
        <w:rPr>
          <w:vertAlign w:val="baseline"/>
        </w:rPr>
        <w:t>an</w:t>
      </w:r>
      <w:r>
        <w:rPr>
          <w:spacing w:val="-3"/>
          <w:vertAlign w:val="baseline"/>
        </w:rPr>
        <w:t> </w:t>
      </w:r>
      <w:r>
        <w:rPr>
          <w:vertAlign w:val="baseline"/>
        </w:rPr>
        <w:t>independent</w:t>
      </w:r>
      <w:r>
        <w:rPr>
          <w:spacing w:val="-3"/>
          <w:vertAlign w:val="baseline"/>
        </w:rPr>
        <w:t> </w:t>
      </w:r>
      <w:r>
        <w:rPr>
          <w:vertAlign w:val="baseline"/>
        </w:rPr>
        <w:t>evaluation</w:t>
      </w:r>
      <w:r>
        <w:rPr>
          <w:spacing w:val="-3"/>
          <w:vertAlign w:val="baseline"/>
        </w:rPr>
        <w:t> </w:t>
      </w:r>
      <w:r>
        <w:rPr>
          <w:vertAlign w:val="baseline"/>
        </w:rPr>
        <w:t>by</w:t>
      </w:r>
      <w:r>
        <w:rPr>
          <w:spacing w:val="-3"/>
          <w:vertAlign w:val="baseline"/>
        </w:rPr>
        <w:t> </w:t>
      </w:r>
      <w:r>
        <w:rPr>
          <w:vertAlign w:val="baseline"/>
        </w:rPr>
        <w:t>the NIH,</w:t>
      </w:r>
      <w:hyperlink w:history="true" w:anchor="_bookmark11">
        <w:r>
          <w:rPr>
            <w:vertAlign w:val="superscript"/>
          </w:rPr>
          <w:t>8</w:t>
        </w:r>
      </w:hyperlink>
      <w:r>
        <w:rPr>
          <w:vertAlign w:val="baseline"/>
        </w:rPr>
        <w:t> indicating that greater FDA oversight of commercial serology tests is important to protect the public health.</w:t>
      </w:r>
    </w:p>
    <w:p>
      <w:pPr>
        <w:pStyle w:val="BodyText"/>
        <w:spacing w:before="11"/>
        <w:rPr>
          <w:sz w:val="23"/>
        </w:rPr>
      </w:pPr>
    </w:p>
    <w:p>
      <w:pPr>
        <w:pStyle w:val="BodyText"/>
        <w:ind w:left="160" w:right="278"/>
      </w:pPr>
      <w:r>
        <w:rPr/>
        <w:t>Under</w:t>
      </w:r>
      <w:r>
        <w:rPr>
          <w:spacing w:val="-3"/>
        </w:rPr>
        <w:t> </w:t>
      </w:r>
      <w:r>
        <w:rPr/>
        <w:t>the</w:t>
      </w:r>
      <w:r>
        <w:rPr>
          <w:spacing w:val="-3"/>
        </w:rPr>
        <w:t> </w:t>
      </w:r>
      <w:r>
        <w:rPr/>
        <w:t>modified</w:t>
      </w:r>
      <w:r>
        <w:rPr>
          <w:spacing w:val="-3"/>
        </w:rPr>
        <w:t> </w:t>
      </w:r>
      <w:r>
        <w:rPr/>
        <w:t>policy,</w:t>
      </w:r>
      <w:r>
        <w:rPr>
          <w:spacing w:val="-3"/>
        </w:rPr>
        <w:t> </w:t>
      </w:r>
      <w:r>
        <w:rPr/>
        <w:t>FDA</w:t>
      </w:r>
      <w:r>
        <w:rPr>
          <w:spacing w:val="-4"/>
        </w:rPr>
        <w:t> </w:t>
      </w:r>
      <w:r>
        <w:rPr/>
        <w:t>does</w:t>
      </w:r>
      <w:r>
        <w:rPr>
          <w:spacing w:val="-2"/>
        </w:rPr>
        <w:t> </w:t>
      </w:r>
      <w:r>
        <w:rPr/>
        <w:t>not</w:t>
      </w:r>
      <w:r>
        <w:rPr>
          <w:spacing w:val="-3"/>
        </w:rPr>
        <w:t> </w:t>
      </w:r>
      <w:r>
        <w:rPr/>
        <w:t>intend</w:t>
      </w:r>
      <w:r>
        <w:rPr>
          <w:spacing w:val="-3"/>
        </w:rPr>
        <w:t> </w:t>
      </w:r>
      <w:r>
        <w:rPr/>
        <w:t>to</w:t>
      </w:r>
      <w:r>
        <w:rPr>
          <w:spacing w:val="-4"/>
        </w:rPr>
        <w:t> </w:t>
      </w:r>
      <w:r>
        <w:rPr/>
        <w:t>object</w:t>
      </w:r>
      <w:r>
        <w:rPr>
          <w:spacing w:val="-4"/>
        </w:rPr>
        <w:t> </w:t>
      </w:r>
      <w:r>
        <w:rPr/>
        <w:t>as</w:t>
      </w:r>
      <w:r>
        <w:rPr>
          <w:spacing w:val="-3"/>
        </w:rPr>
        <w:t> </w:t>
      </w:r>
      <w:r>
        <w:rPr/>
        <w:t>described</w:t>
      </w:r>
      <w:r>
        <w:rPr>
          <w:spacing w:val="-3"/>
        </w:rPr>
        <w:t> </w:t>
      </w:r>
      <w:r>
        <w:rPr/>
        <w:t>below</w:t>
      </w:r>
      <w:r>
        <w:rPr>
          <w:spacing w:val="-4"/>
        </w:rPr>
        <w:t> </w:t>
      </w:r>
      <w:r>
        <w:rPr/>
        <w:t>where</w:t>
      </w:r>
      <w:r>
        <w:rPr>
          <w:spacing w:val="-3"/>
        </w:rPr>
        <w:t> </w:t>
      </w:r>
      <w:r>
        <w:rPr/>
        <w:t>commercial manufacturers develop and distribute their serology tests after validation, for a limited period of time, while an EUA is being prepared for submission to FDA. Appendices with templates for such submissions have been added to facilitate and streamline the EUA process.</w:t>
      </w:r>
    </w:p>
    <w:p>
      <w:pPr>
        <w:pStyle w:val="BodyText"/>
      </w:pPr>
    </w:p>
    <w:p>
      <w:pPr>
        <w:pStyle w:val="BodyText"/>
        <w:ind w:left="160" w:right="278"/>
      </w:pPr>
      <w:r>
        <w:rPr/>
        <w:t>The policy for serological tests developed and used by </w:t>
      </w:r>
      <w:r>
        <w:rPr>
          <w:i/>
          <w:u w:val="single"/>
        </w:rPr>
        <w:t>laboratories</w:t>
      </w:r>
      <w:r>
        <w:rPr>
          <w:i/>
        </w:rPr>
        <w:t> </w:t>
      </w:r>
      <w:r>
        <w:rPr/>
        <w:t>that are certified under the Clinical</w:t>
      </w:r>
      <w:r>
        <w:rPr>
          <w:spacing w:val="-4"/>
        </w:rPr>
        <w:t> </w:t>
      </w:r>
      <w:r>
        <w:rPr/>
        <w:t>Laboratory</w:t>
      </w:r>
      <w:r>
        <w:rPr>
          <w:spacing w:val="-6"/>
        </w:rPr>
        <w:t> </w:t>
      </w:r>
      <w:r>
        <w:rPr/>
        <w:t>Improvement</w:t>
      </w:r>
      <w:r>
        <w:rPr>
          <w:spacing w:val="-4"/>
        </w:rPr>
        <w:t> </w:t>
      </w:r>
      <w:r>
        <w:rPr/>
        <w:t>Amendments</w:t>
      </w:r>
      <w:r>
        <w:rPr>
          <w:spacing w:val="-4"/>
        </w:rPr>
        <w:t> </w:t>
      </w:r>
      <w:r>
        <w:rPr/>
        <w:t>(CLIA)</w:t>
      </w:r>
      <w:r>
        <w:rPr>
          <w:spacing w:val="-4"/>
        </w:rPr>
        <w:t> </w:t>
      </w:r>
      <w:r>
        <w:rPr/>
        <w:t>to</w:t>
      </w:r>
      <w:r>
        <w:rPr>
          <w:spacing w:val="-4"/>
        </w:rPr>
        <w:t> </w:t>
      </w:r>
      <w:r>
        <w:rPr/>
        <w:t>perform</w:t>
      </w:r>
      <w:r>
        <w:rPr>
          <w:spacing w:val="-6"/>
        </w:rPr>
        <w:t> </w:t>
      </w:r>
      <w:r>
        <w:rPr/>
        <w:t>high-complexity</w:t>
      </w:r>
      <w:r>
        <w:rPr>
          <w:spacing w:val="-4"/>
        </w:rPr>
        <w:t> </w:t>
      </w:r>
      <w:r>
        <w:rPr/>
        <w:t>testing</w:t>
      </w:r>
      <w:r>
        <w:rPr>
          <w:spacing w:val="-4"/>
        </w:rPr>
        <w:t> </w:t>
      </w:r>
      <w:r>
        <w:rPr/>
        <w:t>has not changed from the March 16, 2020 guidance, though FDA continues to encourage such laboratories to submit EUAs for their laboratory developed tests.</w:t>
      </w:r>
    </w:p>
    <w:p>
      <w:pPr>
        <w:pStyle w:val="BodyText"/>
      </w:pPr>
    </w:p>
    <w:p>
      <w:pPr>
        <w:pStyle w:val="BodyText"/>
        <w:ind w:left="160" w:right="250"/>
      </w:pPr>
      <w:r>
        <w:rPr/>
        <w:t>In</w:t>
      </w:r>
      <w:r>
        <w:rPr>
          <w:spacing w:val="-3"/>
        </w:rPr>
        <w:t> </w:t>
      </w:r>
      <w:r>
        <w:rPr/>
        <w:t>the</w:t>
      </w:r>
      <w:r>
        <w:rPr>
          <w:spacing w:val="-3"/>
        </w:rPr>
        <w:t> </w:t>
      </w:r>
      <w:r>
        <w:rPr/>
        <w:t>context</w:t>
      </w:r>
      <w:r>
        <w:rPr>
          <w:spacing w:val="-3"/>
        </w:rPr>
        <w:t> </w:t>
      </w:r>
      <w:r>
        <w:rPr/>
        <w:t>of</w:t>
      </w:r>
      <w:r>
        <w:rPr>
          <w:spacing w:val="-4"/>
        </w:rPr>
        <w:t> </w:t>
      </w:r>
      <w:r>
        <w:rPr/>
        <w:t>a</w:t>
      </w:r>
      <w:r>
        <w:rPr>
          <w:spacing w:val="-3"/>
        </w:rPr>
        <w:t> </w:t>
      </w:r>
      <w:r>
        <w:rPr/>
        <w:t>public</w:t>
      </w:r>
      <w:r>
        <w:rPr>
          <w:spacing w:val="-3"/>
        </w:rPr>
        <w:t> </w:t>
      </w:r>
      <w:r>
        <w:rPr/>
        <w:t>health</w:t>
      </w:r>
      <w:r>
        <w:rPr>
          <w:spacing w:val="-3"/>
        </w:rPr>
        <w:t> </w:t>
      </w:r>
      <w:r>
        <w:rPr/>
        <w:t>emergency</w:t>
      </w:r>
      <w:r>
        <w:rPr>
          <w:spacing w:val="-3"/>
        </w:rPr>
        <w:t> </w:t>
      </w:r>
      <w:r>
        <w:rPr/>
        <w:t>involving</w:t>
      </w:r>
      <w:r>
        <w:rPr>
          <w:spacing w:val="-3"/>
        </w:rPr>
        <w:t> </w:t>
      </w:r>
      <w:r>
        <w:rPr/>
        <w:t>pandemic</w:t>
      </w:r>
      <w:r>
        <w:rPr>
          <w:spacing w:val="-3"/>
        </w:rPr>
        <w:t> </w:t>
      </w:r>
      <w:r>
        <w:rPr/>
        <w:t>infectious</w:t>
      </w:r>
      <w:r>
        <w:rPr>
          <w:spacing w:val="-3"/>
        </w:rPr>
        <w:t> </w:t>
      </w:r>
      <w:r>
        <w:rPr/>
        <w:t>disease,</w:t>
      </w:r>
      <w:r>
        <w:rPr>
          <w:spacing w:val="-3"/>
        </w:rPr>
        <w:t> </w:t>
      </w:r>
      <w:r>
        <w:rPr/>
        <w:t>it</w:t>
      </w:r>
      <w:r>
        <w:rPr>
          <w:spacing w:val="-4"/>
        </w:rPr>
        <w:t> </w:t>
      </w:r>
      <w:r>
        <w:rPr/>
        <w:t>is</w:t>
      </w:r>
      <w:r>
        <w:rPr>
          <w:spacing w:val="-3"/>
        </w:rPr>
        <w:t> </w:t>
      </w:r>
      <w:r>
        <w:rPr/>
        <w:t>critically important that tests are validated because false results not only can negatively impact the</w:t>
      </w:r>
    </w:p>
    <w:p>
      <w:pPr>
        <w:pStyle w:val="BodyText"/>
        <w:rPr>
          <w:sz w:val="23"/>
        </w:rPr>
      </w:pPr>
      <w:r>
        <w:rPr/>
        <mc:AlternateContent>
          <mc:Choice Requires="wps">
            <w:drawing>
              <wp:anchor distT="0" distB="0" distL="0" distR="0" allowOverlap="1" layoutInCell="1" locked="0" behindDoc="1" simplePos="0" relativeHeight="487590400">
                <wp:simplePos x="0" y="0"/>
                <wp:positionH relativeFrom="page">
                  <wp:posOffset>914400</wp:posOffset>
                </wp:positionH>
                <wp:positionV relativeFrom="paragraph">
                  <wp:posOffset>183753</wp:posOffset>
                </wp:positionV>
                <wp:extent cx="1828800" cy="7620"/>
                <wp:effectExtent l="0" t="0" r="0" b="0"/>
                <wp:wrapTopAndBottom/>
                <wp:docPr id="10" name="Graphic 10"/>
                <wp:cNvGraphicFramePr>
                  <a:graphicFrameLocks/>
                </wp:cNvGraphicFramePr>
                <a:graphic>
                  <a:graphicData uri="http://schemas.microsoft.com/office/word/2010/wordprocessingShape">
                    <wps:wsp>
                      <wps:cNvPr id="10" name="Graphic 10"/>
                      <wps:cNvSpPr/>
                      <wps:spPr>
                        <a:xfrm>
                          <a:off x="0" y="0"/>
                          <a:ext cx="1828800" cy="7620"/>
                        </a:xfrm>
                        <a:custGeom>
                          <a:avLst/>
                          <a:gdLst/>
                          <a:ahLst/>
                          <a:cxnLst/>
                          <a:rect l="l" t="t" r="r" b="b"/>
                          <a:pathLst>
                            <a:path w="1828800" h="7620">
                              <a:moveTo>
                                <a:pt x="1828800" y="0"/>
                              </a:moveTo>
                              <a:lnTo>
                                <a:pt x="0" y="0"/>
                              </a:lnTo>
                              <a:lnTo>
                                <a:pt x="0" y="7607"/>
                              </a:lnTo>
                              <a:lnTo>
                                <a:pt x="1828800" y="7607"/>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14.468793pt;width:144pt;height:.599pt;mso-position-horizontal-relative:page;mso-position-vertical-relative:paragraph;z-index:-15726080;mso-wrap-distance-left:0;mso-wrap-distance-right:0" id="docshape10" filled="true" fillcolor="#000000" stroked="false">
                <v:fill type="solid"/>
                <w10:wrap type="topAndBottom"/>
              </v:rect>
            </w:pict>
          </mc:Fallback>
        </mc:AlternateContent>
      </w:r>
    </w:p>
    <w:p>
      <w:pPr>
        <w:spacing w:line="230" w:lineRule="exact" w:before="102"/>
        <w:ind w:left="160" w:right="0" w:firstLine="0"/>
        <w:jc w:val="left"/>
        <w:rPr>
          <w:sz w:val="20"/>
        </w:rPr>
      </w:pPr>
      <w:bookmarkStart w:name="_bookmark10" w:id="15"/>
      <w:bookmarkEnd w:id="15"/>
      <w:r>
        <w:rPr/>
      </w:r>
      <w:r>
        <w:rPr>
          <w:sz w:val="20"/>
          <w:vertAlign w:val="superscript"/>
        </w:rPr>
        <w:t>7</w:t>
      </w:r>
      <w:r>
        <w:rPr>
          <w:spacing w:val="-1"/>
          <w:sz w:val="20"/>
          <w:vertAlign w:val="baseline"/>
        </w:rPr>
        <w:t> </w:t>
      </w:r>
      <w:bookmarkStart w:name="_bookmark11" w:id="16"/>
      <w:bookmarkEnd w:id="16"/>
      <w:r>
        <w:rPr>
          <w:sz w:val="20"/>
          <w:vertAlign w:val="baseline"/>
        </w:rPr>
      </w:r>
      <w:hyperlink r:id="rId17">
        <w:r>
          <w:rPr>
            <w:color w:val="0000FF"/>
            <w:spacing w:val="-2"/>
            <w:sz w:val="20"/>
            <w:u w:val="single" w:color="0000FF"/>
            <w:vertAlign w:val="baseline"/>
          </w:rPr>
          <w:t>https://www.fda.gov/media/137470/download</w:t>
        </w:r>
      </w:hyperlink>
    </w:p>
    <w:p>
      <w:pPr>
        <w:spacing w:before="0"/>
        <w:ind w:left="159" w:right="256" w:firstLine="0"/>
        <w:jc w:val="left"/>
        <w:rPr>
          <w:sz w:val="20"/>
        </w:rPr>
      </w:pPr>
      <w:r>
        <w:rPr>
          <w:sz w:val="20"/>
          <w:vertAlign w:val="superscript"/>
        </w:rPr>
        <w:t>8</w:t>
      </w:r>
      <w:r>
        <w:rPr>
          <w:sz w:val="20"/>
          <w:vertAlign w:val="baseline"/>
        </w:rPr>
        <w:t> The FDA is working with the NIH, the Centers for Disease Control and Prevention (CDC), and the Biomedical Advanced Research and Development Authority (BARDA) to assess the performance of serology tests offered</w:t>
      </w:r>
      <w:r>
        <w:rPr>
          <w:spacing w:val="40"/>
          <w:sz w:val="20"/>
          <w:vertAlign w:val="baseline"/>
        </w:rPr>
        <w:t> </w:t>
      </w:r>
      <w:r>
        <w:rPr>
          <w:sz w:val="20"/>
          <w:vertAlign w:val="baseline"/>
        </w:rPr>
        <w:t>under the policy outlined in the March 16th guidance. As part of this project, the FDA, working with partnering agencies, has designed a performance assessment protocol that offers a mechanism for evaluation of lateral flow SARS-CoV-2 serological tests rapidly in a laboratory environment. Under this protocol, each test submitted to NIH will</w:t>
      </w:r>
      <w:r>
        <w:rPr>
          <w:spacing w:val="-1"/>
          <w:sz w:val="20"/>
          <w:vertAlign w:val="baseline"/>
        </w:rPr>
        <w:t> </w:t>
      </w:r>
      <w:r>
        <w:rPr>
          <w:sz w:val="20"/>
          <w:vertAlign w:val="baseline"/>
        </w:rPr>
        <w:t>be evaluated</w:t>
      </w:r>
      <w:r>
        <w:rPr>
          <w:spacing w:val="-1"/>
          <w:sz w:val="20"/>
          <w:vertAlign w:val="baseline"/>
        </w:rPr>
        <w:t> </w:t>
      </w:r>
      <w:r>
        <w:rPr>
          <w:sz w:val="20"/>
          <w:vertAlign w:val="baseline"/>
        </w:rPr>
        <w:t>with</w:t>
      </w:r>
      <w:r>
        <w:rPr>
          <w:spacing w:val="-1"/>
          <w:sz w:val="20"/>
          <w:vertAlign w:val="baseline"/>
        </w:rPr>
        <w:t> </w:t>
      </w:r>
      <w:r>
        <w:rPr>
          <w:sz w:val="20"/>
          <w:vertAlign w:val="baseline"/>
        </w:rPr>
        <w:t>positive and</w:t>
      </w:r>
      <w:r>
        <w:rPr>
          <w:spacing w:val="-1"/>
          <w:sz w:val="20"/>
          <w:vertAlign w:val="baseline"/>
        </w:rPr>
        <w:t> </w:t>
      </w:r>
      <w:r>
        <w:rPr>
          <w:sz w:val="20"/>
          <w:vertAlign w:val="baseline"/>
        </w:rPr>
        <w:t>negative</w:t>
      </w:r>
      <w:r>
        <w:rPr>
          <w:spacing w:val="-1"/>
          <w:sz w:val="20"/>
          <w:vertAlign w:val="baseline"/>
        </w:rPr>
        <w:t> </w:t>
      </w:r>
      <w:r>
        <w:rPr>
          <w:sz w:val="20"/>
          <w:vertAlign w:val="baseline"/>
        </w:rPr>
        <w:t>plasma and serum</w:t>
      </w:r>
      <w:r>
        <w:rPr>
          <w:spacing w:val="-2"/>
          <w:sz w:val="20"/>
          <w:vertAlign w:val="baseline"/>
        </w:rPr>
        <w:t> </w:t>
      </w:r>
      <w:r>
        <w:rPr>
          <w:sz w:val="20"/>
          <w:vertAlign w:val="baseline"/>
        </w:rPr>
        <w:t>samples. The approach</w:t>
      </w:r>
      <w:r>
        <w:rPr>
          <w:spacing w:val="-1"/>
          <w:sz w:val="20"/>
          <w:vertAlign w:val="baseline"/>
        </w:rPr>
        <w:t> </w:t>
      </w:r>
      <w:r>
        <w:rPr>
          <w:sz w:val="20"/>
          <w:vertAlign w:val="baseline"/>
        </w:rPr>
        <w:t>represents a</w:t>
      </w:r>
      <w:r>
        <w:rPr>
          <w:spacing w:val="-1"/>
          <w:sz w:val="20"/>
          <w:vertAlign w:val="baseline"/>
        </w:rPr>
        <w:t> </w:t>
      </w:r>
      <w:r>
        <w:rPr>
          <w:sz w:val="20"/>
          <w:vertAlign w:val="baseline"/>
        </w:rPr>
        <w:t>balanced</w:t>
      </w:r>
      <w:r>
        <w:rPr>
          <w:spacing w:val="-1"/>
          <w:sz w:val="20"/>
          <w:vertAlign w:val="baseline"/>
        </w:rPr>
        <w:t> </w:t>
      </w:r>
      <w:r>
        <w:rPr>
          <w:sz w:val="20"/>
          <w:vertAlign w:val="baseline"/>
        </w:rPr>
        <w:t>attempt to</w:t>
      </w:r>
      <w:r>
        <w:rPr>
          <w:spacing w:val="-1"/>
          <w:sz w:val="20"/>
          <w:vertAlign w:val="baseline"/>
        </w:rPr>
        <w:t> </w:t>
      </w:r>
      <w:r>
        <w:rPr>
          <w:sz w:val="20"/>
          <w:vertAlign w:val="baseline"/>
        </w:rPr>
        <w:t>provide</w:t>
      </w:r>
      <w:r>
        <w:rPr>
          <w:spacing w:val="-2"/>
          <w:sz w:val="20"/>
          <w:vertAlign w:val="baseline"/>
        </w:rPr>
        <w:t> </w:t>
      </w:r>
      <w:r>
        <w:rPr>
          <w:sz w:val="20"/>
          <w:vertAlign w:val="baseline"/>
        </w:rPr>
        <w:t>a</w:t>
      </w:r>
      <w:r>
        <w:rPr>
          <w:spacing w:val="-3"/>
          <w:sz w:val="20"/>
          <w:vertAlign w:val="baseline"/>
        </w:rPr>
        <w:t> </w:t>
      </w:r>
      <w:r>
        <w:rPr>
          <w:sz w:val="20"/>
          <w:vertAlign w:val="baseline"/>
        </w:rPr>
        <w:t>reasonable</w:t>
      </w:r>
      <w:r>
        <w:rPr>
          <w:spacing w:val="-3"/>
          <w:sz w:val="20"/>
          <w:vertAlign w:val="baseline"/>
        </w:rPr>
        <w:t> </w:t>
      </w:r>
      <w:r>
        <w:rPr>
          <w:sz w:val="20"/>
          <w:vertAlign w:val="baseline"/>
        </w:rPr>
        <w:t>understanding</w:t>
      </w:r>
      <w:r>
        <w:rPr>
          <w:spacing w:val="-3"/>
          <w:sz w:val="20"/>
          <w:vertAlign w:val="baseline"/>
        </w:rPr>
        <w:t> </w:t>
      </w:r>
      <w:r>
        <w:rPr>
          <w:sz w:val="20"/>
          <w:vertAlign w:val="baseline"/>
        </w:rPr>
        <w:t>of</w:t>
      </w:r>
      <w:r>
        <w:rPr>
          <w:spacing w:val="-2"/>
          <w:sz w:val="20"/>
          <w:vertAlign w:val="baseline"/>
        </w:rPr>
        <w:t> </w:t>
      </w:r>
      <w:r>
        <w:rPr>
          <w:sz w:val="20"/>
          <w:vertAlign w:val="baseline"/>
        </w:rPr>
        <w:t>the</w:t>
      </w:r>
      <w:r>
        <w:rPr>
          <w:spacing w:val="-3"/>
          <w:sz w:val="20"/>
          <w:vertAlign w:val="baseline"/>
        </w:rPr>
        <w:t> </w:t>
      </w:r>
      <w:r>
        <w:rPr>
          <w:sz w:val="20"/>
          <w:vertAlign w:val="baseline"/>
        </w:rPr>
        <w:t>potential</w:t>
      </w:r>
      <w:r>
        <w:rPr>
          <w:spacing w:val="-3"/>
          <w:sz w:val="20"/>
          <w:vertAlign w:val="baseline"/>
        </w:rPr>
        <w:t> </w:t>
      </w:r>
      <w:r>
        <w:rPr>
          <w:sz w:val="20"/>
          <w:vertAlign w:val="baseline"/>
        </w:rPr>
        <w:t>performance</w:t>
      </w:r>
      <w:r>
        <w:rPr>
          <w:spacing w:val="-2"/>
          <w:sz w:val="20"/>
          <w:vertAlign w:val="baseline"/>
        </w:rPr>
        <w:t> </w:t>
      </w:r>
      <w:r>
        <w:rPr>
          <w:sz w:val="20"/>
          <w:vertAlign w:val="baseline"/>
        </w:rPr>
        <w:t>of</w:t>
      </w:r>
      <w:r>
        <w:rPr>
          <w:spacing w:val="-2"/>
          <w:sz w:val="20"/>
          <w:vertAlign w:val="baseline"/>
        </w:rPr>
        <w:t> </w:t>
      </w:r>
      <w:r>
        <w:rPr>
          <w:sz w:val="20"/>
          <w:vertAlign w:val="baseline"/>
        </w:rPr>
        <w:t>a</w:t>
      </w:r>
      <w:r>
        <w:rPr>
          <w:spacing w:val="-3"/>
          <w:sz w:val="20"/>
          <w:vertAlign w:val="baseline"/>
        </w:rPr>
        <w:t> </w:t>
      </w:r>
      <w:r>
        <w:rPr>
          <w:sz w:val="20"/>
          <w:vertAlign w:val="baseline"/>
        </w:rPr>
        <w:t>significant</w:t>
      </w:r>
      <w:r>
        <w:rPr>
          <w:spacing w:val="-4"/>
          <w:sz w:val="20"/>
          <w:vertAlign w:val="baseline"/>
        </w:rPr>
        <w:t> </w:t>
      </w:r>
      <w:r>
        <w:rPr>
          <w:sz w:val="20"/>
          <w:vertAlign w:val="baseline"/>
        </w:rPr>
        <w:t>number</w:t>
      </w:r>
      <w:r>
        <w:rPr>
          <w:spacing w:val="-3"/>
          <w:sz w:val="20"/>
          <w:vertAlign w:val="baseline"/>
        </w:rPr>
        <w:t> </w:t>
      </w:r>
      <w:r>
        <w:rPr>
          <w:sz w:val="20"/>
          <w:vertAlign w:val="baseline"/>
        </w:rPr>
        <w:t>of</w:t>
      </w:r>
      <w:r>
        <w:rPr>
          <w:spacing w:val="-2"/>
          <w:sz w:val="20"/>
          <w:vertAlign w:val="baseline"/>
        </w:rPr>
        <w:t> </w:t>
      </w:r>
      <w:r>
        <w:rPr>
          <w:sz w:val="20"/>
          <w:vertAlign w:val="baseline"/>
        </w:rPr>
        <w:t>the</w:t>
      </w:r>
      <w:r>
        <w:rPr>
          <w:spacing w:val="-2"/>
          <w:sz w:val="20"/>
          <w:vertAlign w:val="baseline"/>
        </w:rPr>
        <w:t> </w:t>
      </w:r>
      <w:r>
        <w:rPr>
          <w:sz w:val="20"/>
          <w:vertAlign w:val="baseline"/>
        </w:rPr>
        <w:t>tests</w:t>
      </w:r>
      <w:r>
        <w:rPr>
          <w:spacing w:val="-3"/>
          <w:sz w:val="20"/>
          <w:vertAlign w:val="baseline"/>
        </w:rPr>
        <w:t> </w:t>
      </w:r>
      <w:r>
        <w:rPr>
          <w:sz w:val="20"/>
          <w:vertAlign w:val="baseline"/>
        </w:rPr>
        <w:t>within</w:t>
      </w:r>
      <w:r>
        <w:rPr>
          <w:spacing w:val="-1"/>
          <w:sz w:val="20"/>
          <w:vertAlign w:val="baseline"/>
        </w:rPr>
        <w:t> </w:t>
      </w:r>
      <w:r>
        <w:rPr>
          <w:sz w:val="20"/>
          <w:vertAlign w:val="baseline"/>
        </w:rPr>
        <w:t>a</w:t>
      </w:r>
      <w:r>
        <w:rPr>
          <w:spacing w:val="-2"/>
          <w:sz w:val="20"/>
          <w:vertAlign w:val="baseline"/>
        </w:rPr>
        <w:t> </w:t>
      </w:r>
      <w:r>
        <w:rPr>
          <w:sz w:val="20"/>
          <w:vertAlign w:val="baseline"/>
        </w:rPr>
        <w:t>short time period. Performance results can be included by the test developer in an EUA submission.</w:t>
      </w:r>
    </w:p>
    <w:p>
      <w:pPr>
        <w:spacing w:after="0"/>
        <w:jc w:val="left"/>
        <w:rPr>
          <w:sz w:val="20"/>
        </w:rPr>
        <w:sectPr>
          <w:pgSz w:w="12240" w:h="15840"/>
          <w:pgMar w:header="731" w:footer="785" w:top="1360" w:bottom="980" w:left="1280" w:right="1200"/>
        </w:sectPr>
      </w:pPr>
    </w:p>
    <w:p>
      <w:pPr>
        <w:pStyle w:val="BodyText"/>
        <w:spacing w:before="80"/>
        <w:ind w:left="159" w:right="241"/>
      </w:pPr>
      <w:r>
        <w:rPr/>
        <w:t>individual patient but also can have broad public health impact. In this guidance, FDA provides recommendations regarding validation of COVID-19 tests based on the available information. FDA</w:t>
      </w:r>
      <w:r>
        <w:rPr>
          <w:spacing w:val="-4"/>
        </w:rPr>
        <w:t> </w:t>
      </w:r>
      <w:r>
        <w:rPr/>
        <w:t>encourages</w:t>
      </w:r>
      <w:r>
        <w:rPr>
          <w:spacing w:val="-3"/>
        </w:rPr>
        <w:t> </w:t>
      </w:r>
      <w:r>
        <w:rPr/>
        <w:t>test</w:t>
      </w:r>
      <w:r>
        <w:rPr>
          <w:spacing w:val="-3"/>
        </w:rPr>
        <w:t> </w:t>
      </w:r>
      <w:r>
        <w:rPr/>
        <w:t>developers</w:t>
      </w:r>
      <w:r>
        <w:rPr>
          <w:spacing w:val="-4"/>
        </w:rPr>
        <w:t> </w:t>
      </w:r>
      <w:r>
        <w:rPr/>
        <w:t>to</w:t>
      </w:r>
      <w:r>
        <w:rPr>
          <w:spacing w:val="-3"/>
        </w:rPr>
        <w:t> </w:t>
      </w:r>
      <w:r>
        <w:rPr/>
        <w:t>discuss</w:t>
      </w:r>
      <w:r>
        <w:rPr>
          <w:spacing w:val="-3"/>
        </w:rPr>
        <w:t> </w:t>
      </w:r>
      <w:r>
        <w:rPr/>
        <w:t>any</w:t>
      </w:r>
      <w:r>
        <w:rPr>
          <w:spacing w:val="-3"/>
        </w:rPr>
        <w:t> </w:t>
      </w:r>
      <w:r>
        <w:rPr/>
        <w:t>alternative</w:t>
      </w:r>
      <w:r>
        <w:rPr>
          <w:spacing w:val="-3"/>
        </w:rPr>
        <w:t> </w:t>
      </w:r>
      <w:r>
        <w:rPr/>
        <w:t>technological</w:t>
      </w:r>
      <w:r>
        <w:rPr>
          <w:spacing w:val="-3"/>
        </w:rPr>
        <w:t> </w:t>
      </w:r>
      <w:r>
        <w:rPr/>
        <w:t>approaches</w:t>
      </w:r>
      <w:r>
        <w:rPr>
          <w:spacing w:val="-4"/>
        </w:rPr>
        <w:t> </w:t>
      </w:r>
      <w:r>
        <w:rPr/>
        <w:t>to</w:t>
      </w:r>
      <w:r>
        <w:rPr>
          <w:spacing w:val="-5"/>
        </w:rPr>
        <w:t> </w:t>
      </w:r>
      <w:r>
        <w:rPr/>
        <w:t>validating their test with FDA.</w:t>
      </w:r>
    </w:p>
    <w:p>
      <w:pPr>
        <w:pStyle w:val="BodyText"/>
        <w:spacing w:before="4"/>
        <w:rPr>
          <w:sz w:val="34"/>
        </w:rPr>
      </w:pPr>
    </w:p>
    <w:p>
      <w:pPr>
        <w:pStyle w:val="Heading2"/>
        <w:numPr>
          <w:ilvl w:val="1"/>
          <w:numId w:val="6"/>
        </w:numPr>
        <w:tabs>
          <w:tab w:pos="1599" w:val="left" w:leader="none"/>
        </w:tabs>
        <w:spacing w:line="240" w:lineRule="auto" w:before="0" w:after="0"/>
        <w:ind w:left="879" w:right="271" w:firstLine="0"/>
        <w:jc w:val="left"/>
      </w:pPr>
      <w:bookmarkStart w:name="A. Laboratories Certified under CLIA tha" w:id="17"/>
      <w:bookmarkEnd w:id="17"/>
      <w:r>
        <w:rPr>
          <w:b w:val="0"/>
        </w:rPr>
      </w:r>
      <w:bookmarkStart w:name="_bookmark12" w:id="18"/>
      <w:bookmarkEnd w:id="18"/>
      <w:r>
        <w:rPr>
          <w:b w:val="0"/>
        </w:rPr>
      </w:r>
      <w:r>
        <w:rPr/>
        <w:t>Laboratories Certified under CLIA</w:t>
      </w:r>
      <w:r>
        <w:rPr>
          <w:spacing w:val="-1"/>
        </w:rPr>
        <w:t> </w:t>
      </w:r>
      <w:r>
        <w:rPr/>
        <w:t>that Meet the CLIA Regulatory</w:t>
      </w:r>
      <w:r>
        <w:rPr>
          <w:spacing w:val="-15"/>
        </w:rPr>
        <w:t> </w:t>
      </w:r>
      <w:r>
        <w:rPr/>
        <w:t>Requirements</w:t>
      </w:r>
      <w:r>
        <w:rPr>
          <w:spacing w:val="-16"/>
        </w:rPr>
        <w:t> </w:t>
      </w:r>
      <w:r>
        <w:rPr/>
        <w:t>to</w:t>
      </w:r>
      <w:r>
        <w:rPr>
          <w:spacing w:val="-14"/>
        </w:rPr>
        <w:t> </w:t>
      </w:r>
      <w:r>
        <w:rPr/>
        <w:t>Perform</w:t>
      </w:r>
      <w:r>
        <w:rPr>
          <w:spacing w:val="-15"/>
        </w:rPr>
        <w:t> </w:t>
      </w:r>
      <w:r>
        <w:rPr/>
        <w:t>High-Complexity</w:t>
      </w:r>
      <w:r>
        <w:rPr>
          <w:spacing w:val="-20"/>
        </w:rPr>
        <w:t> </w:t>
      </w:r>
      <w:r>
        <w:rPr/>
        <w:t>Testing Using Their</w:t>
      </w:r>
      <w:r>
        <w:rPr>
          <w:spacing w:val="-1"/>
        </w:rPr>
        <w:t> </w:t>
      </w:r>
      <w:r>
        <w:rPr/>
        <w:t>Validated Diagnostic Tests Prior to EUA </w:t>
      </w:r>
      <w:r>
        <w:rPr>
          <w:spacing w:val="-2"/>
        </w:rPr>
        <w:t>Submission</w:t>
      </w:r>
    </w:p>
    <w:p>
      <w:pPr>
        <w:pStyle w:val="BodyText"/>
        <w:spacing w:before="120"/>
        <w:ind w:left="159" w:right="303"/>
      </w:pPr>
      <w:r>
        <w:rPr/>
        <w:t>The</w:t>
      </w:r>
      <w:r>
        <w:rPr>
          <w:spacing w:val="-3"/>
        </w:rPr>
        <w:t> </w:t>
      </w:r>
      <w:r>
        <w:rPr/>
        <w:t>policy</w:t>
      </w:r>
      <w:r>
        <w:rPr>
          <w:spacing w:val="-3"/>
        </w:rPr>
        <w:t> </w:t>
      </w:r>
      <w:r>
        <w:rPr/>
        <w:t>described</w:t>
      </w:r>
      <w:r>
        <w:rPr>
          <w:spacing w:val="-3"/>
        </w:rPr>
        <w:t> </w:t>
      </w:r>
      <w:r>
        <w:rPr/>
        <w:t>in</w:t>
      </w:r>
      <w:r>
        <w:rPr>
          <w:spacing w:val="-5"/>
        </w:rPr>
        <w:t> </w:t>
      </w:r>
      <w:r>
        <w:rPr/>
        <w:t>this</w:t>
      </w:r>
      <w:r>
        <w:rPr>
          <w:spacing w:val="-3"/>
        </w:rPr>
        <w:t> </w:t>
      </w:r>
      <w:r>
        <w:rPr/>
        <w:t>subsection</w:t>
      </w:r>
      <w:r>
        <w:rPr>
          <w:spacing w:val="-4"/>
        </w:rPr>
        <w:t> </w:t>
      </w:r>
      <w:r>
        <w:rPr/>
        <w:t>applies</w:t>
      </w:r>
      <w:r>
        <w:rPr>
          <w:spacing w:val="-3"/>
        </w:rPr>
        <w:t> </w:t>
      </w:r>
      <w:r>
        <w:rPr/>
        <w:t>to</w:t>
      </w:r>
      <w:r>
        <w:rPr>
          <w:spacing w:val="-5"/>
        </w:rPr>
        <w:t> </w:t>
      </w:r>
      <w:r>
        <w:rPr/>
        <w:t>laboratories</w:t>
      </w:r>
      <w:r>
        <w:rPr>
          <w:spacing w:val="-4"/>
        </w:rPr>
        <w:t> </w:t>
      </w:r>
      <w:r>
        <w:rPr/>
        <w:t>certified</w:t>
      </w:r>
      <w:r>
        <w:rPr>
          <w:spacing w:val="-3"/>
        </w:rPr>
        <w:t> </w:t>
      </w:r>
      <w:r>
        <w:rPr/>
        <w:t>under</w:t>
      </w:r>
      <w:r>
        <w:rPr>
          <w:spacing w:val="-3"/>
        </w:rPr>
        <w:t> </w:t>
      </w:r>
      <w:r>
        <w:rPr/>
        <w:t>CLIA</w:t>
      </w:r>
      <w:r>
        <w:rPr>
          <w:spacing w:val="-4"/>
        </w:rPr>
        <w:t> </w:t>
      </w:r>
      <w:r>
        <w:rPr/>
        <w:t>that</w:t>
      </w:r>
      <w:r>
        <w:rPr>
          <w:spacing w:val="-3"/>
        </w:rPr>
        <w:t> </w:t>
      </w:r>
      <w:r>
        <w:rPr/>
        <w:t>meet</w:t>
      </w:r>
      <w:r>
        <w:rPr>
          <w:spacing w:val="-3"/>
        </w:rPr>
        <w:t> </w:t>
      </w:r>
      <w:r>
        <w:rPr/>
        <w:t>the CLIA regulatory requirements to perform high-complexity testing and that seek to develop and perform diagnostic tests to detect the SARS-CoV-2 virus and pursue an EUA from FDA for those tests.</w:t>
      </w:r>
      <w:r>
        <w:rPr>
          <w:spacing w:val="-1"/>
        </w:rPr>
        <w:t> </w:t>
      </w:r>
      <w:r>
        <w:rPr/>
        <w:t>This policy</w:t>
      </w:r>
      <w:r>
        <w:rPr>
          <w:spacing w:val="-1"/>
        </w:rPr>
        <w:t> </w:t>
      </w:r>
      <w:r>
        <w:rPr/>
        <w:t>does not apply to home collection of</w:t>
      </w:r>
      <w:r>
        <w:rPr>
          <w:spacing w:val="-1"/>
        </w:rPr>
        <w:t> </w:t>
      </w:r>
      <w:r>
        <w:rPr/>
        <w:t>specimens to be sent for testing at a laboratory certified under CLIA for high-complexity testing.</w:t>
      </w:r>
    </w:p>
    <w:p>
      <w:pPr>
        <w:pStyle w:val="BodyText"/>
      </w:pPr>
    </w:p>
    <w:p>
      <w:pPr>
        <w:pStyle w:val="BodyText"/>
        <w:ind w:left="159" w:right="287"/>
        <w:jc w:val="both"/>
      </w:pPr>
      <w:r>
        <w:rPr/>
        <w:t>FDA</w:t>
      </w:r>
      <w:r>
        <w:rPr>
          <w:spacing w:val="-4"/>
        </w:rPr>
        <w:t> </w:t>
      </w:r>
      <w:r>
        <w:rPr/>
        <w:t>anticipates</w:t>
      </w:r>
      <w:r>
        <w:rPr>
          <w:spacing w:val="-4"/>
        </w:rPr>
        <w:t> </w:t>
      </w:r>
      <w:r>
        <w:rPr/>
        <w:t>that</w:t>
      </w:r>
      <w:r>
        <w:rPr>
          <w:spacing w:val="-3"/>
        </w:rPr>
        <w:t> </w:t>
      </w:r>
      <w:r>
        <w:rPr/>
        <w:t>clinical</w:t>
      </w:r>
      <w:r>
        <w:rPr>
          <w:spacing w:val="-4"/>
        </w:rPr>
        <w:t> </w:t>
      </w:r>
      <w:r>
        <w:rPr/>
        <w:t>laboratories</w:t>
      </w:r>
      <w:r>
        <w:rPr>
          <w:spacing w:val="-3"/>
        </w:rPr>
        <w:t> </w:t>
      </w:r>
      <w:r>
        <w:rPr/>
        <w:t>may</w:t>
      </w:r>
      <w:r>
        <w:rPr>
          <w:spacing w:val="-3"/>
        </w:rPr>
        <w:t> </w:t>
      </w:r>
      <w:r>
        <w:rPr/>
        <w:t>need</w:t>
      </w:r>
      <w:r>
        <w:rPr>
          <w:spacing w:val="-3"/>
        </w:rPr>
        <w:t> </w:t>
      </w:r>
      <w:r>
        <w:rPr/>
        <w:t>to</w:t>
      </w:r>
      <w:r>
        <w:rPr>
          <w:spacing w:val="-3"/>
        </w:rPr>
        <w:t> </w:t>
      </w:r>
      <w:r>
        <w:rPr/>
        <w:t>design</w:t>
      </w:r>
      <w:r>
        <w:rPr>
          <w:spacing w:val="-5"/>
        </w:rPr>
        <w:t> </w:t>
      </w:r>
      <w:r>
        <w:rPr/>
        <w:t>and</w:t>
      </w:r>
      <w:r>
        <w:rPr>
          <w:spacing w:val="-2"/>
        </w:rPr>
        <w:t> </w:t>
      </w:r>
      <w:r>
        <w:rPr/>
        <w:t>manufacture</w:t>
      </w:r>
      <w:r>
        <w:rPr>
          <w:spacing w:val="-3"/>
        </w:rPr>
        <w:t> </w:t>
      </w:r>
      <w:r>
        <w:rPr/>
        <w:t>the</w:t>
      </w:r>
      <w:r>
        <w:rPr>
          <w:spacing w:val="-4"/>
        </w:rPr>
        <w:t> </w:t>
      </w:r>
      <w:r>
        <w:rPr/>
        <w:t>individual</w:t>
      </w:r>
      <w:r>
        <w:rPr>
          <w:spacing w:val="-4"/>
        </w:rPr>
        <w:t> </w:t>
      </w:r>
      <w:r>
        <w:rPr/>
        <w:t>test kit components (e.g., primers, probes, etc.), or to</w:t>
      </w:r>
      <w:r>
        <w:rPr>
          <w:spacing w:val="-2"/>
        </w:rPr>
        <w:t> </w:t>
      </w:r>
      <w:r>
        <w:rPr/>
        <w:t>purchase</w:t>
      </w:r>
      <w:r>
        <w:rPr>
          <w:spacing w:val="-1"/>
        </w:rPr>
        <w:t> </w:t>
      </w:r>
      <w:r>
        <w:rPr/>
        <w:t>research use only (RUO) components from third party manufacturers, for the development of their assays.</w:t>
      </w:r>
    </w:p>
    <w:p>
      <w:pPr>
        <w:pStyle w:val="BodyText"/>
      </w:pPr>
    </w:p>
    <w:p>
      <w:pPr>
        <w:pStyle w:val="BodyText"/>
        <w:ind w:left="159" w:right="250"/>
      </w:pPr>
      <w:r>
        <w:rPr/>
        <w:t>In light of the increasing numbers of COVID-19 cases throughout the country and the urgent need to expand the nation’s capacity for COVID-19 testing during the public health emergency, FDA does not intend to object to the use of these SARS-CoV-2 tests for specimen testing for a reasonable</w:t>
      </w:r>
      <w:r>
        <w:rPr>
          <w:spacing w:val="-1"/>
        </w:rPr>
        <w:t> </w:t>
      </w:r>
      <w:r>
        <w:rPr/>
        <w:t>period</w:t>
      </w:r>
      <w:r>
        <w:rPr>
          <w:spacing w:val="-1"/>
        </w:rPr>
        <w:t> </w:t>
      </w:r>
      <w:r>
        <w:rPr/>
        <w:t>of</w:t>
      </w:r>
      <w:r>
        <w:rPr>
          <w:spacing w:val="-2"/>
        </w:rPr>
        <w:t> </w:t>
      </w:r>
      <w:r>
        <w:rPr/>
        <w:t>time,</w:t>
      </w:r>
      <w:r>
        <w:rPr>
          <w:spacing w:val="-1"/>
        </w:rPr>
        <w:t> </w:t>
      </w:r>
      <w:r>
        <w:rPr/>
        <w:t>where</w:t>
      </w:r>
      <w:r>
        <w:rPr>
          <w:spacing w:val="-1"/>
        </w:rPr>
        <w:t> </w:t>
      </w:r>
      <w:r>
        <w:rPr/>
        <w:t>the</w:t>
      </w:r>
      <w:r>
        <w:rPr>
          <w:spacing w:val="-2"/>
        </w:rPr>
        <w:t> </w:t>
      </w:r>
      <w:r>
        <w:rPr/>
        <w:t>test</w:t>
      </w:r>
      <w:r>
        <w:rPr>
          <w:spacing w:val="-1"/>
        </w:rPr>
        <w:t> </w:t>
      </w:r>
      <w:r>
        <w:rPr/>
        <w:t>has</w:t>
      </w:r>
      <w:r>
        <w:rPr>
          <w:spacing w:val="-1"/>
        </w:rPr>
        <w:t> </w:t>
      </w:r>
      <w:r>
        <w:rPr/>
        <w:t>been</w:t>
      </w:r>
      <w:r>
        <w:rPr>
          <w:spacing w:val="-3"/>
        </w:rPr>
        <w:t> </w:t>
      </w:r>
      <w:r>
        <w:rPr/>
        <w:t>validated</w:t>
      </w:r>
      <w:r>
        <w:rPr>
          <w:spacing w:val="-2"/>
        </w:rPr>
        <w:t> </w:t>
      </w:r>
      <w:r>
        <w:rPr/>
        <w:t>and while</w:t>
      </w:r>
      <w:r>
        <w:rPr>
          <w:spacing w:val="-1"/>
        </w:rPr>
        <w:t> </w:t>
      </w:r>
      <w:r>
        <w:rPr/>
        <w:t>the</w:t>
      </w:r>
      <w:r>
        <w:rPr>
          <w:spacing w:val="-2"/>
        </w:rPr>
        <w:t> </w:t>
      </w:r>
      <w:r>
        <w:rPr/>
        <w:t>laboratory</w:t>
      </w:r>
      <w:r>
        <w:rPr>
          <w:spacing w:val="-1"/>
        </w:rPr>
        <w:t> </w:t>
      </w:r>
      <w:r>
        <w:rPr/>
        <w:t>is</w:t>
      </w:r>
      <w:r>
        <w:rPr>
          <w:spacing w:val="-2"/>
        </w:rPr>
        <w:t> </w:t>
      </w:r>
      <w:r>
        <w:rPr/>
        <w:t>preparing their</w:t>
      </w:r>
      <w:r>
        <w:rPr>
          <w:spacing w:val="-3"/>
        </w:rPr>
        <w:t> </w:t>
      </w:r>
      <w:r>
        <w:rPr/>
        <w:t>EUA</w:t>
      </w:r>
      <w:r>
        <w:rPr>
          <w:spacing w:val="-4"/>
        </w:rPr>
        <w:t> </w:t>
      </w:r>
      <w:r>
        <w:rPr/>
        <w:t>request,</w:t>
      </w:r>
      <w:r>
        <w:rPr>
          <w:spacing w:val="-3"/>
        </w:rPr>
        <w:t> </w:t>
      </w:r>
      <w:r>
        <w:rPr/>
        <w:t>and</w:t>
      </w:r>
      <w:r>
        <w:rPr>
          <w:spacing w:val="-5"/>
        </w:rPr>
        <w:t> </w:t>
      </w:r>
      <w:r>
        <w:rPr/>
        <w:t>where</w:t>
      </w:r>
      <w:r>
        <w:rPr>
          <w:spacing w:val="-3"/>
        </w:rPr>
        <w:t> </w:t>
      </w:r>
      <w:r>
        <w:rPr/>
        <w:t>the</w:t>
      </w:r>
      <w:r>
        <w:rPr>
          <w:spacing w:val="-4"/>
        </w:rPr>
        <w:t> </w:t>
      </w:r>
      <w:r>
        <w:rPr/>
        <w:t>laboratory</w:t>
      </w:r>
      <w:r>
        <w:rPr>
          <w:spacing w:val="-3"/>
        </w:rPr>
        <w:t> </w:t>
      </w:r>
      <w:r>
        <w:rPr/>
        <w:t>gives</w:t>
      </w:r>
      <w:r>
        <w:rPr>
          <w:spacing w:val="-3"/>
        </w:rPr>
        <w:t> </w:t>
      </w:r>
      <w:r>
        <w:rPr/>
        <w:t>notification</w:t>
      </w:r>
      <w:r>
        <w:rPr>
          <w:spacing w:val="-3"/>
        </w:rPr>
        <w:t> </w:t>
      </w:r>
      <w:r>
        <w:rPr/>
        <w:t>of</w:t>
      </w:r>
      <w:r>
        <w:rPr>
          <w:spacing w:val="-4"/>
        </w:rPr>
        <w:t> </w:t>
      </w:r>
      <w:r>
        <w:rPr/>
        <w:t>validation</w:t>
      </w:r>
      <w:r>
        <w:rPr>
          <w:spacing w:val="-3"/>
        </w:rPr>
        <w:t> </w:t>
      </w:r>
      <w:r>
        <w:rPr/>
        <w:t>to</w:t>
      </w:r>
      <w:r>
        <w:rPr>
          <w:spacing w:val="-3"/>
        </w:rPr>
        <w:t> </w:t>
      </w:r>
      <w:r>
        <w:rPr/>
        <w:t>FDA,</w:t>
      </w:r>
      <w:r>
        <w:rPr>
          <w:spacing w:val="-3"/>
        </w:rPr>
        <w:t> </w:t>
      </w:r>
      <w:r>
        <w:rPr/>
        <w:t>as</w:t>
      </w:r>
      <w:r>
        <w:rPr>
          <w:spacing w:val="-3"/>
        </w:rPr>
        <w:t> </w:t>
      </w:r>
      <w:r>
        <w:rPr/>
        <w:t>described below. FDA believes that 15 business days is a reasonable period of time to prepare an EUA submission for a test that has already been validated.</w:t>
      </w:r>
    </w:p>
    <w:p>
      <w:pPr>
        <w:pStyle w:val="BodyText"/>
        <w:spacing w:before="5"/>
        <w:rPr>
          <w:sz w:val="34"/>
        </w:rPr>
      </w:pPr>
    </w:p>
    <w:p>
      <w:pPr>
        <w:pStyle w:val="Heading2"/>
        <w:numPr>
          <w:ilvl w:val="2"/>
          <w:numId w:val="6"/>
        </w:numPr>
        <w:tabs>
          <w:tab w:pos="2319" w:val="left" w:leader="none"/>
        </w:tabs>
        <w:spacing w:line="240" w:lineRule="auto" w:before="0" w:after="0"/>
        <w:ind w:left="2319" w:right="0" w:hanging="719"/>
        <w:jc w:val="left"/>
      </w:pPr>
      <w:bookmarkStart w:name="1. Validation" w:id="19"/>
      <w:bookmarkEnd w:id="19"/>
      <w:r>
        <w:rPr>
          <w:b w:val="0"/>
        </w:rPr>
      </w:r>
      <w:bookmarkStart w:name="_bookmark13" w:id="20"/>
      <w:bookmarkEnd w:id="20"/>
      <w:r>
        <w:rPr>
          <w:b w:val="0"/>
        </w:rPr>
      </w:r>
      <w:r>
        <w:rPr>
          <w:spacing w:val="-2"/>
        </w:rPr>
        <w:t>Validation</w:t>
      </w:r>
    </w:p>
    <w:p>
      <w:pPr>
        <w:pStyle w:val="BodyText"/>
        <w:spacing w:before="121"/>
        <w:ind w:left="159" w:right="296"/>
      </w:pPr>
      <w:r>
        <w:rPr/>
        <w:t>All clinical tests should be validated prior to use. In the context of a public health emergency, it is</w:t>
      </w:r>
      <w:r>
        <w:rPr>
          <w:spacing w:val="-3"/>
        </w:rPr>
        <w:t> </w:t>
      </w:r>
      <w:r>
        <w:rPr/>
        <w:t>critically</w:t>
      </w:r>
      <w:r>
        <w:rPr>
          <w:spacing w:val="-3"/>
        </w:rPr>
        <w:t> </w:t>
      </w:r>
      <w:r>
        <w:rPr/>
        <w:t>important</w:t>
      </w:r>
      <w:r>
        <w:rPr>
          <w:spacing w:val="-3"/>
        </w:rPr>
        <w:t> </w:t>
      </w:r>
      <w:r>
        <w:rPr/>
        <w:t>that</w:t>
      </w:r>
      <w:r>
        <w:rPr>
          <w:spacing w:val="-3"/>
        </w:rPr>
        <w:t> </w:t>
      </w:r>
      <w:r>
        <w:rPr/>
        <w:t>tests</w:t>
      </w:r>
      <w:r>
        <w:rPr>
          <w:spacing w:val="-3"/>
        </w:rPr>
        <w:t> </w:t>
      </w:r>
      <w:r>
        <w:rPr/>
        <w:t>are</w:t>
      </w:r>
      <w:r>
        <w:rPr>
          <w:spacing w:val="-3"/>
        </w:rPr>
        <w:t> </w:t>
      </w:r>
      <w:r>
        <w:rPr/>
        <w:t>validated</w:t>
      </w:r>
      <w:r>
        <w:rPr>
          <w:spacing w:val="-3"/>
        </w:rPr>
        <w:t> </w:t>
      </w:r>
      <w:r>
        <w:rPr/>
        <w:t>because</w:t>
      </w:r>
      <w:r>
        <w:rPr>
          <w:spacing w:val="-3"/>
        </w:rPr>
        <w:t> </w:t>
      </w:r>
      <w:r>
        <w:rPr/>
        <w:t>false</w:t>
      </w:r>
      <w:r>
        <w:rPr>
          <w:spacing w:val="-3"/>
        </w:rPr>
        <w:t> </w:t>
      </w:r>
      <w:r>
        <w:rPr/>
        <w:t>results</w:t>
      </w:r>
      <w:r>
        <w:rPr>
          <w:spacing w:val="-3"/>
        </w:rPr>
        <w:t> </w:t>
      </w:r>
      <w:r>
        <w:rPr/>
        <w:t>can</w:t>
      </w:r>
      <w:r>
        <w:rPr>
          <w:spacing w:val="-3"/>
        </w:rPr>
        <w:t> </w:t>
      </w:r>
      <w:r>
        <w:rPr/>
        <w:t>negatively</w:t>
      </w:r>
      <w:r>
        <w:rPr>
          <w:spacing w:val="-3"/>
        </w:rPr>
        <w:t> </w:t>
      </w:r>
      <w:r>
        <w:rPr/>
        <w:t>impact</w:t>
      </w:r>
      <w:r>
        <w:rPr>
          <w:spacing w:val="-3"/>
        </w:rPr>
        <w:t> </w:t>
      </w:r>
      <w:r>
        <w:rPr/>
        <w:t>not</w:t>
      </w:r>
      <w:r>
        <w:rPr>
          <w:spacing w:val="-3"/>
        </w:rPr>
        <w:t> </w:t>
      </w:r>
      <w:r>
        <w:rPr/>
        <w:t>only the individual patient but also can have broad public health impact. FDA has provided recommendations regarding testing that should be performed to ensure analytical and clinical validity in section V below. FDA encourages laboratories to discuss any alternative technological approaches to validating their test with FDA through </w:t>
      </w:r>
      <w:hyperlink r:id="rId18">
        <w:r>
          <w:rPr>
            <w:color w:val="0000FF"/>
            <w:u w:val="single" w:color="0000FF"/>
          </w:rPr>
          <w:t>CDRH-EUA-</w:t>
        </w:r>
      </w:hyperlink>
      <w:r>
        <w:rPr>
          <w:color w:val="0000FF"/>
        </w:rPr>
        <w:t> </w:t>
      </w:r>
      <w:hyperlink r:id="rId18">
        <w:r>
          <w:rPr>
            <w:color w:val="0000FF"/>
            <w:spacing w:val="-2"/>
            <w:u w:val="single" w:color="0000FF"/>
          </w:rPr>
          <w:t>Templates@FDA.HHS.GOV</w:t>
        </w:r>
        <w:r>
          <w:rPr>
            <w:spacing w:val="-2"/>
          </w:rPr>
          <w:t>.</w:t>
        </w:r>
      </w:hyperlink>
    </w:p>
    <w:p>
      <w:pPr>
        <w:pStyle w:val="BodyText"/>
        <w:spacing w:before="10"/>
        <w:rPr>
          <w:sz w:val="26"/>
        </w:rPr>
      </w:pPr>
    </w:p>
    <w:p>
      <w:pPr>
        <w:pStyle w:val="Heading2"/>
        <w:numPr>
          <w:ilvl w:val="2"/>
          <w:numId w:val="6"/>
        </w:numPr>
        <w:tabs>
          <w:tab w:pos="2319" w:val="left" w:leader="none"/>
        </w:tabs>
        <w:spacing w:line="240" w:lineRule="auto" w:before="87" w:after="0"/>
        <w:ind w:left="2319" w:right="0" w:hanging="719"/>
        <w:jc w:val="left"/>
      </w:pPr>
      <w:bookmarkStart w:name="2. FDA Notification" w:id="21"/>
      <w:bookmarkEnd w:id="21"/>
      <w:r>
        <w:rPr>
          <w:b w:val="0"/>
        </w:rPr>
      </w:r>
      <w:bookmarkStart w:name="_bookmark14" w:id="22"/>
      <w:bookmarkEnd w:id="22"/>
      <w:r>
        <w:rPr>
          <w:b w:val="0"/>
        </w:rPr>
      </w:r>
      <w:r>
        <w:rPr/>
        <w:t>FDA</w:t>
      </w:r>
      <w:r>
        <w:rPr>
          <w:spacing w:val="-19"/>
        </w:rPr>
        <w:t> </w:t>
      </w:r>
      <w:r>
        <w:rPr>
          <w:spacing w:val="-2"/>
        </w:rPr>
        <w:t>Notification</w:t>
      </w:r>
    </w:p>
    <w:p>
      <w:pPr>
        <w:pStyle w:val="BodyText"/>
        <w:spacing w:before="119"/>
        <w:ind w:left="160" w:right="292"/>
      </w:pPr>
      <w:r>
        <w:rPr/>
        <w:t>Following</w:t>
      </w:r>
      <w:r>
        <w:rPr>
          <w:spacing w:val="-3"/>
        </w:rPr>
        <w:t> </w:t>
      </w:r>
      <w:r>
        <w:rPr/>
        <w:t>completion</w:t>
      </w:r>
      <w:r>
        <w:rPr>
          <w:spacing w:val="-3"/>
        </w:rPr>
        <w:t> </w:t>
      </w:r>
      <w:r>
        <w:rPr/>
        <w:t>of</w:t>
      </w:r>
      <w:r>
        <w:rPr>
          <w:spacing w:val="-4"/>
        </w:rPr>
        <w:t> </w:t>
      </w:r>
      <w:r>
        <w:rPr/>
        <w:t>assay</w:t>
      </w:r>
      <w:r>
        <w:rPr>
          <w:spacing w:val="-3"/>
        </w:rPr>
        <w:t> </w:t>
      </w:r>
      <w:r>
        <w:rPr/>
        <w:t>validation,</w:t>
      </w:r>
      <w:r>
        <w:rPr>
          <w:spacing w:val="-5"/>
        </w:rPr>
        <w:t> </w:t>
      </w:r>
      <w:r>
        <w:rPr/>
        <w:t>laboratories</w:t>
      </w:r>
      <w:r>
        <w:rPr>
          <w:spacing w:val="-3"/>
        </w:rPr>
        <w:t> </w:t>
      </w:r>
      <w:r>
        <w:rPr/>
        <w:t>should</w:t>
      </w:r>
      <w:r>
        <w:rPr>
          <w:spacing w:val="-3"/>
        </w:rPr>
        <w:t> </w:t>
      </w:r>
      <w:r>
        <w:rPr/>
        <w:t>notify</w:t>
      </w:r>
      <w:r>
        <w:rPr>
          <w:spacing w:val="-3"/>
        </w:rPr>
        <w:t> </w:t>
      </w:r>
      <w:r>
        <w:rPr/>
        <w:t>FDA</w:t>
      </w:r>
      <w:r>
        <w:rPr>
          <w:spacing w:val="-4"/>
        </w:rPr>
        <w:t> </w:t>
      </w:r>
      <w:r>
        <w:rPr/>
        <w:t>(e.g.,</w:t>
      </w:r>
      <w:r>
        <w:rPr>
          <w:spacing w:val="-3"/>
        </w:rPr>
        <w:t> </w:t>
      </w:r>
      <w:r>
        <w:rPr/>
        <w:t>email</w:t>
      </w:r>
      <w:r>
        <w:rPr>
          <w:spacing w:val="-3"/>
        </w:rPr>
        <w:t> </w:t>
      </w:r>
      <w:r>
        <w:rPr/>
        <w:t>to</w:t>
      </w:r>
      <w:r>
        <w:rPr>
          <w:spacing w:val="-3"/>
        </w:rPr>
        <w:t> </w:t>
      </w:r>
      <w:hyperlink r:id="rId18">
        <w:r>
          <w:rPr>
            <w:color w:val="0000FF"/>
            <w:u w:val="single" w:color="0000FF"/>
          </w:rPr>
          <w:t>CDRH-</w:t>
        </w:r>
      </w:hyperlink>
      <w:r>
        <w:rPr>
          <w:color w:val="0000FF"/>
        </w:rPr>
        <w:t> </w:t>
      </w:r>
      <w:hyperlink r:id="rId18">
        <w:r>
          <w:rPr>
            <w:color w:val="0000FF"/>
            <w:u w:val="single" w:color="0000FF"/>
          </w:rPr>
          <w:t>EUA-Templates@FDA.HHS.GOV</w:t>
        </w:r>
      </w:hyperlink>
      <w:r>
        <w:rPr/>
        <w:t>) that their assay has been validated. This notification should include the name of the laboratory, name of the laboratory director, laboratory address, and contact person in this email. FDA will acknowledge receipt of this notification via auto-reply, and generally will add the laboratory name to FDA’s website listing. As noted above, FDA</w:t>
      </w:r>
    </w:p>
    <w:p>
      <w:pPr>
        <w:spacing w:after="0"/>
        <w:sectPr>
          <w:pgSz w:w="12240" w:h="15840"/>
          <w:pgMar w:header="731" w:footer="785" w:top="1360" w:bottom="980" w:left="1280" w:right="1200"/>
        </w:sectPr>
      </w:pPr>
    </w:p>
    <w:p>
      <w:pPr>
        <w:pStyle w:val="BodyText"/>
        <w:spacing w:before="80"/>
        <w:ind w:left="160" w:right="348"/>
      </w:pPr>
      <w:r>
        <w:rPr/>
        <w:t>recommends that laboratories submit a completed EUA request within 15 business days of the notification to FDA that the assay has been successfully validated. If an EUA request is not submitted</w:t>
      </w:r>
      <w:r>
        <w:rPr>
          <w:spacing w:val="-3"/>
        </w:rPr>
        <w:t> </w:t>
      </w:r>
      <w:r>
        <w:rPr/>
        <w:t>within</w:t>
      </w:r>
      <w:r>
        <w:rPr>
          <w:spacing w:val="-5"/>
        </w:rPr>
        <w:t> </w:t>
      </w:r>
      <w:r>
        <w:rPr/>
        <w:t>this</w:t>
      </w:r>
      <w:r>
        <w:rPr>
          <w:spacing w:val="-4"/>
        </w:rPr>
        <w:t> </w:t>
      </w:r>
      <w:r>
        <w:rPr/>
        <w:t>timeframe,</w:t>
      </w:r>
      <w:r>
        <w:rPr>
          <w:spacing w:val="-3"/>
        </w:rPr>
        <w:t> </w:t>
      </w:r>
      <w:r>
        <w:rPr/>
        <w:t>FDA</w:t>
      </w:r>
      <w:r>
        <w:rPr>
          <w:spacing w:val="-4"/>
        </w:rPr>
        <w:t> </w:t>
      </w:r>
      <w:r>
        <w:rPr/>
        <w:t>intends</w:t>
      </w:r>
      <w:r>
        <w:rPr>
          <w:spacing w:val="-3"/>
        </w:rPr>
        <w:t> </w:t>
      </w:r>
      <w:r>
        <w:rPr/>
        <w:t>to</w:t>
      </w:r>
      <w:r>
        <w:rPr>
          <w:spacing w:val="-5"/>
        </w:rPr>
        <w:t> </w:t>
      </w:r>
      <w:r>
        <w:rPr/>
        <w:t>remove</w:t>
      </w:r>
      <w:r>
        <w:rPr>
          <w:spacing w:val="-3"/>
        </w:rPr>
        <w:t> </w:t>
      </w:r>
      <w:r>
        <w:rPr/>
        <w:t>the</w:t>
      </w:r>
      <w:r>
        <w:rPr>
          <w:spacing w:val="-3"/>
        </w:rPr>
        <w:t> </w:t>
      </w:r>
      <w:r>
        <w:rPr/>
        <w:t>laboratory</w:t>
      </w:r>
      <w:r>
        <w:rPr>
          <w:spacing w:val="-3"/>
        </w:rPr>
        <w:t> </w:t>
      </w:r>
      <w:r>
        <w:rPr/>
        <w:t>from</w:t>
      </w:r>
      <w:r>
        <w:rPr>
          <w:spacing w:val="-5"/>
        </w:rPr>
        <w:t> </w:t>
      </w:r>
      <w:r>
        <w:rPr/>
        <w:t>its</w:t>
      </w:r>
      <w:r>
        <w:rPr>
          <w:spacing w:val="-3"/>
        </w:rPr>
        <w:t> </w:t>
      </w:r>
      <w:r>
        <w:rPr/>
        <w:t>website</w:t>
      </w:r>
      <w:r>
        <w:rPr>
          <w:spacing w:val="-3"/>
        </w:rPr>
        <w:t> </w:t>
      </w:r>
      <w:r>
        <w:rPr/>
        <w:t>listing of laboratories that have notified FDA and may take additional actions as appropriate.</w:t>
      </w:r>
    </w:p>
    <w:p>
      <w:pPr>
        <w:pStyle w:val="BodyText"/>
        <w:spacing w:before="11"/>
        <w:rPr>
          <w:sz w:val="23"/>
        </w:rPr>
      </w:pPr>
    </w:p>
    <w:p>
      <w:pPr>
        <w:pStyle w:val="BodyText"/>
        <w:ind w:left="160" w:right="278"/>
      </w:pPr>
      <w:r>
        <w:rPr/>
        <w:t>It would be helpful to FDA if laboratories provide information on testing capacity. This information</w:t>
      </w:r>
      <w:r>
        <w:rPr>
          <w:spacing w:val="-3"/>
        </w:rPr>
        <w:t> </w:t>
      </w:r>
      <w:r>
        <w:rPr/>
        <w:t>will</w:t>
      </w:r>
      <w:r>
        <w:rPr>
          <w:spacing w:val="-3"/>
        </w:rPr>
        <w:t> </w:t>
      </w:r>
      <w:r>
        <w:rPr/>
        <w:t>help</w:t>
      </w:r>
      <w:r>
        <w:rPr>
          <w:spacing w:val="-3"/>
        </w:rPr>
        <w:t> </w:t>
      </w:r>
      <w:r>
        <w:rPr/>
        <w:t>the</w:t>
      </w:r>
      <w:r>
        <w:rPr>
          <w:spacing w:val="-4"/>
        </w:rPr>
        <w:t> </w:t>
      </w:r>
      <w:r>
        <w:rPr/>
        <w:t>Agency</w:t>
      </w:r>
      <w:r>
        <w:rPr>
          <w:spacing w:val="-3"/>
        </w:rPr>
        <w:t> </w:t>
      </w:r>
      <w:r>
        <w:rPr/>
        <w:t>and</w:t>
      </w:r>
      <w:r>
        <w:rPr>
          <w:spacing w:val="-3"/>
        </w:rPr>
        <w:t> </w:t>
      </w:r>
      <w:r>
        <w:rPr/>
        <w:t>Department</w:t>
      </w:r>
      <w:r>
        <w:rPr>
          <w:spacing w:val="-2"/>
        </w:rPr>
        <w:t> </w:t>
      </w:r>
      <w:r>
        <w:rPr/>
        <w:t>monitor</w:t>
      </w:r>
      <w:r>
        <w:rPr>
          <w:spacing w:val="-3"/>
        </w:rPr>
        <w:t> </w:t>
      </w:r>
      <w:r>
        <w:rPr/>
        <w:t>the</w:t>
      </w:r>
      <w:r>
        <w:rPr>
          <w:spacing w:val="-4"/>
        </w:rPr>
        <w:t> </w:t>
      </w:r>
      <w:r>
        <w:rPr/>
        <w:t>landscape</w:t>
      </w:r>
      <w:r>
        <w:rPr>
          <w:spacing w:val="-3"/>
        </w:rPr>
        <w:t> </w:t>
      </w:r>
      <w:r>
        <w:rPr/>
        <w:t>as</w:t>
      </w:r>
      <w:r>
        <w:rPr>
          <w:spacing w:val="-3"/>
        </w:rPr>
        <w:t> </w:t>
      </w:r>
      <w:r>
        <w:rPr/>
        <w:t>we</w:t>
      </w:r>
      <w:r>
        <w:rPr>
          <w:spacing w:val="-3"/>
        </w:rPr>
        <w:t> </w:t>
      </w:r>
      <w:r>
        <w:rPr/>
        <w:t>work</w:t>
      </w:r>
      <w:r>
        <w:rPr>
          <w:spacing w:val="-3"/>
        </w:rPr>
        <w:t> </w:t>
      </w:r>
      <w:r>
        <w:rPr/>
        <w:t>to</w:t>
      </w:r>
      <w:r>
        <w:rPr>
          <w:spacing w:val="-3"/>
        </w:rPr>
        <w:t> </w:t>
      </w:r>
      <w:r>
        <w:rPr/>
        <w:t>ensure adequate testing capacity across the country.</w:t>
      </w:r>
    </w:p>
    <w:p>
      <w:pPr>
        <w:pStyle w:val="BodyText"/>
        <w:spacing w:before="4"/>
        <w:rPr>
          <w:sz w:val="38"/>
        </w:rPr>
      </w:pPr>
    </w:p>
    <w:p>
      <w:pPr>
        <w:pStyle w:val="ListParagraph"/>
        <w:numPr>
          <w:ilvl w:val="2"/>
          <w:numId w:val="6"/>
        </w:numPr>
        <w:tabs>
          <w:tab w:pos="2319" w:val="left" w:leader="none"/>
        </w:tabs>
        <w:spacing w:line="240" w:lineRule="auto" w:before="1" w:after="0"/>
        <w:ind w:left="2319" w:right="0" w:hanging="719"/>
        <w:jc w:val="left"/>
        <w:rPr>
          <w:b/>
          <w:sz w:val="32"/>
        </w:rPr>
      </w:pPr>
      <w:r>
        <w:rPr>
          <w:b/>
          <w:sz w:val="32"/>
        </w:rPr>
        <w:t>Reporting</w:t>
      </w:r>
      <w:r>
        <w:rPr>
          <w:b/>
          <w:spacing w:val="-3"/>
          <w:sz w:val="32"/>
        </w:rPr>
        <w:t> </w:t>
      </w:r>
      <w:r>
        <w:rPr>
          <w:b/>
          <w:sz w:val="32"/>
        </w:rPr>
        <w:t>of</w:t>
      </w:r>
      <w:r>
        <w:rPr>
          <w:b/>
          <w:spacing w:val="-3"/>
          <w:sz w:val="32"/>
        </w:rPr>
        <w:t> </w:t>
      </w:r>
      <w:r>
        <w:rPr>
          <w:b/>
          <w:spacing w:val="-2"/>
          <w:sz w:val="32"/>
        </w:rPr>
        <w:t>Results</w:t>
      </w:r>
    </w:p>
    <w:p>
      <w:pPr>
        <w:pStyle w:val="BodyText"/>
        <w:spacing w:before="120"/>
        <w:ind w:left="160" w:right="278"/>
      </w:pPr>
      <w:r>
        <w:rPr/>
        <w:t>In</w:t>
      </w:r>
      <w:r>
        <w:rPr>
          <w:spacing w:val="-3"/>
        </w:rPr>
        <w:t> </w:t>
      </w:r>
      <w:r>
        <w:rPr/>
        <w:t>order</w:t>
      </w:r>
      <w:r>
        <w:rPr>
          <w:spacing w:val="-4"/>
        </w:rPr>
        <w:t> </w:t>
      </w:r>
      <w:r>
        <w:rPr/>
        <w:t>to</w:t>
      </w:r>
      <w:r>
        <w:rPr>
          <w:spacing w:val="-3"/>
        </w:rPr>
        <w:t> </w:t>
      </w:r>
      <w:r>
        <w:rPr/>
        <w:t>provide</w:t>
      </w:r>
      <w:r>
        <w:rPr>
          <w:spacing w:val="-4"/>
        </w:rPr>
        <w:t> </w:t>
      </w:r>
      <w:r>
        <w:rPr/>
        <w:t>transparency,</w:t>
      </w:r>
      <w:r>
        <w:rPr>
          <w:spacing w:val="-3"/>
        </w:rPr>
        <w:t> </w:t>
      </w:r>
      <w:r>
        <w:rPr/>
        <w:t>FDA</w:t>
      </w:r>
      <w:r>
        <w:rPr>
          <w:spacing w:val="-4"/>
        </w:rPr>
        <w:t> </w:t>
      </w:r>
      <w:r>
        <w:rPr/>
        <w:t>recommends</w:t>
      </w:r>
      <w:r>
        <w:rPr>
          <w:spacing w:val="-3"/>
        </w:rPr>
        <w:t> </w:t>
      </w:r>
      <w:r>
        <w:rPr/>
        <w:t>that</w:t>
      </w:r>
      <w:r>
        <w:rPr>
          <w:spacing w:val="-4"/>
        </w:rPr>
        <w:t> </w:t>
      </w:r>
      <w:r>
        <w:rPr/>
        <w:t>test</w:t>
      </w:r>
      <w:r>
        <w:rPr>
          <w:spacing w:val="-4"/>
        </w:rPr>
        <w:t> </w:t>
      </w:r>
      <w:r>
        <w:rPr/>
        <w:t>reports</w:t>
      </w:r>
      <w:r>
        <w:rPr>
          <w:spacing w:val="-3"/>
        </w:rPr>
        <w:t> </w:t>
      </w:r>
      <w:r>
        <w:rPr/>
        <w:t>include</w:t>
      </w:r>
      <w:r>
        <w:rPr>
          <w:spacing w:val="-3"/>
        </w:rPr>
        <w:t> </w:t>
      </w:r>
      <w:r>
        <w:rPr/>
        <w:t>a</w:t>
      </w:r>
      <w:r>
        <w:rPr>
          <w:spacing w:val="-3"/>
        </w:rPr>
        <w:t> </w:t>
      </w:r>
      <w:r>
        <w:rPr/>
        <w:t>general</w:t>
      </w:r>
      <w:r>
        <w:rPr>
          <w:spacing w:val="-4"/>
        </w:rPr>
        <w:t> </w:t>
      </w:r>
      <w:r>
        <w:rPr/>
        <w:t>statement that the test has been validated but FDA’s independent review of this validation is pending.</w:t>
      </w:r>
    </w:p>
    <w:p>
      <w:pPr>
        <w:pStyle w:val="BodyText"/>
      </w:pPr>
    </w:p>
    <w:p>
      <w:pPr>
        <w:pStyle w:val="BodyText"/>
        <w:ind w:left="159" w:right="278"/>
      </w:pPr>
      <w:r>
        <w:rPr/>
        <w:t>Laboratories</w:t>
      </w:r>
      <w:r>
        <w:rPr>
          <w:spacing w:val="-5"/>
        </w:rPr>
        <w:t> </w:t>
      </w:r>
      <w:r>
        <w:rPr/>
        <w:t>should</w:t>
      </w:r>
      <w:r>
        <w:rPr>
          <w:spacing w:val="-4"/>
        </w:rPr>
        <w:t> </w:t>
      </w:r>
      <w:r>
        <w:rPr/>
        <w:t>immediately</w:t>
      </w:r>
      <w:r>
        <w:rPr>
          <w:spacing w:val="-4"/>
        </w:rPr>
        <w:t> </w:t>
      </w:r>
      <w:r>
        <w:rPr/>
        <w:t>notify</w:t>
      </w:r>
      <w:r>
        <w:rPr>
          <w:spacing w:val="-4"/>
        </w:rPr>
        <w:t> </w:t>
      </w:r>
      <w:r>
        <w:rPr/>
        <w:t>appropriate</w:t>
      </w:r>
      <w:r>
        <w:rPr>
          <w:spacing w:val="-4"/>
        </w:rPr>
        <w:t> </w:t>
      </w:r>
      <w:r>
        <w:rPr/>
        <w:t>Federal,</w:t>
      </w:r>
      <w:r>
        <w:rPr>
          <w:spacing w:val="-4"/>
        </w:rPr>
        <w:t> </w:t>
      </w:r>
      <w:r>
        <w:rPr/>
        <w:t>State,</w:t>
      </w:r>
      <w:r>
        <w:rPr>
          <w:spacing w:val="-5"/>
        </w:rPr>
        <w:t> </w:t>
      </w:r>
      <w:r>
        <w:rPr/>
        <w:t>and</w:t>
      </w:r>
      <w:r>
        <w:rPr>
          <w:spacing w:val="-4"/>
        </w:rPr>
        <w:t> </w:t>
      </w:r>
      <w:r>
        <w:rPr/>
        <w:t>local</w:t>
      </w:r>
      <w:r>
        <w:rPr>
          <w:spacing w:val="-4"/>
        </w:rPr>
        <w:t> </w:t>
      </w:r>
      <w:r>
        <w:rPr/>
        <w:t>public</w:t>
      </w:r>
      <w:r>
        <w:rPr>
          <w:spacing w:val="-4"/>
        </w:rPr>
        <w:t> </w:t>
      </w:r>
      <w:r>
        <w:rPr/>
        <w:t>health agencies of all positive results.</w:t>
      </w:r>
    </w:p>
    <w:p>
      <w:pPr>
        <w:pStyle w:val="BodyText"/>
        <w:spacing w:before="5"/>
        <w:rPr>
          <w:sz w:val="34"/>
        </w:rPr>
      </w:pPr>
    </w:p>
    <w:p>
      <w:pPr>
        <w:pStyle w:val="Heading2"/>
        <w:numPr>
          <w:ilvl w:val="2"/>
          <w:numId w:val="6"/>
        </w:numPr>
        <w:tabs>
          <w:tab w:pos="2319" w:val="left" w:leader="none"/>
        </w:tabs>
        <w:spacing w:line="240" w:lineRule="auto" w:before="0" w:after="0"/>
        <w:ind w:left="2319" w:right="0" w:hanging="719"/>
        <w:jc w:val="left"/>
      </w:pPr>
      <w:bookmarkStart w:name="4. EUA Request" w:id="23"/>
      <w:bookmarkEnd w:id="23"/>
      <w:r>
        <w:rPr>
          <w:b w:val="0"/>
        </w:rPr>
      </w:r>
      <w:bookmarkStart w:name="_bookmark15" w:id="24"/>
      <w:bookmarkEnd w:id="24"/>
      <w:r>
        <w:rPr>
          <w:b w:val="0"/>
        </w:rPr>
      </w:r>
      <w:r>
        <w:rPr/>
        <w:t>EUA</w:t>
      </w:r>
      <w:r>
        <w:rPr>
          <w:spacing w:val="-19"/>
        </w:rPr>
        <w:t> </w:t>
      </w:r>
      <w:r>
        <w:rPr>
          <w:spacing w:val="-2"/>
        </w:rPr>
        <w:t>Request</w:t>
      </w:r>
    </w:p>
    <w:p>
      <w:pPr>
        <w:pStyle w:val="BodyText"/>
        <w:spacing w:before="120"/>
        <w:ind w:left="159" w:right="278"/>
      </w:pPr>
      <w:r>
        <w:rPr/>
        <w:t>FDA has made available, through download from our website, a template that laboratories may choose to use to facilitate the preparation, submission, and authorization of an EUA for a molecular</w:t>
      </w:r>
      <w:r>
        <w:rPr>
          <w:spacing w:val="-3"/>
        </w:rPr>
        <w:t> </w:t>
      </w:r>
      <w:r>
        <w:rPr/>
        <w:t>diagnostic</w:t>
      </w:r>
      <w:r>
        <w:rPr>
          <w:spacing w:val="-3"/>
        </w:rPr>
        <w:t> </w:t>
      </w:r>
      <w:r>
        <w:rPr/>
        <w:t>test.</w:t>
      </w:r>
      <w:hyperlink w:history="true" w:anchor="_bookmark16">
        <w:r>
          <w:rPr>
            <w:vertAlign w:val="superscript"/>
          </w:rPr>
          <w:t>9</w:t>
        </w:r>
      </w:hyperlink>
      <w:r>
        <w:rPr>
          <w:spacing w:val="-3"/>
          <w:vertAlign w:val="baseline"/>
        </w:rPr>
        <w:t> </w:t>
      </w:r>
      <w:r>
        <w:rPr>
          <w:vertAlign w:val="baseline"/>
        </w:rPr>
        <w:t>Laboratories</w:t>
      </w:r>
      <w:r>
        <w:rPr>
          <w:spacing w:val="-3"/>
          <w:vertAlign w:val="baseline"/>
        </w:rPr>
        <w:t> </w:t>
      </w:r>
      <w:r>
        <w:rPr>
          <w:vertAlign w:val="baseline"/>
        </w:rPr>
        <w:t>that</w:t>
      </w:r>
      <w:r>
        <w:rPr>
          <w:spacing w:val="-3"/>
          <w:vertAlign w:val="baseline"/>
        </w:rPr>
        <w:t> </w:t>
      </w:r>
      <w:r>
        <w:rPr>
          <w:vertAlign w:val="baseline"/>
        </w:rPr>
        <w:t>intend</w:t>
      </w:r>
      <w:r>
        <w:rPr>
          <w:spacing w:val="-3"/>
          <w:vertAlign w:val="baseline"/>
        </w:rPr>
        <w:t> </w:t>
      </w:r>
      <w:r>
        <w:rPr>
          <w:vertAlign w:val="baseline"/>
        </w:rPr>
        <w:t>to</w:t>
      </w:r>
      <w:r>
        <w:rPr>
          <w:spacing w:val="-3"/>
          <w:vertAlign w:val="baseline"/>
        </w:rPr>
        <w:t> </w:t>
      </w:r>
      <w:r>
        <w:rPr>
          <w:vertAlign w:val="baseline"/>
        </w:rPr>
        <w:t>use</w:t>
      </w:r>
      <w:r>
        <w:rPr>
          <w:spacing w:val="-3"/>
          <w:vertAlign w:val="baseline"/>
        </w:rPr>
        <w:t> </w:t>
      </w:r>
      <w:r>
        <w:rPr>
          <w:vertAlign w:val="baseline"/>
        </w:rPr>
        <w:t>alternative</w:t>
      </w:r>
      <w:r>
        <w:rPr>
          <w:spacing w:val="-3"/>
          <w:vertAlign w:val="baseline"/>
        </w:rPr>
        <w:t> </w:t>
      </w:r>
      <w:r>
        <w:rPr>
          <w:vertAlign w:val="baseline"/>
        </w:rPr>
        <w:t>approaches</w:t>
      </w:r>
      <w:r>
        <w:rPr>
          <w:spacing w:val="-3"/>
          <w:vertAlign w:val="baseline"/>
        </w:rPr>
        <w:t> </w:t>
      </w:r>
      <w:r>
        <w:rPr>
          <w:vertAlign w:val="baseline"/>
        </w:rPr>
        <w:t>should</w:t>
      </w:r>
      <w:r>
        <w:rPr>
          <w:spacing w:val="-3"/>
          <w:vertAlign w:val="baseline"/>
        </w:rPr>
        <w:t> </w:t>
      </w:r>
      <w:r>
        <w:rPr>
          <w:vertAlign w:val="baseline"/>
        </w:rPr>
        <w:t>consider seeking FDA’s feedback or recommendation to help them through the pre-EUA and EUA process. FDA encourages laboratories to discuss any alternative technological approaches to validating their test with FDA through </w:t>
      </w:r>
      <w:hyperlink r:id="rId18">
        <w:r>
          <w:rPr>
            <w:color w:val="0000FF"/>
            <w:u w:val="single" w:color="0000FF"/>
            <w:vertAlign w:val="baseline"/>
          </w:rPr>
          <w:t>CDRH-EUA-Templates@FDA.HHS.GOV</w:t>
        </w:r>
        <w:r>
          <w:rPr>
            <w:vertAlign w:val="baseline"/>
          </w:rPr>
          <w:t>.</w:t>
        </w:r>
      </w:hyperlink>
    </w:p>
    <w:p>
      <w:pPr>
        <w:pStyle w:val="BodyText"/>
        <w:spacing w:before="2"/>
        <w:rPr>
          <w:sz w:val="16"/>
        </w:rPr>
      </w:pPr>
    </w:p>
    <w:p>
      <w:pPr>
        <w:pStyle w:val="BodyText"/>
        <w:spacing w:before="90"/>
        <w:ind w:left="159" w:right="250"/>
      </w:pPr>
      <w:r>
        <w:rPr/>
        <w:t>Soon</w:t>
      </w:r>
      <w:r>
        <w:rPr>
          <w:spacing w:val="-3"/>
        </w:rPr>
        <w:t> </w:t>
      </w:r>
      <w:r>
        <w:rPr/>
        <w:t>after</w:t>
      </w:r>
      <w:r>
        <w:rPr>
          <w:spacing w:val="-3"/>
        </w:rPr>
        <w:t> </w:t>
      </w:r>
      <w:r>
        <w:rPr/>
        <w:t>receiving</w:t>
      </w:r>
      <w:r>
        <w:rPr>
          <w:spacing w:val="-3"/>
        </w:rPr>
        <w:t> </w:t>
      </w:r>
      <w:r>
        <w:rPr/>
        <w:t>the</w:t>
      </w:r>
      <w:r>
        <w:rPr>
          <w:spacing w:val="-4"/>
        </w:rPr>
        <w:t> </w:t>
      </w:r>
      <w:r>
        <w:rPr/>
        <w:t>EUA</w:t>
      </w:r>
      <w:r>
        <w:rPr>
          <w:spacing w:val="-4"/>
        </w:rPr>
        <w:t> </w:t>
      </w:r>
      <w:r>
        <w:rPr/>
        <w:t>request,</w:t>
      </w:r>
      <w:r>
        <w:rPr>
          <w:spacing w:val="-3"/>
        </w:rPr>
        <w:t> </w:t>
      </w:r>
      <w:r>
        <w:rPr/>
        <w:t>FDA</w:t>
      </w:r>
      <w:r>
        <w:rPr>
          <w:spacing w:val="-4"/>
        </w:rPr>
        <w:t> </w:t>
      </w:r>
      <w:r>
        <w:rPr/>
        <w:t>intends</w:t>
      </w:r>
      <w:r>
        <w:rPr>
          <w:spacing w:val="-3"/>
        </w:rPr>
        <w:t> </w:t>
      </w:r>
      <w:r>
        <w:rPr/>
        <w:t>to</w:t>
      </w:r>
      <w:r>
        <w:rPr>
          <w:spacing w:val="-3"/>
        </w:rPr>
        <w:t> </w:t>
      </w:r>
      <w:r>
        <w:rPr/>
        <w:t>perform</w:t>
      </w:r>
      <w:r>
        <w:rPr>
          <w:spacing w:val="-4"/>
        </w:rPr>
        <w:t> </w:t>
      </w:r>
      <w:r>
        <w:rPr/>
        <w:t>a</w:t>
      </w:r>
      <w:r>
        <w:rPr>
          <w:spacing w:val="-3"/>
        </w:rPr>
        <w:t> </w:t>
      </w:r>
      <w:r>
        <w:rPr/>
        <w:t>preliminary</w:t>
      </w:r>
      <w:r>
        <w:rPr>
          <w:spacing w:val="-3"/>
        </w:rPr>
        <w:t> </w:t>
      </w:r>
      <w:r>
        <w:rPr/>
        <w:t>review</w:t>
      </w:r>
      <w:r>
        <w:rPr>
          <w:spacing w:val="-4"/>
        </w:rPr>
        <w:t> </w:t>
      </w:r>
      <w:r>
        <w:rPr/>
        <w:t>to</w:t>
      </w:r>
      <w:r>
        <w:rPr>
          <w:spacing w:val="-3"/>
        </w:rPr>
        <w:t> </w:t>
      </w:r>
      <w:r>
        <w:rPr/>
        <w:t>identify</w:t>
      </w:r>
      <w:r>
        <w:rPr>
          <w:spacing w:val="-3"/>
        </w:rPr>
        <w:t> </w:t>
      </w:r>
      <w:r>
        <w:rPr/>
        <w:t>if there are any problems with the performance data. If a problem is identified, FDA intends to work with the laboratory to address the problem (e.g., through labeling or bench testing). If any problems are significant and cannot be addressed in a timely manner, FDA would expect the laboratory to stop testing and issue corrected test reports indicating prior results may not be accurate. In such circumstances, FDA intends to remove the laboratory from the website listing of notifications.</w:t>
      </w:r>
    </w:p>
    <w:p>
      <w:pPr>
        <w:pStyle w:val="BodyText"/>
      </w:pPr>
    </w:p>
    <w:p>
      <w:pPr>
        <w:pStyle w:val="BodyText"/>
        <w:ind w:left="159"/>
      </w:pPr>
      <w:r>
        <w:rPr/>
        <w:t>Issued</w:t>
      </w:r>
      <w:r>
        <w:rPr>
          <w:spacing w:val="-2"/>
        </w:rPr>
        <w:t> </w:t>
      </w:r>
      <w:r>
        <w:rPr/>
        <w:t>EUAs</w:t>
      </w:r>
      <w:r>
        <w:rPr>
          <w:spacing w:val="-1"/>
        </w:rPr>
        <w:t> </w:t>
      </w:r>
      <w:r>
        <w:rPr/>
        <w:t>are</w:t>
      </w:r>
      <w:r>
        <w:rPr>
          <w:spacing w:val="-1"/>
        </w:rPr>
        <w:t> </w:t>
      </w:r>
      <w:r>
        <w:rPr/>
        <w:t>posted</w:t>
      </w:r>
      <w:r>
        <w:rPr>
          <w:spacing w:val="-3"/>
        </w:rPr>
        <w:t> </w:t>
      </w:r>
      <w:r>
        <w:rPr/>
        <w:t>on</w:t>
      </w:r>
      <w:r>
        <w:rPr>
          <w:spacing w:val="-1"/>
        </w:rPr>
        <w:t> </w:t>
      </w:r>
      <w:r>
        <w:rPr/>
        <w:t>FDA’s</w:t>
      </w:r>
      <w:r>
        <w:rPr>
          <w:spacing w:val="-1"/>
        </w:rPr>
        <w:t> </w:t>
      </w:r>
      <w:r>
        <w:rPr>
          <w:spacing w:val="-2"/>
        </w:rPr>
        <w:t>website.</w:t>
      </w:r>
    </w:p>
    <w:p>
      <w:pPr>
        <w:pStyle w:val="BodyText"/>
      </w:pPr>
    </w:p>
    <w:p>
      <w:pPr>
        <w:pStyle w:val="BodyText"/>
        <w:ind w:left="159" w:right="278"/>
      </w:pPr>
      <w:r>
        <w:rPr/>
        <w:t>When a laboratory makes a modification to an EUA authorized test for use of a new specimen type, FDA does not intend to object to the use of such a modified test without notification to FDA or a new or amended EUA where the new specimen type has been previously authorized for another test of the same technology</w:t>
      </w:r>
      <w:hyperlink w:history="true" w:anchor="_bookmark17">
        <w:r>
          <w:rPr>
            <w:vertAlign w:val="superscript"/>
          </w:rPr>
          <w:t>10</w:t>
        </w:r>
      </w:hyperlink>
      <w:r>
        <w:rPr>
          <w:vertAlign w:val="baseline"/>
        </w:rPr>
        <w:t> and where the EUA authorized test is validated for the new</w:t>
      </w:r>
      <w:r>
        <w:rPr>
          <w:spacing w:val="-3"/>
          <w:vertAlign w:val="baseline"/>
        </w:rPr>
        <w:t> </w:t>
      </w:r>
      <w:r>
        <w:rPr>
          <w:vertAlign w:val="baseline"/>
        </w:rPr>
        <w:t>specimen</w:t>
      </w:r>
      <w:r>
        <w:rPr>
          <w:spacing w:val="-3"/>
          <w:vertAlign w:val="baseline"/>
        </w:rPr>
        <w:t> </w:t>
      </w:r>
      <w:r>
        <w:rPr>
          <w:vertAlign w:val="baseline"/>
        </w:rPr>
        <w:t>type.</w:t>
      </w:r>
      <w:r>
        <w:rPr>
          <w:spacing w:val="-3"/>
          <w:vertAlign w:val="baseline"/>
        </w:rPr>
        <w:t> </w:t>
      </w:r>
      <w:r>
        <w:rPr>
          <w:vertAlign w:val="baseline"/>
        </w:rPr>
        <w:t>Modifications</w:t>
      </w:r>
      <w:r>
        <w:rPr>
          <w:spacing w:val="-3"/>
          <w:vertAlign w:val="baseline"/>
        </w:rPr>
        <w:t> </w:t>
      </w:r>
      <w:r>
        <w:rPr>
          <w:vertAlign w:val="baseline"/>
        </w:rPr>
        <w:t>to</w:t>
      </w:r>
      <w:r>
        <w:rPr>
          <w:spacing w:val="-3"/>
          <w:vertAlign w:val="baseline"/>
        </w:rPr>
        <w:t> </w:t>
      </w:r>
      <w:r>
        <w:rPr>
          <w:vertAlign w:val="baseline"/>
        </w:rPr>
        <w:t>an</w:t>
      </w:r>
      <w:r>
        <w:rPr>
          <w:spacing w:val="-3"/>
          <w:vertAlign w:val="baseline"/>
        </w:rPr>
        <w:t> </w:t>
      </w:r>
      <w:r>
        <w:rPr>
          <w:vertAlign w:val="baseline"/>
        </w:rPr>
        <w:t>EUA</w:t>
      </w:r>
      <w:r>
        <w:rPr>
          <w:spacing w:val="-3"/>
          <w:vertAlign w:val="baseline"/>
        </w:rPr>
        <w:t> </w:t>
      </w:r>
      <w:r>
        <w:rPr>
          <w:vertAlign w:val="baseline"/>
        </w:rPr>
        <w:t>authorized</w:t>
      </w:r>
      <w:r>
        <w:rPr>
          <w:spacing w:val="-3"/>
          <w:vertAlign w:val="baseline"/>
        </w:rPr>
        <w:t> </w:t>
      </w:r>
      <w:r>
        <w:rPr>
          <w:vertAlign w:val="baseline"/>
        </w:rPr>
        <w:t>test</w:t>
      </w:r>
      <w:r>
        <w:rPr>
          <w:spacing w:val="-3"/>
          <w:vertAlign w:val="baseline"/>
        </w:rPr>
        <w:t> </w:t>
      </w:r>
      <w:r>
        <w:rPr>
          <w:vertAlign w:val="baseline"/>
        </w:rPr>
        <w:t>for</w:t>
      </w:r>
      <w:r>
        <w:rPr>
          <w:spacing w:val="-3"/>
          <w:vertAlign w:val="baseline"/>
        </w:rPr>
        <w:t> </w:t>
      </w:r>
      <w:r>
        <w:rPr>
          <w:vertAlign w:val="baseline"/>
        </w:rPr>
        <w:t>use</w:t>
      </w:r>
      <w:r>
        <w:rPr>
          <w:spacing w:val="-3"/>
          <w:vertAlign w:val="baseline"/>
        </w:rPr>
        <w:t> </w:t>
      </w:r>
      <w:r>
        <w:rPr>
          <w:vertAlign w:val="baseline"/>
        </w:rPr>
        <w:t>of</w:t>
      </w:r>
      <w:r>
        <w:rPr>
          <w:spacing w:val="-3"/>
          <w:vertAlign w:val="baseline"/>
        </w:rPr>
        <w:t> </w:t>
      </w:r>
      <w:r>
        <w:rPr>
          <w:vertAlign w:val="baseline"/>
        </w:rPr>
        <w:t>a</w:t>
      </w:r>
      <w:r>
        <w:rPr>
          <w:spacing w:val="-3"/>
          <w:vertAlign w:val="baseline"/>
        </w:rPr>
        <w:t> </w:t>
      </w:r>
      <w:r>
        <w:rPr>
          <w:vertAlign w:val="baseline"/>
        </w:rPr>
        <w:t>new</w:t>
      </w:r>
      <w:r>
        <w:rPr>
          <w:spacing w:val="-3"/>
          <w:vertAlign w:val="baseline"/>
        </w:rPr>
        <w:t> </w:t>
      </w:r>
      <w:r>
        <w:rPr>
          <w:vertAlign w:val="baseline"/>
        </w:rPr>
        <w:t>specimen</w:t>
      </w:r>
      <w:r>
        <w:rPr>
          <w:spacing w:val="-3"/>
          <w:vertAlign w:val="baseline"/>
        </w:rPr>
        <w:t> </w:t>
      </w:r>
      <w:r>
        <w:rPr>
          <w:vertAlign w:val="baseline"/>
        </w:rPr>
        <w:t>type</w:t>
      </w:r>
      <w:r>
        <w:rPr>
          <w:spacing w:val="-3"/>
          <w:vertAlign w:val="baseline"/>
        </w:rPr>
        <w:t> </w:t>
      </w:r>
      <w:r>
        <w:rPr>
          <w:vertAlign w:val="baseline"/>
        </w:rPr>
        <w:t>that</w:t>
      </w:r>
    </w:p>
    <w:p>
      <w:pPr>
        <w:pStyle w:val="BodyText"/>
        <w:rPr>
          <w:sz w:val="20"/>
        </w:rPr>
      </w:pPr>
    </w:p>
    <w:p>
      <w:pPr>
        <w:pStyle w:val="BodyText"/>
        <w:rPr>
          <w:sz w:val="20"/>
        </w:rPr>
      </w:pPr>
    </w:p>
    <w:p>
      <w:pPr>
        <w:pStyle w:val="BodyText"/>
        <w:spacing w:before="3"/>
        <w:rPr>
          <w:sz w:val="17"/>
        </w:rPr>
      </w:pPr>
      <w:r>
        <w:rPr/>
        <mc:AlternateContent>
          <mc:Choice Requires="wps">
            <w:drawing>
              <wp:anchor distT="0" distB="0" distL="0" distR="0" allowOverlap="1" layoutInCell="1" locked="0" behindDoc="1" simplePos="0" relativeHeight="487590912">
                <wp:simplePos x="0" y="0"/>
                <wp:positionH relativeFrom="page">
                  <wp:posOffset>914400</wp:posOffset>
                </wp:positionH>
                <wp:positionV relativeFrom="paragraph">
                  <wp:posOffset>141573</wp:posOffset>
                </wp:positionV>
                <wp:extent cx="1828800" cy="762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1828800" cy="7620"/>
                        </a:xfrm>
                        <a:custGeom>
                          <a:avLst/>
                          <a:gdLst/>
                          <a:ahLst/>
                          <a:cxnLst/>
                          <a:rect l="l" t="t" r="r" b="b"/>
                          <a:pathLst>
                            <a:path w="1828800" h="7620">
                              <a:moveTo>
                                <a:pt x="1828800" y="0"/>
                              </a:moveTo>
                              <a:lnTo>
                                <a:pt x="0" y="0"/>
                              </a:lnTo>
                              <a:lnTo>
                                <a:pt x="0" y="7620"/>
                              </a:lnTo>
                              <a:lnTo>
                                <a:pt x="1828800" y="762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11.14753pt;width:144pt;height:.6pt;mso-position-horizontal-relative:page;mso-position-vertical-relative:paragraph;z-index:-15725568;mso-wrap-distance-left:0;mso-wrap-distance-right:0" id="docshape11" filled="true" fillcolor="#000000" stroked="false">
                <v:fill type="solid"/>
                <w10:wrap type="topAndBottom"/>
              </v:rect>
            </w:pict>
          </mc:Fallback>
        </mc:AlternateContent>
      </w:r>
    </w:p>
    <w:p>
      <w:pPr>
        <w:spacing w:before="102"/>
        <w:ind w:left="160" w:right="0" w:firstLine="0"/>
        <w:jc w:val="left"/>
        <w:rPr>
          <w:sz w:val="20"/>
        </w:rPr>
      </w:pPr>
      <w:bookmarkStart w:name="_bookmark16" w:id="25"/>
      <w:bookmarkEnd w:id="25"/>
      <w:r>
        <w:rPr/>
      </w:r>
      <w:r>
        <w:rPr>
          <w:sz w:val="20"/>
          <w:vertAlign w:val="superscript"/>
        </w:rPr>
        <w:t>9</w:t>
      </w:r>
      <w:r>
        <w:rPr>
          <w:spacing w:val="-13"/>
          <w:sz w:val="20"/>
          <w:vertAlign w:val="baseline"/>
        </w:rPr>
        <w:t> </w:t>
      </w:r>
      <w:r>
        <w:rPr>
          <w:sz w:val="20"/>
          <w:vertAlign w:val="baseline"/>
        </w:rPr>
        <w:t>See</w:t>
      </w:r>
      <w:r>
        <w:rPr>
          <w:spacing w:val="-12"/>
          <w:sz w:val="20"/>
          <w:vertAlign w:val="baseline"/>
        </w:rPr>
        <w:t> </w:t>
      </w:r>
      <w:hyperlink r:id="rId19">
        <w:r>
          <w:rPr>
            <w:color w:val="0000FF"/>
            <w:sz w:val="20"/>
            <w:u w:val="single" w:color="0000FF"/>
            <w:vertAlign w:val="baseline"/>
          </w:rPr>
          <w:t>https://www.fda.gov/medical-devices/emergency-situations-medical-devices/emergency-use-</w:t>
        </w:r>
      </w:hyperlink>
      <w:r>
        <w:rPr>
          <w:color w:val="0000FF"/>
          <w:sz w:val="20"/>
          <w:vertAlign w:val="baseline"/>
        </w:rPr>
        <w:t> </w:t>
      </w:r>
      <w:hyperlink r:id="rId19">
        <w:r>
          <w:rPr>
            <w:color w:val="0000FF"/>
            <w:spacing w:val="-2"/>
            <w:sz w:val="20"/>
            <w:u w:val="single" w:color="0000FF"/>
            <w:vertAlign w:val="baseline"/>
          </w:rPr>
          <w:t>authorizations#coronavirus2019</w:t>
        </w:r>
      </w:hyperlink>
    </w:p>
    <w:p>
      <w:pPr>
        <w:spacing w:line="230" w:lineRule="exact" w:before="0"/>
        <w:ind w:left="160" w:right="0" w:firstLine="0"/>
        <w:jc w:val="left"/>
        <w:rPr>
          <w:sz w:val="20"/>
        </w:rPr>
      </w:pPr>
      <w:bookmarkStart w:name="_bookmark17" w:id="26"/>
      <w:bookmarkEnd w:id="26"/>
      <w:r>
        <w:rPr/>
      </w:r>
      <w:r>
        <w:rPr>
          <w:sz w:val="20"/>
          <w:vertAlign w:val="superscript"/>
        </w:rPr>
        <w:t>10</w:t>
      </w:r>
      <w:r>
        <w:rPr>
          <w:spacing w:val="-4"/>
          <w:sz w:val="20"/>
          <w:vertAlign w:val="baseline"/>
        </w:rPr>
        <w:t> </w:t>
      </w:r>
      <w:r>
        <w:rPr>
          <w:sz w:val="20"/>
          <w:vertAlign w:val="baseline"/>
        </w:rPr>
        <w:t>For</w:t>
      </w:r>
      <w:r>
        <w:rPr>
          <w:spacing w:val="-3"/>
          <w:sz w:val="20"/>
          <w:vertAlign w:val="baseline"/>
        </w:rPr>
        <w:t> </w:t>
      </w:r>
      <w:r>
        <w:rPr>
          <w:sz w:val="20"/>
          <w:vertAlign w:val="baseline"/>
        </w:rPr>
        <w:t>the</w:t>
      </w:r>
      <w:r>
        <w:rPr>
          <w:spacing w:val="-5"/>
          <w:sz w:val="20"/>
          <w:vertAlign w:val="baseline"/>
        </w:rPr>
        <w:t> </w:t>
      </w:r>
      <w:r>
        <w:rPr>
          <w:sz w:val="20"/>
          <w:vertAlign w:val="baseline"/>
        </w:rPr>
        <w:t>purposes</w:t>
      </w:r>
      <w:r>
        <w:rPr>
          <w:spacing w:val="-3"/>
          <w:sz w:val="20"/>
          <w:vertAlign w:val="baseline"/>
        </w:rPr>
        <w:t> </w:t>
      </w:r>
      <w:r>
        <w:rPr>
          <w:sz w:val="20"/>
          <w:vertAlign w:val="baseline"/>
        </w:rPr>
        <w:t>of</w:t>
      </w:r>
      <w:r>
        <w:rPr>
          <w:spacing w:val="-3"/>
          <w:sz w:val="20"/>
          <w:vertAlign w:val="baseline"/>
        </w:rPr>
        <w:t> </w:t>
      </w:r>
      <w:r>
        <w:rPr>
          <w:sz w:val="20"/>
          <w:vertAlign w:val="baseline"/>
        </w:rPr>
        <w:t>this</w:t>
      </w:r>
      <w:r>
        <w:rPr>
          <w:spacing w:val="-5"/>
          <w:sz w:val="20"/>
          <w:vertAlign w:val="baseline"/>
        </w:rPr>
        <w:t> </w:t>
      </w:r>
      <w:r>
        <w:rPr>
          <w:sz w:val="20"/>
          <w:vertAlign w:val="baseline"/>
        </w:rPr>
        <w:t>guidance,</w:t>
      </w:r>
      <w:r>
        <w:rPr>
          <w:spacing w:val="-3"/>
          <w:sz w:val="20"/>
          <w:vertAlign w:val="baseline"/>
        </w:rPr>
        <w:t> </w:t>
      </w:r>
      <w:r>
        <w:rPr>
          <w:sz w:val="20"/>
          <w:vertAlign w:val="baseline"/>
        </w:rPr>
        <w:t>all</w:t>
      </w:r>
      <w:r>
        <w:rPr>
          <w:spacing w:val="-5"/>
          <w:sz w:val="20"/>
          <w:vertAlign w:val="baseline"/>
        </w:rPr>
        <w:t> </w:t>
      </w:r>
      <w:r>
        <w:rPr>
          <w:sz w:val="20"/>
          <w:vertAlign w:val="baseline"/>
        </w:rPr>
        <w:t>nucleic</w:t>
      </w:r>
      <w:r>
        <w:rPr>
          <w:spacing w:val="-3"/>
          <w:sz w:val="20"/>
          <w:vertAlign w:val="baseline"/>
        </w:rPr>
        <w:t> </w:t>
      </w:r>
      <w:r>
        <w:rPr>
          <w:sz w:val="20"/>
          <w:vertAlign w:val="baseline"/>
        </w:rPr>
        <w:t>acid</w:t>
      </w:r>
      <w:r>
        <w:rPr>
          <w:spacing w:val="-3"/>
          <w:sz w:val="20"/>
          <w:vertAlign w:val="baseline"/>
        </w:rPr>
        <w:t> </w:t>
      </w:r>
      <w:r>
        <w:rPr>
          <w:sz w:val="20"/>
          <w:vertAlign w:val="baseline"/>
        </w:rPr>
        <w:t>amplification</w:t>
      </w:r>
      <w:r>
        <w:rPr>
          <w:spacing w:val="-2"/>
          <w:sz w:val="20"/>
          <w:vertAlign w:val="baseline"/>
        </w:rPr>
        <w:t> </w:t>
      </w:r>
      <w:r>
        <w:rPr>
          <w:sz w:val="20"/>
          <w:vertAlign w:val="baseline"/>
        </w:rPr>
        <w:t>tests</w:t>
      </w:r>
      <w:r>
        <w:rPr>
          <w:spacing w:val="-4"/>
          <w:sz w:val="20"/>
          <w:vertAlign w:val="baseline"/>
        </w:rPr>
        <w:t> </w:t>
      </w:r>
      <w:r>
        <w:rPr>
          <w:sz w:val="20"/>
          <w:vertAlign w:val="baseline"/>
        </w:rPr>
        <w:t>are</w:t>
      </w:r>
      <w:r>
        <w:rPr>
          <w:spacing w:val="-3"/>
          <w:sz w:val="20"/>
          <w:vertAlign w:val="baseline"/>
        </w:rPr>
        <w:t> </w:t>
      </w:r>
      <w:r>
        <w:rPr>
          <w:sz w:val="20"/>
          <w:vertAlign w:val="baseline"/>
        </w:rPr>
        <w:t>considered</w:t>
      </w:r>
      <w:r>
        <w:rPr>
          <w:spacing w:val="-2"/>
          <w:sz w:val="20"/>
          <w:vertAlign w:val="baseline"/>
        </w:rPr>
        <w:t> </w:t>
      </w:r>
      <w:r>
        <w:rPr>
          <w:sz w:val="20"/>
          <w:vertAlign w:val="baseline"/>
        </w:rPr>
        <w:t>to</w:t>
      </w:r>
      <w:r>
        <w:rPr>
          <w:spacing w:val="-5"/>
          <w:sz w:val="20"/>
          <w:vertAlign w:val="baseline"/>
        </w:rPr>
        <w:t> </w:t>
      </w:r>
      <w:r>
        <w:rPr>
          <w:sz w:val="20"/>
          <w:vertAlign w:val="baseline"/>
        </w:rPr>
        <w:t>have</w:t>
      </w:r>
      <w:r>
        <w:rPr>
          <w:spacing w:val="-3"/>
          <w:sz w:val="20"/>
          <w:vertAlign w:val="baseline"/>
        </w:rPr>
        <w:t> </w:t>
      </w:r>
      <w:r>
        <w:rPr>
          <w:sz w:val="20"/>
          <w:vertAlign w:val="baseline"/>
        </w:rPr>
        <w:t>the</w:t>
      </w:r>
      <w:r>
        <w:rPr>
          <w:spacing w:val="-4"/>
          <w:sz w:val="20"/>
          <w:vertAlign w:val="baseline"/>
        </w:rPr>
        <w:t> </w:t>
      </w:r>
      <w:r>
        <w:rPr>
          <w:sz w:val="20"/>
          <w:vertAlign w:val="baseline"/>
        </w:rPr>
        <w:t>same</w:t>
      </w:r>
      <w:r>
        <w:rPr>
          <w:spacing w:val="-4"/>
          <w:sz w:val="20"/>
          <w:vertAlign w:val="baseline"/>
        </w:rPr>
        <w:t> </w:t>
      </w:r>
      <w:r>
        <w:rPr>
          <w:spacing w:val="-2"/>
          <w:sz w:val="20"/>
          <w:vertAlign w:val="baseline"/>
        </w:rPr>
        <w:t>technology.</w:t>
      </w:r>
    </w:p>
    <w:p>
      <w:pPr>
        <w:spacing w:after="0" w:line="230" w:lineRule="exact"/>
        <w:jc w:val="left"/>
        <w:rPr>
          <w:sz w:val="20"/>
        </w:rPr>
        <w:sectPr>
          <w:pgSz w:w="12240" w:h="15840"/>
          <w:pgMar w:header="731" w:footer="785" w:top="1360" w:bottom="980" w:left="1280" w:right="1200"/>
        </w:sectPr>
      </w:pPr>
    </w:p>
    <w:p>
      <w:pPr>
        <w:pStyle w:val="BodyText"/>
        <w:spacing w:before="80"/>
        <w:ind w:left="160" w:right="278"/>
      </w:pPr>
      <w:r>
        <w:rPr/>
        <w:t>has</w:t>
      </w:r>
      <w:r>
        <w:rPr>
          <w:spacing w:val="-3"/>
        </w:rPr>
        <w:t> </w:t>
      </w:r>
      <w:r>
        <w:rPr>
          <w:i/>
        </w:rPr>
        <w:t>not</w:t>
      </w:r>
      <w:r>
        <w:rPr>
          <w:i/>
          <w:spacing w:val="-3"/>
        </w:rPr>
        <w:t> </w:t>
      </w:r>
      <w:r>
        <w:rPr/>
        <w:t>been</w:t>
      </w:r>
      <w:r>
        <w:rPr>
          <w:spacing w:val="-5"/>
        </w:rPr>
        <w:t> </w:t>
      </w:r>
      <w:r>
        <w:rPr/>
        <w:t>previously</w:t>
      </w:r>
      <w:r>
        <w:rPr>
          <w:spacing w:val="-5"/>
        </w:rPr>
        <w:t> </w:t>
      </w:r>
      <w:r>
        <w:rPr/>
        <w:t>authorized</w:t>
      </w:r>
      <w:r>
        <w:rPr>
          <w:spacing w:val="-3"/>
        </w:rPr>
        <w:t> </w:t>
      </w:r>
      <w:r>
        <w:rPr/>
        <w:t>for</w:t>
      </w:r>
      <w:r>
        <w:rPr>
          <w:spacing w:val="-3"/>
        </w:rPr>
        <w:t> </w:t>
      </w:r>
      <w:r>
        <w:rPr/>
        <w:t>another</w:t>
      </w:r>
      <w:r>
        <w:rPr>
          <w:spacing w:val="-3"/>
        </w:rPr>
        <w:t> </w:t>
      </w:r>
      <w:r>
        <w:rPr/>
        <w:t>test</w:t>
      </w:r>
      <w:r>
        <w:rPr>
          <w:spacing w:val="-3"/>
        </w:rPr>
        <w:t> </w:t>
      </w:r>
      <w:r>
        <w:rPr/>
        <w:t>of</w:t>
      </w:r>
      <w:r>
        <w:rPr>
          <w:spacing w:val="-4"/>
        </w:rPr>
        <w:t> </w:t>
      </w:r>
      <w:r>
        <w:rPr/>
        <w:t>the</w:t>
      </w:r>
      <w:r>
        <w:rPr>
          <w:spacing w:val="-3"/>
        </w:rPr>
        <w:t> </w:t>
      </w:r>
      <w:r>
        <w:rPr/>
        <w:t>same</w:t>
      </w:r>
      <w:r>
        <w:rPr>
          <w:spacing w:val="-3"/>
        </w:rPr>
        <w:t> </w:t>
      </w:r>
      <w:r>
        <w:rPr/>
        <w:t>technology</w:t>
      </w:r>
      <w:r>
        <w:rPr>
          <w:spacing w:val="-2"/>
        </w:rPr>
        <w:t> </w:t>
      </w:r>
      <w:r>
        <w:rPr/>
        <w:t>must</w:t>
      </w:r>
      <w:r>
        <w:rPr>
          <w:spacing w:val="-3"/>
        </w:rPr>
        <w:t> </w:t>
      </w:r>
      <w:r>
        <w:rPr/>
        <w:t>be</w:t>
      </w:r>
      <w:r>
        <w:rPr>
          <w:spacing w:val="-3"/>
        </w:rPr>
        <w:t> </w:t>
      </w:r>
      <w:r>
        <w:rPr/>
        <w:t>authorized under a new or amended EUA prior to clinical use.</w:t>
      </w:r>
    </w:p>
    <w:p>
      <w:pPr>
        <w:pStyle w:val="BodyText"/>
        <w:spacing w:before="11"/>
        <w:rPr>
          <w:sz w:val="23"/>
        </w:rPr>
      </w:pPr>
    </w:p>
    <w:p>
      <w:pPr>
        <w:pStyle w:val="BodyText"/>
        <w:ind w:left="159" w:right="278"/>
      </w:pPr>
      <w:r>
        <w:rPr/>
        <w:t>For all other types of modifications, FDA does not intend to object to the use of a test, without notification to FDA or a new or amended EUA, where the test is a modification of an EUA- authorized test and the modified test is validated using a bridging study to the EUA-authorized test.</w:t>
      </w:r>
      <w:hyperlink w:history="true" w:anchor="_bookmark20">
        <w:r>
          <w:rPr>
            <w:vertAlign w:val="superscript"/>
          </w:rPr>
          <w:t>11</w:t>
        </w:r>
      </w:hyperlink>
      <w:r>
        <w:rPr>
          <w:vertAlign w:val="baseline"/>
        </w:rPr>
        <w:t> </w:t>
      </w:r>
      <w:r>
        <w:rPr>
          <w:color w:val="303030"/>
          <w:vertAlign w:val="baseline"/>
        </w:rPr>
        <w:t>One way to bridge to a new component is to establish equivalent performance between parallel testing of the same specimens with the new and original components. We recommend testing</w:t>
      </w:r>
      <w:r>
        <w:rPr>
          <w:color w:val="303030"/>
          <w:spacing w:val="-2"/>
          <w:vertAlign w:val="baseline"/>
        </w:rPr>
        <w:t> </w:t>
      </w:r>
      <w:r>
        <w:rPr>
          <w:color w:val="303030"/>
          <w:vertAlign w:val="baseline"/>
        </w:rPr>
        <w:t>3-fold</w:t>
      </w:r>
      <w:r>
        <w:rPr>
          <w:color w:val="303030"/>
          <w:spacing w:val="-2"/>
          <w:vertAlign w:val="baseline"/>
        </w:rPr>
        <w:t> </w:t>
      </w:r>
      <w:r>
        <w:rPr>
          <w:color w:val="303030"/>
          <w:vertAlign w:val="baseline"/>
        </w:rPr>
        <w:t>serial</w:t>
      </w:r>
      <w:r>
        <w:rPr>
          <w:color w:val="303030"/>
          <w:spacing w:val="-2"/>
          <w:vertAlign w:val="baseline"/>
        </w:rPr>
        <w:t> </w:t>
      </w:r>
      <w:r>
        <w:rPr>
          <w:color w:val="303030"/>
          <w:vertAlign w:val="baseline"/>
        </w:rPr>
        <w:t>dilutions</w:t>
      </w:r>
      <w:r>
        <w:rPr>
          <w:color w:val="303030"/>
          <w:spacing w:val="-2"/>
          <w:vertAlign w:val="baseline"/>
        </w:rPr>
        <w:t> </w:t>
      </w:r>
      <w:r>
        <w:rPr>
          <w:color w:val="303030"/>
          <w:vertAlign w:val="baseline"/>
        </w:rPr>
        <w:t>of</w:t>
      </w:r>
      <w:r>
        <w:rPr>
          <w:color w:val="303030"/>
          <w:spacing w:val="-3"/>
          <w:vertAlign w:val="baseline"/>
        </w:rPr>
        <w:t> </w:t>
      </w:r>
      <w:r>
        <w:rPr>
          <w:color w:val="303030"/>
          <w:vertAlign w:val="baseline"/>
        </w:rPr>
        <w:t>SARS-CoV-2</w:t>
      </w:r>
      <w:r>
        <w:rPr>
          <w:color w:val="303030"/>
          <w:spacing w:val="-2"/>
          <w:vertAlign w:val="baseline"/>
        </w:rPr>
        <w:t> </w:t>
      </w:r>
      <w:r>
        <w:rPr>
          <w:color w:val="303030"/>
          <w:vertAlign w:val="baseline"/>
        </w:rPr>
        <w:t>viral</w:t>
      </w:r>
      <w:r>
        <w:rPr>
          <w:color w:val="303030"/>
          <w:spacing w:val="-2"/>
          <w:vertAlign w:val="baseline"/>
        </w:rPr>
        <w:t> </w:t>
      </w:r>
      <w:r>
        <w:rPr>
          <w:color w:val="303030"/>
          <w:vertAlign w:val="baseline"/>
        </w:rPr>
        <w:t>materials</w:t>
      </w:r>
      <w:r>
        <w:rPr>
          <w:color w:val="303030"/>
          <w:spacing w:val="-3"/>
          <w:vertAlign w:val="baseline"/>
        </w:rPr>
        <w:t> </w:t>
      </w:r>
      <w:r>
        <w:rPr>
          <w:color w:val="303030"/>
          <w:vertAlign w:val="baseline"/>
        </w:rPr>
        <w:t>(e.g.,</w:t>
      </w:r>
      <w:r>
        <w:rPr>
          <w:color w:val="303030"/>
          <w:spacing w:val="-2"/>
          <w:vertAlign w:val="baseline"/>
        </w:rPr>
        <w:t> </w:t>
      </w:r>
      <w:r>
        <w:rPr>
          <w:color w:val="303030"/>
          <w:vertAlign w:val="baseline"/>
        </w:rPr>
        <w:t>whole</w:t>
      </w:r>
      <w:r>
        <w:rPr>
          <w:color w:val="303030"/>
          <w:spacing w:val="-3"/>
          <w:vertAlign w:val="baseline"/>
        </w:rPr>
        <w:t> </w:t>
      </w:r>
      <w:r>
        <w:rPr>
          <w:color w:val="303030"/>
          <w:vertAlign w:val="baseline"/>
        </w:rPr>
        <w:t>genomic</w:t>
      </w:r>
      <w:r>
        <w:rPr>
          <w:color w:val="303030"/>
          <w:spacing w:val="-2"/>
          <w:vertAlign w:val="baseline"/>
        </w:rPr>
        <w:t> </w:t>
      </w:r>
      <w:r>
        <w:rPr>
          <w:color w:val="303030"/>
          <w:vertAlign w:val="baseline"/>
        </w:rPr>
        <w:t>viral</w:t>
      </w:r>
      <w:r>
        <w:rPr>
          <w:color w:val="303030"/>
          <w:spacing w:val="-2"/>
          <w:vertAlign w:val="baseline"/>
        </w:rPr>
        <w:t> </w:t>
      </w:r>
      <w:r>
        <w:rPr>
          <w:color w:val="303030"/>
          <w:vertAlign w:val="baseline"/>
        </w:rPr>
        <w:t>RNA</w:t>
      </w:r>
      <w:r>
        <w:rPr>
          <w:color w:val="303030"/>
          <w:spacing w:val="-3"/>
          <w:vertAlign w:val="baseline"/>
        </w:rPr>
        <w:t> </w:t>
      </w:r>
      <w:r>
        <w:rPr>
          <w:color w:val="303030"/>
          <w:vertAlign w:val="baseline"/>
        </w:rPr>
        <w:t>or inactivated virus, etc.) in a pooled respiratory sample matrix in triplicate until you achieve a hit rate of &lt;100%.</w:t>
      </w:r>
      <w:r>
        <w:rPr>
          <w:color w:val="303030"/>
          <w:spacing w:val="40"/>
          <w:vertAlign w:val="baseline"/>
        </w:rPr>
        <w:t> </w:t>
      </w:r>
      <w:r>
        <w:rPr>
          <w:color w:val="303030"/>
          <w:vertAlign w:val="baseline"/>
        </w:rPr>
        <w:t>If the resultant Limit of Detection (LoD) is the same as the LoD for the unmodified</w:t>
      </w:r>
      <w:r>
        <w:rPr>
          <w:color w:val="303030"/>
          <w:spacing w:val="-3"/>
          <w:vertAlign w:val="baseline"/>
        </w:rPr>
        <w:t> </w:t>
      </w:r>
      <w:r>
        <w:rPr>
          <w:color w:val="303030"/>
          <w:vertAlign w:val="baseline"/>
        </w:rPr>
        <w:t>authorized</w:t>
      </w:r>
      <w:r>
        <w:rPr>
          <w:color w:val="303030"/>
          <w:spacing w:val="-3"/>
          <w:vertAlign w:val="baseline"/>
        </w:rPr>
        <w:t> </w:t>
      </w:r>
      <w:r>
        <w:rPr>
          <w:color w:val="303030"/>
          <w:vertAlign w:val="baseline"/>
        </w:rPr>
        <w:t>test</w:t>
      </w:r>
      <w:r>
        <w:rPr>
          <w:color w:val="303030"/>
          <w:spacing w:val="-3"/>
          <w:vertAlign w:val="baseline"/>
        </w:rPr>
        <w:t> </w:t>
      </w:r>
      <w:r>
        <w:rPr>
          <w:color w:val="303030"/>
          <w:vertAlign w:val="baseline"/>
        </w:rPr>
        <w:t>(i.e.,</w:t>
      </w:r>
      <w:r>
        <w:rPr>
          <w:color w:val="303030"/>
          <w:spacing w:val="-3"/>
          <w:vertAlign w:val="baseline"/>
        </w:rPr>
        <w:t> </w:t>
      </w:r>
      <w:r>
        <w:rPr>
          <w:color w:val="303030"/>
          <w:vertAlign w:val="baseline"/>
        </w:rPr>
        <w:t>≤3xLOD),</w:t>
      </w:r>
      <w:r>
        <w:rPr>
          <w:color w:val="303030"/>
          <w:spacing w:val="-3"/>
          <w:vertAlign w:val="baseline"/>
        </w:rPr>
        <w:t> </w:t>
      </w:r>
      <w:r>
        <w:rPr>
          <w:color w:val="303030"/>
          <w:vertAlign w:val="baseline"/>
        </w:rPr>
        <w:t>then</w:t>
      </w:r>
      <w:r>
        <w:rPr>
          <w:color w:val="303030"/>
          <w:spacing w:val="-3"/>
          <w:vertAlign w:val="baseline"/>
        </w:rPr>
        <w:t> </w:t>
      </w:r>
      <w:r>
        <w:rPr>
          <w:color w:val="303030"/>
          <w:vertAlign w:val="baseline"/>
        </w:rPr>
        <w:t>FDA</w:t>
      </w:r>
      <w:r>
        <w:rPr>
          <w:color w:val="303030"/>
          <w:spacing w:val="-4"/>
          <w:vertAlign w:val="baseline"/>
        </w:rPr>
        <w:t> </w:t>
      </w:r>
      <w:r>
        <w:rPr>
          <w:color w:val="303030"/>
          <w:vertAlign w:val="baseline"/>
        </w:rPr>
        <w:t>believes</w:t>
      </w:r>
      <w:r>
        <w:rPr>
          <w:color w:val="303030"/>
          <w:spacing w:val="-3"/>
          <w:vertAlign w:val="baseline"/>
        </w:rPr>
        <w:t> </w:t>
      </w:r>
      <w:r>
        <w:rPr>
          <w:color w:val="303030"/>
          <w:vertAlign w:val="baseline"/>
        </w:rPr>
        <w:t>the</w:t>
      </w:r>
      <w:r>
        <w:rPr>
          <w:color w:val="303030"/>
          <w:spacing w:val="-4"/>
          <w:vertAlign w:val="baseline"/>
        </w:rPr>
        <w:t> </w:t>
      </w:r>
      <w:r>
        <w:rPr>
          <w:color w:val="303030"/>
          <w:vertAlign w:val="baseline"/>
        </w:rPr>
        <w:t>two</w:t>
      </w:r>
      <w:r>
        <w:rPr>
          <w:color w:val="303030"/>
          <w:spacing w:val="-3"/>
          <w:vertAlign w:val="baseline"/>
        </w:rPr>
        <w:t> </w:t>
      </w:r>
      <w:r>
        <w:rPr>
          <w:color w:val="303030"/>
          <w:vertAlign w:val="baseline"/>
        </w:rPr>
        <w:t>tests</w:t>
      </w:r>
      <w:r>
        <w:rPr>
          <w:color w:val="303030"/>
          <w:spacing w:val="-3"/>
          <w:vertAlign w:val="baseline"/>
        </w:rPr>
        <w:t> </w:t>
      </w:r>
      <w:r>
        <w:rPr>
          <w:color w:val="303030"/>
          <w:vertAlign w:val="baseline"/>
        </w:rPr>
        <w:t>can</w:t>
      </w:r>
      <w:r>
        <w:rPr>
          <w:color w:val="303030"/>
          <w:spacing w:val="-3"/>
          <w:vertAlign w:val="baseline"/>
        </w:rPr>
        <w:t> </w:t>
      </w:r>
      <w:r>
        <w:rPr>
          <w:color w:val="303030"/>
          <w:vertAlign w:val="baseline"/>
        </w:rPr>
        <w:t>be</w:t>
      </w:r>
      <w:r>
        <w:rPr>
          <w:color w:val="303030"/>
          <w:spacing w:val="-4"/>
          <w:vertAlign w:val="baseline"/>
        </w:rPr>
        <w:t> </w:t>
      </w:r>
      <w:r>
        <w:rPr>
          <w:color w:val="303030"/>
          <w:vertAlign w:val="baseline"/>
        </w:rPr>
        <w:t>considered</w:t>
      </w:r>
      <w:r>
        <w:rPr>
          <w:color w:val="303030"/>
          <w:spacing w:val="-5"/>
          <w:vertAlign w:val="baseline"/>
        </w:rPr>
        <w:t> </w:t>
      </w:r>
      <w:r>
        <w:rPr>
          <w:color w:val="303030"/>
          <w:vertAlign w:val="baseline"/>
        </w:rPr>
        <w:t>to have equivalent performance.</w:t>
      </w:r>
    </w:p>
    <w:p>
      <w:pPr>
        <w:pStyle w:val="BodyText"/>
      </w:pPr>
    </w:p>
    <w:p>
      <w:pPr>
        <w:pStyle w:val="BodyText"/>
        <w:ind w:left="160" w:right="241"/>
      </w:pPr>
      <w:r>
        <w:rPr>
          <w:color w:val="303030"/>
        </w:rPr>
        <w:t>When </w:t>
      </w:r>
      <w:r>
        <w:rPr/>
        <w:t>validating through a bridging study and not pursuing an EUA amendment for the modification,</w:t>
      </w:r>
      <w:r>
        <w:rPr>
          <w:spacing w:val="-3"/>
        </w:rPr>
        <w:t> </w:t>
      </w:r>
      <w:r>
        <w:rPr/>
        <w:t>FDA</w:t>
      </w:r>
      <w:r>
        <w:rPr>
          <w:spacing w:val="-3"/>
        </w:rPr>
        <w:t> </w:t>
      </w:r>
      <w:r>
        <w:rPr/>
        <w:t>would</w:t>
      </w:r>
      <w:r>
        <w:rPr>
          <w:spacing w:val="-3"/>
        </w:rPr>
        <w:t> </w:t>
      </w:r>
      <w:r>
        <w:rPr/>
        <w:t>like</w:t>
      </w:r>
      <w:r>
        <w:rPr>
          <w:spacing w:val="-4"/>
        </w:rPr>
        <w:t> </w:t>
      </w:r>
      <w:r>
        <w:rPr/>
        <w:t>to</w:t>
      </w:r>
      <w:r>
        <w:rPr>
          <w:spacing w:val="-3"/>
        </w:rPr>
        <w:t> </w:t>
      </w:r>
      <w:r>
        <w:rPr/>
        <w:t>see</w:t>
      </w:r>
      <w:r>
        <w:rPr>
          <w:spacing w:val="-4"/>
        </w:rPr>
        <w:t> </w:t>
      </w:r>
      <w:r>
        <w:rPr/>
        <w:t>the</w:t>
      </w:r>
      <w:r>
        <w:rPr>
          <w:spacing w:val="-3"/>
        </w:rPr>
        <w:t> </w:t>
      </w:r>
      <w:r>
        <w:rPr/>
        <w:t>laboratory’s</w:t>
      </w:r>
      <w:r>
        <w:rPr>
          <w:spacing w:val="-3"/>
        </w:rPr>
        <w:t> </w:t>
      </w:r>
      <w:r>
        <w:rPr/>
        <w:t>validation</w:t>
      </w:r>
      <w:r>
        <w:rPr>
          <w:spacing w:val="-3"/>
        </w:rPr>
        <w:t> </w:t>
      </w:r>
      <w:r>
        <w:rPr/>
        <w:t>data</w:t>
      </w:r>
      <w:r>
        <w:rPr>
          <w:spacing w:val="-3"/>
        </w:rPr>
        <w:t> </w:t>
      </w:r>
      <w:r>
        <w:rPr/>
        <w:t>informally</w:t>
      </w:r>
      <w:r>
        <w:rPr>
          <w:spacing w:val="-3"/>
        </w:rPr>
        <w:t> </w:t>
      </w:r>
      <w:r>
        <w:rPr/>
        <w:t>through</w:t>
      </w:r>
      <w:r>
        <w:rPr>
          <w:spacing w:val="-3"/>
        </w:rPr>
        <w:t> </w:t>
      </w:r>
      <w:r>
        <w:rPr/>
        <w:t>an</w:t>
      </w:r>
      <w:r>
        <w:rPr>
          <w:spacing w:val="-3"/>
        </w:rPr>
        <w:t> </w:t>
      </w:r>
      <w:r>
        <w:rPr/>
        <w:t>email to </w:t>
      </w:r>
      <w:hyperlink r:id="rId18">
        <w:r>
          <w:rPr>
            <w:color w:val="0000FF"/>
            <w:u w:val="single" w:color="0000FF"/>
          </w:rPr>
          <w:t>CDRH-EUA-Templates@FDA.HHS.GOV</w:t>
        </w:r>
        <w:r>
          <w:rPr/>
          <w:t>.</w:t>
        </w:r>
      </w:hyperlink>
      <w:r>
        <w:rPr/>
        <w:t> If FDA’s review of the bridged validation data indicates that it could be applicable to modifications of other tests with an EUA, or to other laboratories modifying the same authorized test, and the laboratory agrees to FDA sharing that information on our website for use by other laboratories, FDA intends to update our FAQs so other laboratories can refer to the validation for their testing, without conducting their own bridging study for the same modification. This informal sharing of data would not be considered to be a notification, as discussed above, or an EUA request.</w:t>
      </w:r>
    </w:p>
    <w:p>
      <w:pPr>
        <w:pStyle w:val="BodyText"/>
        <w:spacing w:before="5"/>
        <w:rPr>
          <w:sz w:val="34"/>
        </w:rPr>
      </w:pPr>
    </w:p>
    <w:p>
      <w:pPr>
        <w:pStyle w:val="Heading2"/>
        <w:numPr>
          <w:ilvl w:val="2"/>
          <w:numId w:val="6"/>
        </w:numPr>
        <w:tabs>
          <w:tab w:pos="2319" w:val="left" w:leader="none"/>
        </w:tabs>
        <w:spacing w:line="240" w:lineRule="auto" w:before="0" w:after="0"/>
        <w:ind w:left="2319" w:right="0" w:hanging="719"/>
        <w:jc w:val="left"/>
      </w:pPr>
      <w:bookmarkStart w:name="5. Clinical Testing" w:id="27"/>
      <w:bookmarkEnd w:id="27"/>
      <w:r>
        <w:rPr>
          <w:b w:val="0"/>
        </w:rPr>
      </w:r>
      <w:bookmarkStart w:name="_bookmark18" w:id="28"/>
      <w:bookmarkEnd w:id="28"/>
      <w:r>
        <w:rPr>
          <w:b w:val="0"/>
        </w:rPr>
      </w:r>
      <w:r>
        <w:rPr/>
        <w:t>Clinical</w:t>
      </w:r>
      <w:r>
        <w:rPr>
          <w:spacing w:val="-12"/>
        </w:rPr>
        <w:t> </w:t>
      </w:r>
      <w:r>
        <w:rPr>
          <w:spacing w:val="-2"/>
        </w:rPr>
        <w:t>Testing</w:t>
      </w:r>
    </w:p>
    <w:p>
      <w:pPr>
        <w:pStyle w:val="BodyText"/>
        <w:spacing w:before="120"/>
        <w:ind w:left="160" w:right="303"/>
      </w:pPr>
      <w:r>
        <w:rPr/>
        <w:t>While awaiting an FDA determination on the EUA request, FDA recommends that clinical laboratories obtain confirmation of the first five positive and the first five negative clinical specimens using an EUA-authorized assay. This testing may be performed within the same laboratory using an EUA-authorized assay or may involve sending these ten specimens to another</w:t>
      </w:r>
      <w:r>
        <w:rPr>
          <w:spacing w:val="-4"/>
        </w:rPr>
        <w:t> </w:t>
      </w:r>
      <w:r>
        <w:rPr/>
        <w:t>laboratory</w:t>
      </w:r>
      <w:r>
        <w:rPr>
          <w:spacing w:val="-3"/>
        </w:rPr>
        <w:t> </w:t>
      </w:r>
      <w:r>
        <w:rPr/>
        <w:t>for</w:t>
      </w:r>
      <w:r>
        <w:rPr>
          <w:spacing w:val="-4"/>
        </w:rPr>
        <w:t> </w:t>
      </w:r>
      <w:r>
        <w:rPr/>
        <w:t>confirmation.</w:t>
      </w:r>
      <w:r>
        <w:rPr>
          <w:spacing w:val="-3"/>
        </w:rPr>
        <w:t> </w:t>
      </w:r>
      <w:r>
        <w:rPr/>
        <w:t>If</w:t>
      </w:r>
      <w:r>
        <w:rPr>
          <w:spacing w:val="-4"/>
        </w:rPr>
        <w:t> </w:t>
      </w:r>
      <w:r>
        <w:rPr/>
        <w:t>any</w:t>
      </w:r>
      <w:r>
        <w:rPr>
          <w:spacing w:val="-3"/>
        </w:rPr>
        <w:t> </w:t>
      </w:r>
      <w:r>
        <w:rPr/>
        <w:t>of</w:t>
      </w:r>
      <w:r>
        <w:rPr>
          <w:spacing w:val="-4"/>
        </w:rPr>
        <w:t> </w:t>
      </w:r>
      <w:r>
        <w:rPr/>
        <w:t>these</w:t>
      </w:r>
      <w:r>
        <w:rPr>
          <w:spacing w:val="-3"/>
        </w:rPr>
        <w:t> </w:t>
      </w:r>
      <w:r>
        <w:rPr/>
        <w:t>results</w:t>
      </w:r>
      <w:r>
        <w:rPr>
          <w:spacing w:val="-3"/>
        </w:rPr>
        <w:t> </w:t>
      </w:r>
      <w:r>
        <w:rPr/>
        <w:t>cannot</w:t>
      </w:r>
      <w:r>
        <w:rPr>
          <w:spacing w:val="-3"/>
        </w:rPr>
        <w:t> </w:t>
      </w:r>
      <w:r>
        <w:rPr/>
        <w:t>be</w:t>
      </w:r>
      <w:r>
        <w:rPr>
          <w:spacing w:val="-3"/>
        </w:rPr>
        <w:t> </w:t>
      </w:r>
      <w:r>
        <w:rPr/>
        <w:t>confirmed,</w:t>
      </w:r>
      <w:r>
        <w:rPr>
          <w:spacing w:val="-3"/>
        </w:rPr>
        <w:t> </w:t>
      </w:r>
      <w:r>
        <w:rPr/>
        <w:t>the</w:t>
      </w:r>
      <w:r>
        <w:rPr>
          <w:spacing w:val="-3"/>
        </w:rPr>
        <w:t> </w:t>
      </w:r>
      <w:r>
        <w:rPr/>
        <w:t>laboratory should notify FDA at </w:t>
      </w:r>
      <w:hyperlink r:id="rId18">
        <w:r>
          <w:rPr>
            <w:color w:val="0000FF"/>
            <w:u w:val="single" w:color="0000FF"/>
          </w:rPr>
          <w:t>CDRH-EUA-Templates@FDA.HHS.GOV</w:t>
        </w:r>
        <w:r>
          <w:rPr/>
          <w:t>,</w:t>
        </w:r>
      </w:hyperlink>
      <w:r>
        <w:rPr/>
        <w:t> and take other appropriate actions such as terminating testing patient specimens, and issuing corrected test reports indicating prior test results may not be accurate.</w:t>
      </w:r>
    </w:p>
    <w:p>
      <w:pPr>
        <w:pStyle w:val="BodyText"/>
        <w:spacing w:before="5"/>
        <w:rPr>
          <w:sz w:val="34"/>
        </w:rPr>
      </w:pPr>
    </w:p>
    <w:p>
      <w:pPr>
        <w:pStyle w:val="Heading2"/>
        <w:numPr>
          <w:ilvl w:val="1"/>
          <w:numId w:val="6"/>
        </w:numPr>
        <w:tabs>
          <w:tab w:pos="1600" w:val="left" w:leader="none"/>
        </w:tabs>
        <w:spacing w:line="240" w:lineRule="auto" w:before="0" w:after="0"/>
        <w:ind w:left="880" w:right="1075" w:firstLine="0"/>
        <w:jc w:val="left"/>
      </w:pPr>
      <w:bookmarkStart w:name="B. State Authorization of Laboratories C" w:id="29"/>
      <w:bookmarkEnd w:id="29"/>
      <w:r>
        <w:rPr>
          <w:b w:val="0"/>
        </w:rPr>
      </w:r>
      <w:bookmarkStart w:name="_bookmark19" w:id="30"/>
      <w:bookmarkEnd w:id="30"/>
      <w:r>
        <w:rPr>
          <w:b w:val="0"/>
        </w:rPr>
      </w:r>
      <w:r>
        <w:rPr/>
        <w:t>State</w:t>
      </w:r>
      <w:r>
        <w:rPr>
          <w:spacing w:val="-20"/>
        </w:rPr>
        <w:t> </w:t>
      </w:r>
      <w:r>
        <w:rPr/>
        <w:t>Authorization</w:t>
      </w:r>
      <w:r>
        <w:rPr>
          <w:spacing w:val="-13"/>
        </w:rPr>
        <w:t> </w:t>
      </w:r>
      <w:r>
        <w:rPr/>
        <w:t>of</w:t>
      </w:r>
      <w:r>
        <w:rPr>
          <w:spacing w:val="-8"/>
        </w:rPr>
        <w:t> </w:t>
      </w:r>
      <w:r>
        <w:rPr/>
        <w:t>Laboratories</w:t>
      </w:r>
      <w:r>
        <w:rPr>
          <w:spacing w:val="-9"/>
        </w:rPr>
        <w:t> </w:t>
      </w:r>
      <w:r>
        <w:rPr/>
        <w:t>Certified</w:t>
      </w:r>
      <w:r>
        <w:rPr>
          <w:spacing w:val="-8"/>
        </w:rPr>
        <w:t> </w:t>
      </w:r>
      <w:r>
        <w:rPr/>
        <w:t>under CLIA</w:t>
      </w:r>
      <w:r>
        <w:rPr>
          <w:spacing w:val="-2"/>
        </w:rPr>
        <w:t> </w:t>
      </w:r>
      <w:r>
        <w:rPr/>
        <w:t>that Meet the CLIA</w:t>
      </w:r>
      <w:r>
        <w:rPr>
          <w:spacing w:val="-3"/>
        </w:rPr>
        <w:t> </w:t>
      </w:r>
      <w:r>
        <w:rPr/>
        <w:t>Regulatory Requirements to Perform High-Complexity Testing</w:t>
      </w:r>
    </w:p>
    <w:p>
      <w:pPr>
        <w:pStyle w:val="BodyText"/>
        <w:spacing w:before="120"/>
        <w:ind w:left="160" w:right="287"/>
      </w:pPr>
      <w:r>
        <w:rPr/>
        <w:t>On March 12, 2020, FDA issued enforcement discretion and stated that it was not objecting to the</w:t>
      </w:r>
      <w:r>
        <w:rPr>
          <w:spacing w:val="-1"/>
        </w:rPr>
        <w:t> </w:t>
      </w:r>
      <w:r>
        <w:rPr/>
        <w:t>Wadsworth</w:t>
      </w:r>
      <w:r>
        <w:rPr>
          <w:spacing w:val="-1"/>
        </w:rPr>
        <w:t> </w:t>
      </w:r>
      <w:r>
        <w:rPr/>
        <w:t>Center</w:t>
      </w:r>
      <w:r>
        <w:rPr>
          <w:spacing w:val="-1"/>
        </w:rPr>
        <w:t> </w:t>
      </w:r>
      <w:r>
        <w:rPr/>
        <w:t>authorizing</w:t>
      </w:r>
      <w:r>
        <w:rPr>
          <w:spacing w:val="-1"/>
        </w:rPr>
        <w:t> </w:t>
      </w:r>
      <w:r>
        <w:rPr/>
        <w:t>certain</w:t>
      </w:r>
      <w:r>
        <w:rPr>
          <w:spacing w:val="-1"/>
        </w:rPr>
        <w:t> </w:t>
      </w:r>
      <w:r>
        <w:rPr/>
        <w:t>laboratories</w:t>
      </w:r>
      <w:r>
        <w:rPr>
          <w:spacing w:val="-1"/>
        </w:rPr>
        <w:t> </w:t>
      </w:r>
      <w:r>
        <w:rPr/>
        <w:t>in</w:t>
      </w:r>
      <w:r>
        <w:rPr>
          <w:spacing w:val="-2"/>
        </w:rPr>
        <w:t> </w:t>
      </w:r>
      <w:r>
        <w:rPr/>
        <w:t>the</w:t>
      </w:r>
      <w:r>
        <w:rPr>
          <w:spacing w:val="-2"/>
        </w:rPr>
        <w:t> </w:t>
      </w:r>
      <w:r>
        <w:rPr/>
        <w:t>State</w:t>
      </w:r>
      <w:r>
        <w:rPr>
          <w:spacing w:val="-1"/>
        </w:rPr>
        <w:t> </w:t>
      </w:r>
      <w:r>
        <w:rPr/>
        <w:t>of</w:t>
      </w:r>
      <w:r>
        <w:rPr>
          <w:spacing w:val="-2"/>
        </w:rPr>
        <w:t> </w:t>
      </w:r>
      <w:r>
        <w:rPr/>
        <w:t>New</w:t>
      </w:r>
      <w:r>
        <w:rPr>
          <w:spacing w:val="-2"/>
        </w:rPr>
        <w:t> </w:t>
      </w:r>
      <w:r>
        <w:rPr/>
        <w:t>York</w:t>
      </w:r>
      <w:r>
        <w:rPr>
          <w:spacing w:val="-1"/>
        </w:rPr>
        <w:t> </w:t>
      </w:r>
      <w:r>
        <w:rPr/>
        <w:t>to</w:t>
      </w:r>
      <w:r>
        <w:rPr>
          <w:spacing w:val="-1"/>
        </w:rPr>
        <w:t> </w:t>
      </w:r>
      <w:r>
        <w:rPr/>
        <w:t>begin</w:t>
      </w:r>
      <w:r>
        <w:rPr>
          <w:spacing w:val="-1"/>
        </w:rPr>
        <w:t> </w:t>
      </w:r>
      <w:r>
        <w:rPr/>
        <w:t>patient testing</w:t>
      </w:r>
      <w:r>
        <w:rPr>
          <w:spacing w:val="-4"/>
        </w:rPr>
        <w:t> </w:t>
      </w:r>
      <w:r>
        <w:rPr/>
        <w:t>under</w:t>
      </w:r>
      <w:r>
        <w:rPr>
          <w:spacing w:val="-3"/>
        </w:rPr>
        <w:t> </w:t>
      </w:r>
      <w:r>
        <w:rPr/>
        <w:t>certain</w:t>
      </w:r>
      <w:r>
        <w:rPr>
          <w:spacing w:val="-5"/>
        </w:rPr>
        <w:t> </w:t>
      </w:r>
      <w:r>
        <w:rPr/>
        <w:t>circumstances</w:t>
      </w:r>
      <w:r>
        <w:rPr>
          <w:spacing w:val="-3"/>
        </w:rPr>
        <w:t> </w:t>
      </w:r>
      <w:r>
        <w:rPr/>
        <w:t>to</w:t>
      </w:r>
      <w:r>
        <w:rPr>
          <w:spacing w:val="-3"/>
        </w:rPr>
        <w:t> </w:t>
      </w:r>
      <w:r>
        <w:rPr/>
        <w:t>increase</w:t>
      </w:r>
      <w:r>
        <w:rPr>
          <w:spacing w:val="-3"/>
        </w:rPr>
        <w:t> </w:t>
      </w:r>
      <w:r>
        <w:rPr/>
        <w:t>availability</w:t>
      </w:r>
      <w:r>
        <w:rPr>
          <w:spacing w:val="-3"/>
        </w:rPr>
        <w:t> </w:t>
      </w:r>
      <w:r>
        <w:rPr/>
        <w:t>of</w:t>
      </w:r>
      <w:r>
        <w:rPr>
          <w:spacing w:val="-4"/>
        </w:rPr>
        <w:t> </w:t>
      </w:r>
      <w:r>
        <w:rPr/>
        <w:t>COVID-19</w:t>
      </w:r>
      <w:r>
        <w:rPr>
          <w:spacing w:val="-3"/>
        </w:rPr>
        <w:t> </w:t>
      </w:r>
      <w:r>
        <w:rPr/>
        <w:t>testing</w:t>
      </w:r>
      <w:r>
        <w:rPr>
          <w:spacing w:val="-3"/>
        </w:rPr>
        <w:t> </w:t>
      </w:r>
      <w:r>
        <w:rPr/>
        <w:t>in</w:t>
      </w:r>
      <w:r>
        <w:rPr>
          <w:spacing w:val="-5"/>
        </w:rPr>
        <w:t> </w:t>
      </w:r>
      <w:r>
        <w:rPr/>
        <w:t>response</w:t>
      </w:r>
      <w:r>
        <w:rPr>
          <w:spacing w:val="-3"/>
        </w:rPr>
        <w:t> </w:t>
      </w:r>
      <w:r>
        <w:rPr/>
        <w:t>to</w:t>
      </w:r>
      <w:r>
        <w:rPr>
          <w:spacing w:val="-3"/>
        </w:rPr>
        <w:t> </w:t>
      </w:r>
      <w:r>
        <w:rPr/>
        <w:t>a request from the Wadsworth Center of the New York State Department of Health (Wadsworth).</w:t>
      </w:r>
    </w:p>
    <w:p>
      <w:pPr>
        <w:pStyle w:val="BodyText"/>
        <w:spacing w:before="3"/>
        <w:rPr>
          <w:sz w:val="17"/>
        </w:rPr>
      </w:pPr>
      <w:r>
        <w:rPr/>
        <mc:AlternateContent>
          <mc:Choice Requires="wps">
            <w:drawing>
              <wp:anchor distT="0" distB="0" distL="0" distR="0" allowOverlap="1" layoutInCell="1" locked="0" behindDoc="1" simplePos="0" relativeHeight="487591424">
                <wp:simplePos x="0" y="0"/>
                <wp:positionH relativeFrom="page">
                  <wp:posOffset>914400</wp:posOffset>
                </wp:positionH>
                <wp:positionV relativeFrom="paragraph">
                  <wp:posOffset>141844</wp:posOffset>
                </wp:positionV>
                <wp:extent cx="1828800" cy="762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1828800" cy="7620"/>
                        </a:xfrm>
                        <a:custGeom>
                          <a:avLst/>
                          <a:gdLst/>
                          <a:ahLst/>
                          <a:cxnLst/>
                          <a:rect l="l" t="t" r="r" b="b"/>
                          <a:pathLst>
                            <a:path w="1828800" h="7620">
                              <a:moveTo>
                                <a:pt x="1828800" y="0"/>
                              </a:moveTo>
                              <a:lnTo>
                                <a:pt x="0" y="0"/>
                              </a:lnTo>
                              <a:lnTo>
                                <a:pt x="0" y="7619"/>
                              </a:lnTo>
                              <a:lnTo>
                                <a:pt x="1828800" y="7619"/>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11.168897pt;width:144pt;height:.6pt;mso-position-horizontal-relative:page;mso-position-vertical-relative:paragraph;z-index:-15725056;mso-wrap-distance-left:0;mso-wrap-distance-right:0" id="docshape12" filled="true" fillcolor="#000000" stroked="false">
                <v:fill type="solid"/>
                <w10:wrap type="topAndBottom"/>
              </v:rect>
            </w:pict>
          </mc:Fallback>
        </mc:AlternateContent>
      </w:r>
    </w:p>
    <w:p>
      <w:pPr>
        <w:spacing w:before="101"/>
        <w:ind w:left="159" w:right="241" w:firstLine="0"/>
        <w:jc w:val="left"/>
        <w:rPr>
          <w:sz w:val="20"/>
        </w:rPr>
      </w:pPr>
      <w:bookmarkStart w:name="_bookmark20" w:id="31"/>
      <w:bookmarkEnd w:id="31"/>
      <w:r>
        <w:rPr/>
      </w:r>
      <w:r>
        <w:rPr>
          <w:sz w:val="20"/>
          <w:vertAlign w:val="superscript"/>
        </w:rPr>
        <w:t>11</w:t>
      </w:r>
      <w:r>
        <w:rPr>
          <w:spacing w:val="-2"/>
          <w:sz w:val="20"/>
          <w:vertAlign w:val="baseline"/>
        </w:rPr>
        <w:t> </w:t>
      </w:r>
      <w:r>
        <w:rPr>
          <w:sz w:val="20"/>
          <w:vertAlign w:val="baseline"/>
        </w:rPr>
        <w:t>This</w:t>
      </w:r>
      <w:r>
        <w:rPr>
          <w:spacing w:val="-3"/>
          <w:sz w:val="20"/>
          <w:vertAlign w:val="baseline"/>
        </w:rPr>
        <w:t> </w:t>
      </w:r>
      <w:r>
        <w:rPr>
          <w:sz w:val="20"/>
          <w:vertAlign w:val="baseline"/>
        </w:rPr>
        <w:t>policy</w:t>
      </w:r>
      <w:r>
        <w:rPr>
          <w:spacing w:val="-3"/>
          <w:sz w:val="20"/>
          <w:vertAlign w:val="baseline"/>
        </w:rPr>
        <w:t> </w:t>
      </w:r>
      <w:r>
        <w:rPr>
          <w:sz w:val="20"/>
          <w:vertAlign w:val="baseline"/>
        </w:rPr>
        <w:t>applies</w:t>
      </w:r>
      <w:r>
        <w:rPr>
          <w:spacing w:val="-2"/>
          <w:sz w:val="20"/>
          <w:vertAlign w:val="baseline"/>
        </w:rPr>
        <w:t> </w:t>
      </w:r>
      <w:r>
        <w:rPr>
          <w:sz w:val="20"/>
          <w:vertAlign w:val="baseline"/>
        </w:rPr>
        <w:t>to</w:t>
      </w:r>
      <w:r>
        <w:rPr>
          <w:spacing w:val="-1"/>
          <w:sz w:val="20"/>
          <w:vertAlign w:val="baseline"/>
        </w:rPr>
        <w:t> </w:t>
      </w:r>
      <w:r>
        <w:rPr>
          <w:sz w:val="20"/>
          <w:vertAlign w:val="baseline"/>
        </w:rPr>
        <w:t>modifications</w:t>
      </w:r>
      <w:r>
        <w:rPr>
          <w:spacing w:val="-2"/>
          <w:sz w:val="20"/>
          <w:vertAlign w:val="baseline"/>
        </w:rPr>
        <w:t> </w:t>
      </w:r>
      <w:r>
        <w:rPr>
          <w:sz w:val="20"/>
          <w:vertAlign w:val="baseline"/>
        </w:rPr>
        <w:t>to</w:t>
      </w:r>
      <w:r>
        <w:rPr>
          <w:spacing w:val="-1"/>
          <w:sz w:val="20"/>
          <w:vertAlign w:val="baseline"/>
        </w:rPr>
        <w:t> </w:t>
      </w:r>
      <w:r>
        <w:rPr>
          <w:sz w:val="20"/>
          <w:vertAlign w:val="baseline"/>
        </w:rPr>
        <w:t>any</w:t>
      </w:r>
      <w:r>
        <w:rPr>
          <w:spacing w:val="-4"/>
          <w:sz w:val="20"/>
          <w:vertAlign w:val="baseline"/>
        </w:rPr>
        <w:t> </w:t>
      </w:r>
      <w:r>
        <w:rPr>
          <w:sz w:val="20"/>
          <w:vertAlign w:val="baseline"/>
        </w:rPr>
        <w:t>EUA-authorized</w:t>
      </w:r>
      <w:r>
        <w:rPr>
          <w:spacing w:val="-1"/>
          <w:sz w:val="20"/>
          <w:vertAlign w:val="baseline"/>
        </w:rPr>
        <w:t> </w:t>
      </w:r>
      <w:r>
        <w:rPr>
          <w:sz w:val="20"/>
          <w:vertAlign w:val="baseline"/>
        </w:rPr>
        <w:t>test,</w:t>
      </w:r>
      <w:r>
        <w:rPr>
          <w:spacing w:val="-2"/>
          <w:sz w:val="20"/>
          <w:vertAlign w:val="baseline"/>
        </w:rPr>
        <w:t> </w:t>
      </w:r>
      <w:r>
        <w:rPr>
          <w:sz w:val="20"/>
          <w:vertAlign w:val="baseline"/>
        </w:rPr>
        <w:t>including</w:t>
      </w:r>
      <w:r>
        <w:rPr>
          <w:spacing w:val="-1"/>
          <w:sz w:val="20"/>
          <w:vertAlign w:val="baseline"/>
        </w:rPr>
        <w:t> </w:t>
      </w:r>
      <w:r>
        <w:rPr>
          <w:sz w:val="20"/>
          <w:vertAlign w:val="baseline"/>
        </w:rPr>
        <w:t>a</w:t>
      </w:r>
      <w:r>
        <w:rPr>
          <w:spacing w:val="-2"/>
          <w:sz w:val="20"/>
          <w:vertAlign w:val="baseline"/>
        </w:rPr>
        <w:t> </w:t>
      </w:r>
      <w:r>
        <w:rPr>
          <w:sz w:val="20"/>
          <w:vertAlign w:val="baseline"/>
        </w:rPr>
        <w:t>laboratory’s</w:t>
      </w:r>
      <w:r>
        <w:rPr>
          <w:spacing w:val="-2"/>
          <w:sz w:val="20"/>
          <w:vertAlign w:val="baseline"/>
        </w:rPr>
        <w:t> </w:t>
      </w:r>
      <w:r>
        <w:rPr>
          <w:sz w:val="20"/>
          <w:vertAlign w:val="baseline"/>
        </w:rPr>
        <w:t>own</w:t>
      </w:r>
      <w:r>
        <w:rPr>
          <w:spacing w:val="-3"/>
          <w:sz w:val="20"/>
          <w:vertAlign w:val="baseline"/>
        </w:rPr>
        <w:t> </w:t>
      </w:r>
      <w:r>
        <w:rPr>
          <w:sz w:val="20"/>
          <w:vertAlign w:val="baseline"/>
        </w:rPr>
        <w:t>test</w:t>
      </w:r>
      <w:r>
        <w:rPr>
          <w:spacing w:val="-3"/>
          <w:sz w:val="20"/>
          <w:vertAlign w:val="baseline"/>
        </w:rPr>
        <w:t> </w:t>
      </w:r>
      <w:r>
        <w:rPr>
          <w:sz w:val="20"/>
          <w:vertAlign w:val="baseline"/>
        </w:rPr>
        <w:t>with</w:t>
      </w:r>
      <w:r>
        <w:rPr>
          <w:spacing w:val="-3"/>
          <w:sz w:val="20"/>
          <w:vertAlign w:val="baseline"/>
        </w:rPr>
        <w:t> </w:t>
      </w:r>
      <w:r>
        <w:rPr>
          <w:sz w:val="20"/>
          <w:vertAlign w:val="baseline"/>
        </w:rPr>
        <w:t>an</w:t>
      </w:r>
      <w:r>
        <w:rPr>
          <w:spacing w:val="-3"/>
          <w:sz w:val="20"/>
          <w:vertAlign w:val="baseline"/>
        </w:rPr>
        <w:t> </w:t>
      </w:r>
      <w:r>
        <w:rPr>
          <w:sz w:val="20"/>
          <w:vertAlign w:val="baseline"/>
        </w:rPr>
        <w:t>EUA</w:t>
      </w:r>
      <w:r>
        <w:rPr>
          <w:spacing w:val="-3"/>
          <w:sz w:val="20"/>
          <w:vertAlign w:val="baseline"/>
        </w:rPr>
        <w:t> </w:t>
      </w:r>
      <w:r>
        <w:rPr>
          <w:sz w:val="20"/>
          <w:vertAlign w:val="baseline"/>
        </w:rPr>
        <w:t>or a purchased kit from a manufacturer with an EUA.</w:t>
      </w:r>
    </w:p>
    <w:p>
      <w:pPr>
        <w:spacing w:after="0"/>
        <w:jc w:val="left"/>
        <w:rPr>
          <w:sz w:val="20"/>
        </w:rPr>
        <w:sectPr>
          <w:pgSz w:w="12240" w:h="15840"/>
          <w:pgMar w:header="731" w:footer="785" w:top="1360" w:bottom="980" w:left="1280" w:right="1200"/>
        </w:sectPr>
      </w:pPr>
    </w:p>
    <w:p>
      <w:pPr>
        <w:pStyle w:val="BodyText"/>
        <w:spacing w:before="80"/>
        <w:ind w:left="160" w:right="239"/>
        <w:jc w:val="both"/>
      </w:pPr>
      <w:r>
        <w:rPr/>
        <w:t>Wadsworth</w:t>
      </w:r>
      <w:r>
        <w:rPr>
          <w:spacing w:val="-3"/>
        </w:rPr>
        <w:t> </w:t>
      </w:r>
      <w:r>
        <w:rPr/>
        <w:t>had</w:t>
      </w:r>
      <w:r>
        <w:rPr>
          <w:spacing w:val="-3"/>
        </w:rPr>
        <w:t> </w:t>
      </w:r>
      <w:r>
        <w:rPr/>
        <w:t>informed</w:t>
      </w:r>
      <w:r>
        <w:rPr>
          <w:spacing w:val="-3"/>
        </w:rPr>
        <w:t> </w:t>
      </w:r>
      <w:r>
        <w:rPr/>
        <w:t>FDA</w:t>
      </w:r>
      <w:r>
        <w:rPr>
          <w:spacing w:val="-4"/>
        </w:rPr>
        <w:t> </w:t>
      </w:r>
      <w:r>
        <w:rPr/>
        <w:t>that</w:t>
      </w:r>
      <w:r>
        <w:rPr>
          <w:spacing w:val="-3"/>
        </w:rPr>
        <w:t> </w:t>
      </w:r>
      <w:r>
        <w:rPr/>
        <w:t>it</w:t>
      </w:r>
      <w:r>
        <w:rPr>
          <w:spacing w:val="-3"/>
        </w:rPr>
        <w:t> </w:t>
      </w:r>
      <w:r>
        <w:rPr/>
        <w:t>would</w:t>
      </w:r>
      <w:r>
        <w:rPr>
          <w:spacing w:val="-3"/>
        </w:rPr>
        <w:t> </w:t>
      </w:r>
      <w:r>
        <w:rPr/>
        <w:t>be</w:t>
      </w:r>
      <w:r>
        <w:rPr>
          <w:spacing w:val="-4"/>
        </w:rPr>
        <w:t> </w:t>
      </w:r>
      <w:r>
        <w:rPr/>
        <w:t>willing</w:t>
      </w:r>
      <w:r>
        <w:rPr>
          <w:spacing w:val="-5"/>
        </w:rPr>
        <w:t> </w:t>
      </w:r>
      <w:r>
        <w:rPr/>
        <w:t>to</w:t>
      </w:r>
      <w:r>
        <w:rPr>
          <w:spacing w:val="-3"/>
        </w:rPr>
        <w:t> </w:t>
      </w:r>
      <w:r>
        <w:rPr/>
        <w:t>have</w:t>
      </w:r>
      <w:r>
        <w:rPr>
          <w:spacing w:val="-3"/>
        </w:rPr>
        <w:t> </w:t>
      </w:r>
      <w:r>
        <w:rPr/>
        <w:t>clinical</w:t>
      </w:r>
      <w:r>
        <w:rPr>
          <w:spacing w:val="-3"/>
        </w:rPr>
        <w:t> </w:t>
      </w:r>
      <w:r>
        <w:rPr/>
        <w:t>laboratories</w:t>
      </w:r>
      <w:r>
        <w:rPr>
          <w:spacing w:val="-4"/>
        </w:rPr>
        <w:t> </w:t>
      </w:r>
      <w:r>
        <w:rPr/>
        <w:t>that</w:t>
      </w:r>
      <w:r>
        <w:rPr>
          <w:spacing w:val="-3"/>
        </w:rPr>
        <w:t> </w:t>
      </w:r>
      <w:r>
        <w:rPr/>
        <w:t>currently hold a New</w:t>
      </w:r>
      <w:r>
        <w:rPr>
          <w:spacing w:val="-1"/>
        </w:rPr>
        <w:t> </w:t>
      </w:r>
      <w:r>
        <w:rPr/>
        <w:t>York State</w:t>
      </w:r>
      <w:r>
        <w:rPr>
          <w:spacing w:val="-1"/>
        </w:rPr>
        <w:t> </w:t>
      </w:r>
      <w:r>
        <w:rPr/>
        <w:t>Department of</w:t>
      </w:r>
      <w:r>
        <w:rPr>
          <w:spacing w:val="-1"/>
        </w:rPr>
        <w:t> </w:t>
      </w:r>
      <w:r>
        <w:rPr/>
        <w:t>Health clinical</w:t>
      </w:r>
      <w:r>
        <w:rPr>
          <w:spacing w:val="-1"/>
        </w:rPr>
        <w:t> </w:t>
      </w:r>
      <w:r>
        <w:rPr/>
        <w:t>laboratory permit to notify Wadsworth that they have validated a test for COVID-19, and to submit validation studies to Wadsworth.</w:t>
      </w:r>
    </w:p>
    <w:p>
      <w:pPr>
        <w:pStyle w:val="BodyText"/>
        <w:ind w:left="160" w:right="359"/>
        <w:jc w:val="both"/>
      </w:pPr>
      <w:r>
        <w:rPr/>
        <w:t>Wadsworth</w:t>
      </w:r>
      <w:r>
        <w:rPr>
          <w:spacing w:val="-1"/>
        </w:rPr>
        <w:t> </w:t>
      </w:r>
      <w:r>
        <w:rPr/>
        <w:t>likewise</w:t>
      </w:r>
      <w:r>
        <w:rPr>
          <w:spacing w:val="-1"/>
        </w:rPr>
        <w:t> </w:t>
      </w:r>
      <w:r>
        <w:rPr/>
        <w:t>said</w:t>
      </w:r>
      <w:r>
        <w:rPr>
          <w:spacing w:val="-1"/>
        </w:rPr>
        <w:t> </w:t>
      </w:r>
      <w:r>
        <w:rPr/>
        <w:t>it</w:t>
      </w:r>
      <w:r>
        <w:rPr>
          <w:spacing w:val="-1"/>
        </w:rPr>
        <w:t> </w:t>
      </w:r>
      <w:r>
        <w:rPr/>
        <w:t>would</w:t>
      </w:r>
      <w:r>
        <w:rPr>
          <w:spacing w:val="-1"/>
        </w:rPr>
        <w:t> </w:t>
      </w:r>
      <w:r>
        <w:rPr/>
        <w:t>notify</w:t>
      </w:r>
      <w:r>
        <w:rPr>
          <w:spacing w:val="-1"/>
        </w:rPr>
        <w:t> </w:t>
      </w:r>
      <w:r>
        <w:rPr/>
        <w:t>the</w:t>
      </w:r>
      <w:r>
        <w:rPr>
          <w:spacing w:val="-1"/>
        </w:rPr>
        <w:t> </w:t>
      </w:r>
      <w:r>
        <w:rPr/>
        <w:t>laboratory</w:t>
      </w:r>
      <w:r>
        <w:rPr>
          <w:spacing w:val="-3"/>
        </w:rPr>
        <w:t> </w:t>
      </w:r>
      <w:r>
        <w:rPr/>
        <w:t>if</w:t>
      </w:r>
      <w:r>
        <w:rPr>
          <w:spacing w:val="-2"/>
        </w:rPr>
        <w:t> </w:t>
      </w:r>
      <w:r>
        <w:rPr/>
        <w:t>it</w:t>
      </w:r>
      <w:r>
        <w:rPr>
          <w:spacing w:val="-2"/>
        </w:rPr>
        <w:t> </w:t>
      </w:r>
      <w:r>
        <w:rPr/>
        <w:t>identified</w:t>
      </w:r>
      <w:r>
        <w:rPr>
          <w:spacing w:val="-1"/>
        </w:rPr>
        <w:t> </w:t>
      </w:r>
      <w:r>
        <w:rPr/>
        <w:t>any</w:t>
      </w:r>
      <w:r>
        <w:rPr>
          <w:spacing w:val="-1"/>
        </w:rPr>
        <w:t> </w:t>
      </w:r>
      <w:r>
        <w:rPr/>
        <w:t>concerns,</w:t>
      </w:r>
      <w:r>
        <w:rPr>
          <w:spacing w:val="-3"/>
        </w:rPr>
        <w:t> </w:t>
      </w:r>
      <w:r>
        <w:rPr/>
        <w:t>and</w:t>
      </w:r>
      <w:r>
        <w:rPr>
          <w:spacing w:val="-1"/>
        </w:rPr>
        <w:t> </w:t>
      </w:r>
      <w:r>
        <w:rPr/>
        <w:t>request that</w:t>
      </w:r>
      <w:r>
        <w:rPr>
          <w:spacing w:val="-4"/>
        </w:rPr>
        <w:t> </w:t>
      </w:r>
      <w:r>
        <w:rPr/>
        <w:t>the</w:t>
      </w:r>
      <w:r>
        <w:rPr>
          <w:spacing w:val="-3"/>
        </w:rPr>
        <w:t> </w:t>
      </w:r>
      <w:r>
        <w:rPr/>
        <w:t>laboratory</w:t>
      </w:r>
      <w:r>
        <w:rPr>
          <w:spacing w:val="-5"/>
        </w:rPr>
        <w:t> </w:t>
      </w:r>
      <w:r>
        <w:rPr/>
        <w:t>terminate</w:t>
      </w:r>
      <w:r>
        <w:rPr>
          <w:spacing w:val="-3"/>
        </w:rPr>
        <w:t> </w:t>
      </w:r>
      <w:r>
        <w:rPr/>
        <w:t>testing</w:t>
      </w:r>
      <w:r>
        <w:rPr>
          <w:spacing w:val="-5"/>
        </w:rPr>
        <w:t> </w:t>
      </w:r>
      <w:r>
        <w:rPr/>
        <w:t>patient</w:t>
      </w:r>
      <w:r>
        <w:rPr>
          <w:spacing w:val="-3"/>
        </w:rPr>
        <w:t> </w:t>
      </w:r>
      <w:r>
        <w:rPr/>
        <w:t>specimens</w:t>
      </w:r>
      <w:r>
        <w:rPr>
          <w:spacing w:val="-3"/>
        </w:rPr>
        <w:t> </w:t>
      </w:r>
      <w:r>
        <w:rPr/>
        <w:t>and</w:t>
      </w:r>
      <w:r>
        <w:rPr>
          <w:spacing w:val="-3"/>
        </w:rPr>
        <w:t> </w:t>
      </w:r>
      <w:r>
        <w:rPr/>
        <w:t>issue</w:t>
      </w:r>
      <w:r>
        <w:rPr>
          <w:spacing w:val="-3"/>
        </w:rPr>
        <w:t> </w:t>
      </w:r>
      <w:r>
        <w:rPr/>
        <w:t>corrected</w:t>
      </w:r>
      <w:r>
        <w:rPr>
          <w:spacing w:val="-5"/>
        </w:rPr>
        <w:t> </w:t>
      </w:r>
      <w:r>
        <w:rPr/>
        <w:t>test</w:t>
      </w:r>
      <w:r>
        <w:rPr>
          <w:spacing w:val="-4"/>
        </w:rPr>
        <w:t> </w:t>
      </w:r>
      <w:r>
        <w:rPr/>
        <w:t>reports</w:t>
      </w:r>
      <w:r>
        <w:rPr>
          <w:spacing w:val="-4"/>
        </w:rPr>
        <w:t> </w:t>
      </w:r>
      <w:r>
        <w:rPr/>
        <w:t>indicating prior test results might not be accurate.</w:t>
      </w:r>
    </w:p>
    <w:p>
      <w:pPr>
        <w:pStyle w:val="BodyText"/>
        <w:spacing w:before="11"/>
        <w:rPr>
          <w:sz w:val="23"/>
        </w:rPr>
      </w:pPr>
    </w:p>
    <w:p>
      <w:pPr>
        <w:pStyle w:val="BodyText"/>
        <w:ind w:left="160" w:right="278"/>
      </w:pPr>
      <w:r>
        <w:rPr/>
        <w:t>On March 13, 2020, the President issued a “Memorandum on Expanding State-Approved Diagnostic</w:t>
      </w:r>
      <w:r>
        <w:rPr>
          <w:spacing w:val="-5"/>
        </w:rPr>
        <w:t> </w:t>
      </w:r>
      <w:r>
        <w:rPr/>
        <w:t>Tests”</w:t>
      </w:r>
      <w:r>
        <w:rPr>
          <w:spacing w:val="-4"/>
        </w:rPr>
        <w:t> </w:t>
      </w:r>
      <w:r>
        <w:rPr/>
        <w:t>(Memorandum),</w:t>
      </w:r>
      <w:r>
        <w:rPr>
          <w:spacing w:val="-3"/>
        </w:rPr>
        <w:t> </w:t>
      </w:r>
      <w:r>
        <w:rPr/>
        <w:t>which</w:t>
      </w:r>
      <w:r>
        <w:rPr>
          <w:spacing w:val="-4"/>
        </w:rPr>
        <w:t> </w:t>
      </w:r>
      <w:r>
        <w:rPr/>
        <w:t>refers</w:t>
      </w:r>
      <w:r>
        <w:rPr>
          <w:spacing w:val="-4"/>
        </w:rPr>
        <w:t> </w:t>
      </w:r>
      <w:r>
        <w:rPr/>
        <w:t>to</w:t>
      </w:r>
      <w:r>
        <w:rPr>
          <w:spacing w:val="-4"/>
        </w:rPr>
        <w:t> </w:t>
      </w:r>
      <w:r>
        <w:rPr/>
        <w:t>the</w:t>
      </w:r>
      <w:r>
        <w:rPr>
          <w:spacing w:val="-4"/>
        </w:rPr>
        <w:t> </w:t>
      </w:r>
      <w:r>
        <w:rPr/>
        <w:t>flexibility</w:t>
      </w:r>
      <w:r>
        <w:rPr>
          <w:spacing w:val="-4"/>
        </w:rPr>
        <w:t> </w:t>
      </w:r>
      <w:r>
        <w:rPr/>
        <w:t>that</w:t>
      </w:r>
      <w:r>
        <w:rPr>
          <w:spacing w:val="-4"/>
        </w:rPr>
        <w:t> </w:t>
      </w:r>
      <w:r>
        <w:rPr/>
        <w:t>FDA</w:t>
      </w:r>
      <w:r>
        <w:rPr>
          <w:spacing w:val="-5"/>
        </w:rPr>
        <w:t> </w:t>
      </w:r>
      <w:r>
        <w:rPr/>
        <w:t>allowed</w:t>
      </w:r>
      <w:r>
        <w:rPr>
          <w:spacing w:val="-4"/>
        </w:rPr>
        <w:t> </w:t>
      </w:r>
      <w:r>
        <w:rPr/>
        <w:t>New</w:t>
      </w:r>
      <w:r>
        <w:rPr>
          <w:spacing w:val="-5"/>
        </w:rPr>
        <w:t> </w:t>
      </w:r>
      <w:r>
        <w:rPr/>
        <w:t>York State and states as follows:</w:t>
      </w:r>
    </w:p>
    <w:p>
      <w:pPr>
        <w:pStyle w:val="BodyText"/>
      </w:pPr>
    </w:p>
    <w:p>
      <w:pPr>
        <w:pStyle w:val="BodyText"/>
        <w:ind w:left="159" w:right="278"/>
      </w:pPr>
      <w:r>
        <w:rPr/>
        <w:t>“Should</w:t>
      </w:r>
      <w:r>
        <w:rPr>
          <w:spacing w:val="-4"/>
        </w:rPr>
        <w:t> </w:t>
      </w:r>
      <w:r>
        <w:rPr/>
        <w:t>additional</w:t>
      </w:r>
      <w:r>
        <w:rPr>
          <w:spacing w:val="-4"/>
        </w:rPr>
        <w:t> </w:t>
      </w:r>
      <w:r>
        <w:rPr/>
        <w:t>States</w:t>
      </w:r>
      <w:r>
        <w:rPr>
          <w:spacing w:val="-4"/>
        </w:rPr>
        <w:t> </w:t>
      </w:r>
      <w:r>
        <w:rPr/>
        <w:t>request</w:t>
      </w:r>
      <w:r>
        <w:rPr>
          <w:spacing w:val="-4"/>
        </w:rPr>
        <w:t> </w:t>
      </w:r>
      <w:r>
        <w:rPr/>
        <w:t>flexibility</w:t>
      </w:r>
      <w:r>
        <w:rPr>
          <w:spacing w:val="-5"/>
        </w:rPr>
        <w:t> </w:t>
      </w:r>
      <w:r>
        <w:rPr/>
        <w:t>to</w:t>
      </w:r>
      <w:r>
        <w:rPr>
          <w:spacing w:val="-4"/>
        </w:rPr>
        <w:t> </w:t>
      </w:r>
      <w:r>
        <w:rPr/>
        <w:t>authorize</w:t>
      </w:r>
      <w:r>
        <w:rPr>
          <w:spacing w:val="-4"/>
        </w:rPr>
        <w:t> </w:t>
      </w:r>
      <w:r>
        <w:rPr/>
        <w:t>laboratories</w:t>
      </w:r>
      <w:r>
        <w:rPr>
          <w:spacing w:val="-4"/>
        </w:rPr>
        <w:t> </w:t>
      </w:r>
      <w:r>
        <w:rPr/>
        <w:t>within</w:t>
      </w:r>
      <w:r>
        <w:rPr>
          <w:spacing w:val="-4"/>
        </w:rPr>
        <w:t> </w:t>
      </w:r>
      <w:r>
        <w:rPr/>
        <w:t>the</w:t>
      </w:r>
      <w:r>
        <w:rPr>
          <w:spacing w:val="-4"/>
        </w:rPr>
        <w:t> </w:t>
      </w:r>
      <w:r>
        <w:rPr/>
        <w:t>State</w:t>
      </w:r>
      <w:r>
        <w:rPr>
          <w:spacing w:val="-4"/>
        </w:rPr>
        <w:t> </w:t>
      </w:r>
      <w:r>
        <w:rPr/>
        <w:t>to</w:t>
      </w:r>
      <w:r>
        <w:rPr>
          <w:spacing w:val="-4"/>
        </w:rPr>
        <w:t> </w:t>
      </w:r>
      <w:r>
        <w:rPr/>
        <w:t>develop and perform tests used to detect COVID-19, the Secretary shall take appropriate action, consistent with law, to facilitate the request.”</w:t>
      </w:r>
    </w:p>
    <w:p>
      <w:pPr>
        <w:pStyle w:val="BodyText"/>
      </w:pPr>
    </w:p>
    <w:p>
      <w:pPr>
        <w:pStyle w:val="BodyText"/>
        <w:ind w:left="159" w:right="278"/>
      </w:pPr>
      <w:r>
        <w:rPr/>
        <w:t>In accordance with the Memorandum, FDA describes below its policy regarding States and territories</w:t>
      </w:r>
      <w:r>
        <w:rPr>
          <w:spacing w:val="-3"/>
        </w:rPr>
        <w:t> </w:t>
      </w:r>
      <w:r>
        <w:rPr/>
        <w:t>that</w:t>
      </w:r>
      <w:r>
        <w:rPr>
          <w:spacing w:val="-3"/>
        </w:rPr>
        <w:t> </w:t>
      </w:r>
      <w:r>
        <w:rPr/>
        <w:t>authorize</w:t>
      </w:r>
      <w:r>
        <w:rPr>
          <w:spacing w:val="-4"/>
        </w:rPr>
        <w:t> </w:t>
      </w:r>
      <w:r>
        <w:rPr/>
        <w:t>laboratories</w:t>
      </w:r>
      <w:r>
        <w:rPr>
          <w:spacing w:val="-4"/>
        </w:rPr>
        <w:t> </w:t>
      </w:r>
      <w:r>
        <w:rPr/>
        <w:t>within</w:t>
      </w:r>
      <w:r>
        <w:rPr>
          <w:spacing w:val="-3"/>
        </w:rPr>
        <w:t> </w:t>
      </w:r>
      <w:r>
        <w:rPr/>
        <w:t>their</w:t>
      </w:r>
      <w:r>
        <w:rPr>
          <w:spacing w:val="-4"/>
        </w:rPr>
        <w:t> </w:t>
      </w:r>
      <w:r>
        <w:rPr/>
        <w:t>State</w:t>
      </w:r>
      <w:r>
        <w:rPr>
          <w:spacing w:val="-2"/>
        </w:rPr>
        <w:t> </w:t>
      </w:r>
      <w:r>
        <w:rPr/>
        <w:t>or</w:t>
      </w:r>
      <w:r>
        <w:rPr>
          <w:spacing w:val="-3"/>
        </w:rPr>
        <w:t> </w:t>
      </w:r>
      <w:r>
        <w:rPr/>
        <w:t>territory</w:t>
      </w:r>
      <w:r>
        <w:rPr>
          <w:spacing w:val="-3"/>
        </w:rPr>
        <w:t> </w:t>
      </w:r>
      <w:r>
        <w:rPr/>
        <w:t>to</w:t>
      </w:r>
      <w:r>
        <w:rPr>
          <w:spacing w:val="-3"/>
        </w:rPr>
        <w:t> </w:t>
      </w:r>
      <w:r>
        <w:rPr/>
        <w:t>develop</w:t>
      </w:r>
      <w:r>
        <w:rPr>
          <w:spacing w:val="-3"/>
        </w:rPr>
        <w:t> </w:t>
      </w:r>
      <w:r>
        <w:rPr/>
        <w:t>their</w:t>
      </w:r>
      <w:r>
        <w:rPr>
          <w:spacing w:val="-3"/>
        </w:rPr>
        <w:t> </w:t>
      </w:r>
      <w:r>
        <w:rPr/>
        <w:t>own</w:t>
      </w:r>
      <w:r>
        <w:rPr>
          <w:spacing w:val="-3"/>
        </w:rPr>
        <w:t> </w:t>
      </w:r>
      <w:r>
        <w:rPr/>
        <w:t>COVID- 19 tests and perform specimen testing, where the notification of SARS-CoV-2 test validation is not submitted to FDA and the laboratory does not submit an EUA request to FDA.</w:t>
      </w:r>
    </w:p>
    <w:p>
      <w:pPr>
        <w:pStyle w:val="BodyText"/>
      </w:pPr>
    </w:p>
    <w:p>
      <w:pPr>
        <w:pStyle w:val="BodyText"/>
        <w:ind w:left="159" w:right="241"/>
      </w:pPr>
      <w:r>
        <w:rPr/>
        <w:t>A</w:t>
      </w:r>
      <w:r>
        <w:rPr>
          <w:spacing w:val="-3"/>
        </w:rPr>
        <w:t> </w:t>
      </w:r>
      <w:r>
        <w:rPr/>
        <w:t>State</w:t>
      </w:r>
      <w:r>
        <w:rPr>
          <w:spacing w:val="-2"/>
        </w:rPr>
        <w:t> </w:t>
      </w:r>
      <w:r>
        <w:rPr/>
        <w:t>or</w:t>
      </w:r>
      <w:r>
        <w:rPr>
          <w:spacing w:val="-3"/>
        </w:rPr>
        <w:t> </w:t>
      </w:r>
      <w:r>
        <w:rPr/>
        <w:t>territory</w:t>
      </w:r>
      <w:r>
        <w:rPr>
          <w:spacing w:val="-2"/>
        </w:rPr>
        <w:t> </w:t>
      </w:r>
      <w:r>
        <w:rPr/>
        <w:t>choosing</w:t>
      </w:r>
      <w:r>
        <w:rPr>
          <w:spacing w:val="-3"/>
        </w:rPr>
        <w:t> </w:t>
      </w:r>
      <w:r>
        <w:rPr/>
        <w:t>to</w:t>
      </w:r>
      <w:r>
        <w:rPr>
          <w:spacing w:val="-2"/>
        </w:rPr>
        <w:t> </w:t>
      </w:r>
      <w:r>
        <w:rPr/>
        <w:t>authorize</w:t>
      </w:r>
      <w:r>
        <w:rPr>
          <w:spacing w:val="-3"/>
        </w:rPr>
        <w:t> </w:t>
      </w:r>
      <w:r>
        <w:rPr/>
        <w:t>laboratories</w:t>
      </w:r>
      <w:r>
        <w:rPr>
          <w:spacing w:val="-2"/>
        </w:rPr>
        <w:t> </w:t>
      </w:r>
      <w:r>
        <w:rPr/>
        <w:t>within</w:t>
      </w:r>
      <w:r>
        <w:rPr>
          <w:spacing w:val="-4"/>
        </w:rPr>
        <w:t> </w:t>
      </w:r>
      <w:r>
        <w:rPr/>
        <w:t>that</w:t>
      </w:r>
      <w:r>
        <w:rPr>
          <w:spacing w:val="-2"/>
        </w:rPr>
        <w:t> </w:t>
      </w:r>
      <w:r>
        <w:rPr/>
        <w:t>State</w:t>
      </w:r>
      <w:r>
        <w:rPr>
          <w:spacing w:val="-3"/>
        </w:rPr>
        <w:t> </w:t>
      </w:r>
      <w:r>
        <w:rPr/>
        <w:t>or</w:t>
      </w:r>
      <w:r>
        <w:rPr>
          <w:spacing w:val="-3"/>
        </w:rPr>
        <w:t> </w:t>
      </w:r>
      <w:r>
        <w:rPr/>
        <w:t>territory</w:t>
      </w:r>
      <w:r>
        <w:rPr>
          <w:spacing w:val="-2"/>
        </w:rPr>
        <w:t> </w:t>
      </w:r>
      <w:r>
        <w:rPr/>
        <w:t>to</w:t>
      </w:r>
      <w:r>
        <w:rPr>
          <w:spacing w:val="-3"/>
        </w:rPr>
        <w:t> </w:t>
      </w:r>
      <w:r>
        <w:rPr/>
        <w:t>develop</w:t>
      </w:r>
      <w:r>
        <w:rPr>
          <w:spacing w:val="-2"/>
        </w:rPr>
        <w:t> </w:t>
      </w:r>
      <w:r>
        <w:rPr/>
        <w:t>and perform a test for COVID-19 would do so under authority of its own State law, and under a process that it establishes. FDA does not intend to object to the use of such tests for specimen testing where the notification of SARS-CoV-2 test validation is not submitted to FDA and the laboratory</w:t>
      </w:r>
      <w:r>
        <w:rPr>
          <w:spacing w:val="-2"/>
        </w:rPr>
        <w:t> </w:t>
      </w:r>
      <w:r>
        <w:rPr/>
        <w:t>does</w:t>
      </w:r>
      <w:r>
        <w:rPr>
          <w:spacing w:val="-2"/>
        </w:rPr>
        <w:t> </w:t>
      </w:r>
      <w:r>
        <w:rPr/>
        <w:t>not</w:t>
      </w:r>
      <w:r>
        <w:rPr>
          <w:spacing w:val="-2"/>
        </w:rPr>
        <w:t> </w:t>
      </w:r>
      <w:r>
        <w:rPr/>
        <w:t>submit</w:t>
      </w:r>
      <w:r>
        <w:rPr>
          <w:spacing w:val="-2"/>
        </w:rPr>
        <w:t> </w:t>
      </w:r>
      <w:r>
        <w:rPr/>
        <w:t>an</w:t>
      </w:r>
      <w:r>
        <w:rPr>
          <w:spacing w:val="-2"/>
        </w:rPr>
        <w:t> </w:t>
      </w:r>
      <w:r>
        <w:rPr/>
        <w:t>EUA</w:t>
      </w:r>
      <w:r>
        <w:rPr>
          <w:spacing w:val="-2"/>
        </w:rPr>
        <w:t> </w:t>
      </w:r>
      <w:r>
        <w:rPr/>
        <w:t>request</w:t>
      </w:r>
      <w:r>
        <w:rPr>
          <w:spacing w:val="-3"/>
        </w:rPr>
        <w:t> </w:t>
      </w:r>
      <w:r>
        <w:rPr/>
        <w:t>to</w:t>
      </w:r>
      <w:r>
        <w:rPr>
          <w:spacing w:val="-2"/>
        </w:rPr>
        <w:t> </w:t>
      </w:r>
      <w:r>
        <w:rPr/>
        <w:t>FDA,</w:t>
      </w:r>
      <w:r>
        <w:rPr>
          <w:spacing w:val="-2"/>
        </w:rPr>
        <w:t> </w:t>
      </w:r>
      <w:r>
        <w:rPr/>
        <w:t>and</w:t>
      </w:r>
      <w:r>
        <w:rPr>
          <w:spacing w:val="-2"/>
        </w:rPr>
        <w:t> </w:t>
      </w:r>
      <w:r>
        <w:rPr/>
        <w:t>where</w:t>
      </w:r>
      <w:r>
        <w:rPr>
          <w:spacing w:val="-2"/>
        </w:rPr>
        <w:t> </w:t>
      </w:r>
      <w:r>
        <w:rPr/>
        <w:t>instead</w:t>
      </w:r>
      <w:r>
        <w:rPr>
          <w:spacing w:val="-4"/>
        </w:rPr>
        <w:t> </w:t>
      </w:r>
      <w:r>
        <w:rPr/>
        <w:t>the</w:t>
      </w:r>
      <w:r>
        <w:rPr>
          <w:spacing w:val="-2"/>
        </w:rPr>
        <w:t> </w:t>
      </w:r>
      <w:r>
        <w:rPr/>
        <w:t>State</w:t>
      </w:r>
      <w:r>
        <w:rPr>
          <w:spacing w:val="-2"/>
        </w:rPr>
        <w:t> </w:t>
      </w:r>
      <w:r>
        <w:rPr/>
        <w:t>or</w:t>
      </w:r>
      <w:r>
        <w:rPr>
          <w:spacing w:val="-2"/>
        </w:rPr>
        <w:t> </w:t>
      </w:r>
      <w:r>
        <w:rPr/>
        <w:t>territory</w:t>
      </w:r>
      <w:r>
        <w:rPr>
          <w:spacing w:val="-4"/>
        </w:rPr>
        <w:t> </w:t>
      </w:r>
      <w:r>
        <w:rPr/>
        <w:t>takes responsibility for COVID-19 testing by laboratories in its State during the COVID-19 outbreak.</w:t>
      </w:r>
    </w:p>
    <w:p>
      <w:pPr>
        <w:pStyle w:val="BodyText"/>
        <w:spacing w:before="11"/>
        <w:rPr>
          <w:sz w:val="23"/>
        </w:rPr>
      </w:pPr>
    </w:p>
    <w:p>
      <w:pPr>
        <w:pStyle w:val="BodyText"/>
        <w:ind w:left="159" w:right="325"/>
      </w:pPr>
      <w:r>
        <w:rPr/>
        <w:t>FDA requests that the State or territory notify us if they choose to use this flexibility</w:t>
      </w:r>
      <w:r>
        <w:rPr>
          <w:spacing w:val="-1"/>
        </w:rPr>
        <w:t> </w:t>
      </w:r>
      <w:r>
        <w:rPr/>
        <w:t>to expedite COVID-19 testing.</w:t>
      </w:r>
      <w:hyperlink w:history="true" w:anchor="_bookmark22">
        <w:r>
          <w:rPr>
            <w:vertAlign w:val="superscript"/>
          </w:rPr>
          <w:t>12</w:t>
        </w:r>
      </w:hyperlink>
      <w:r>
        <w:rPr>
          <w:vertAlign w:val="baseline"/>
        </w:rPr>
        <w:t> FDA will not be reviewing the process adopted by the State or territory, which we understand may be different than the process adopted by New York State. FDA expects that such states as part of their oversight process will require laboratories developing SARS-CoV-2</w:t>
      </w:r>
      <w:r>
        <w:rPr>
          <w:spacing w:val="-2"/>
          <w:vertAlign w:val="baseline"/>
        </w:rPr>
        <w:t> </w:t>
      </w:r>
      <w:r>
        <w:rPr>
          <w:vertAlign w:val="baseline"/>
        </w:rPr>
        <w:t>tests</w:t>
      </w:r>
      <w:r>
        <w:rPr>
          <w:spacing w:val="-3"/>
          <w:vertAlign w:val="baseline"/>
        </w:rPr>
        <w:t> </w:t>
      </w:r>
      <w:r>
        <w:rPr>
          <w:vertAlign w:val="baseline"/>
        </w:rPr>
        <w:t>to</w:t>
      </w:r>
      <w:r>
        <w:rPr>
          <w:spacing w:val="-2"/>
          <w:vertAlign w:val="baseline"/>
        </w:rPr>
        <w:t> </w:t>
      </w:r>
      <w:r>
        <w:rPr>
          <w:vertAlign w:val="baseline"/>
        </w:rPr>
        <w:t>validate</w:t>
      </w:r>
      <w:r>
        <w:rPr>
          <w:spacing w:val="-3"/>
          <w:vertAlign w:val="baseline"/>
        </w:rPr>
        <w:t> </w:t>
      </w:r>
      <w:r>
        <w:rPr>
          <w:vertAlign w:val="baseline"/>
        </w:rPr>
        <w:t>those</w:t>
      </w:r>
      <w:r>
        <w:rPr>
          <w:spacing w:val="-3"/>
          <w:vertAlign w:val="baseline"/>
        </w:rPr>
        <w:t> </w:t>
      </w:r>
      <w:r>
        <w:rPr>
          <w:vertAlign w:val="baseline"/>
        </w:rPr>
        <w:t>tests</w:t>
      </w:r>
      <w:r>
        <w:rPr>
          <w:spacing w:val="-2"/>
          <w:vertAlign w:val="baseline"/>
        </w:rPr>
        <w:t> </w:t>
      </w:r>
      <w:r>
        <w:rPr>
          <w:vertAlign w:val="baseline"/>
        </w:rPr>
        <w:t>prior</w:t>
      </w:r>
      <w:r>
        <w:rPr>
          <w:spacing w:val="-3"/>
          <w:vertAlign w:val="baseline"/>
        </w:rPr>
        <w:t> </w:t>
      </w:r>
      <w:r>
        <w:rPr>
          <w:vertAlign w:val="baseline"/>
        </w:rPr>
        <w:t>to</w:t>
      </w:r>
      <w:r>
        <w:rPr>
          <w:spacing w:val="-4"/>
          <w:vertAlign w:val="baseline"/>
        </w:rPr>
        <w:t> </w:t>
      </w:r>
      <w:r>
        <w:rPr>
          <w:vertAlign w:val="baseline"/>
        </w:rPr>
        <w:t>use.</w:t>
      </w:r>
      <w:r>
        <w:rPr>
          <w:spacing w:val="-2"/>
          <w:vertAlign w:val="baseline"/>
        </w:rPr>
        <w:t> </w:t>
      </w:r>
      <w:r>
        <w:rPr>
          <w:vertAlign w:val="baseline"/>
        </w:rPr>
        <w:t>FDA</w:t>
      </w:r>
      <w:r>
        <w:rPr>
          <w:spacing w:val="-3"/>
          <w:vertAlign w:val="baseline"/>
        </w:rPr>
        <w:t> </w:t>
      </w:r>
      <w:r>
        <w:rPr>
          <w:vertAlign w:val="baseline"/>
        </w:rPr>
        <w:t>encourages</w:t>
      </w:r>
      <w:r>
        <w:rPr>
          <w:spacing w:val="-3"/>
          <w:vertAlign w:val="baseline"/>
        </w:rPr>
        <w:t> </w:t>
      </w:r>
      <w:r>
        <w:rPr>
          <w:vertAlign w:val="baseline"/>
        </w:rPr>
        <w:t>laboratories</w:t>
      </w:r>
      <w:r>
        <w:rPr>
          <w:spacing w:val="-3"/>
          <w:vertAlign w:val="baseline"/>
        </w:rPr>
        <w:t> </w:t>
      </w:r>
      <w:r>
        <w:rPr>
          <w:vertAlign w:val="baseline"/>
        </w:rPr>
        <w:t>that</w:t>
      </w:r>
      <w:r>
        <w:rPr>
          <w:spacing w:val="-2"/>
          <w:vertAlign w:val="baseline"/>
        </w:rPr>
        <w:t> </w:t>
      </w:r>
      <w:r>
        <w:rPr>
          <w:vertAlign w:val="baseline"/>
        </w:rPr>
        <w:t>develop and perform a test for COVID-19 under this policy to notify FDA that they have started clinical testing</w:t>
      </w:r>
      <w:r>
        <w:rPr>
          <w:spacing w:val="-4"/>
          <w:vertAlign w:val="baseline"/>
        </w:rPr>
        <w:t> </w:t>
      </w:r>
      <w:r>
        <w:rPr>
          <w:vertAlign w:val="baseline"/>
        </w:rPr>
        <w:t>by</w:t>
      </w:r>
      <w:r>
        <w:rPr>
          <w:spacing w:val="-4"/>
          <w:vertAlign w:val="baseline"/>
        </w:rPr>
        <w:t> </w:t>
      </w:r>
      <w:r>
        <w:rPr>
          <w:vertAlign w:val="baseline"/>
        </w:rPr>
        <w:t>sending</w:t>
      </w:r>
      <w:r>
        <w:rPr>
          <w:spacing w:val="-4"/>
          <w:vertAlign w:val="baseline"/>
        </w:rPr>
        <w:t> </w:t>
      </w:r>
      <w:r>
        <w:rPr>
          <w:vertAlign w:val="baseline"/>
        </w:rPr>
        <w:t>an</w:t>
      </w:r>
      <w:r>
        <w:rPr>
          <w:spacing w:val="-4"/>
          <w:vertAlign w:val="baseline"/>
        </w:rPr>
        <w:t> </w:t>
      </w:r>
      <w:r>
        <w:rPr>
          <w:vertAlign w:val="baseline"/>
        </w:rPr>
        <w:t>email</w:t>
      </w:r>
      <w:r>
        <w:rPr>
          <w:spacing w:val="-5"/>
          <w:vertAlign w:val="baseline"/>
        </w:rPr>
        <w:t> </w:t>
      </w:r>
      <w:r>
        <w:rPr>
          <w:vertAlign w:val="baseline"/>
        </w:rPr>
        <w:t>to</w:t>
      </w:r>
      <w:r>
        <w:rPr>
          <w:spacing w:val="-4"/>
          <w:vertAlign w:val="baseline"/>
        </w:rPr>
        <w:t> </w:t>
      </w:r>
      <w:r>
        <w:rPr>
          <w:vertAlign w:val="baseline"/>
        </w:rPr>
        <w:t>that</w:t>
      </w:r>
      <w:r>
        <w:rPr>
          <w:spacing w:val="-4"/>
          <w:vertAlign w:val="baseline"/>
        </w:rPr>
        <w:t> </w:t>
      </w:r>
      <w:r>
        <w:rPr>
          <w:vertAlign w:val="baseline"/>
        </w:rPr>
        <w:t>effect</w:t>
      </w:r>
      <w:r>
        <w:rPr>
          <w:spacing w:val="-4"/>
          <w:vertAlign w:val="baseline"/>
        </w:rPr>
        <w:t> </w:t>
      </w:r>
      <w:r>
        <w:rPr>
          <w:vertAlign w:val="baseline"/>
        </w:rPr>
        <w:t>to</w:t>
      </w:r>
      <w:r>
        <w:rPr>
          <w:spacing w:val="-4"/>
          <w:vertAlign w:val="baseline"/>
        </w:rPr>
        <w:t> </w:t>
      </w:r>
      <w:hyperlink r:id="rId18">
        <w:r>
          <w:rPr>
            <w:color w:val="0000FF"/>
            <w:u w:val="single" w:color="0000FF"/>
            <w:vertAlign w:val="baseline"/>
          </w:rPr>
          <w:t>CDRH-EUA-Templates@FDA.HHS.GOV</w:t>
        </w:r>
        <w:r>
          <w:rPr>
            <w:vertAlign w:val="baseline"/>
          </w:rPr>
          <w:t>.</w:t>
        </w:r>
      </w:hyperlink>
      <w:r>
        <w:rPr>
          <w:spacing w:val="-4"/>
          <w:vertAlign w:val="baseline"/>
        </w:rPr>
        <w:t> </w:t>
      </w:r>
      <w:r>
        <w:rPr>
          <w:vertAlign w:val="baseline"/>
        </w:rPr>
        <w:t>It</w:t>
      </w:r>
      <w:r>
        <w:rPr>
          <w:spacing w:val="-4"/>
          <w:vertAlign w:val="baseline"/>
        </w:rPr>
        <w:t> </w:t>
      </w:r>
      <w:r>
        <w:rPr>
          <w:vertAlign w:val="baseline"/>
        </w:rPr>
        <w:t>would be helpful to FDA if laboratories provide information on testing capacity. This information will help the Agency and Department monitor the landscape as we work to ensure adequate testing capacity across the country.</w:t>
      </w:r>
    </w:p>
    <w:p>
      <w:pPr>
        <w:pStyle w:val="BodyText"/>
        <w:spacing w:before="5"/>
        <w:rPr>
          <w:sz w:val="34"/>
        </w:rPr>
      </w:pPr>
    </w:p>
    <w:p>
      <w:pPr>
        <w:pStyle w:val="Heading2"/>
        <w:numPr>
          <w:ilvl w:val="1"/>
          <w:numId w:val="6"/>
        </w:numPr>
        <w:tabs>
          <w:tab w:pos="1599" w:val="left" w:leader="none"/>
        </w:tabs>
        <w:spacing w:line="240" w:lineRule="auto" w:before="0" w:after="0"/>
        <w:ind w:left="880" w:right="247" w:firstLine="0"/>
        <w:jc w:val="left"/>
      </w:pPr>
      <w:bookmarkStart w:name="C. Commercial Manufacturer Development a" w:id="32"/>
      <w:bookmarkEnd w:id="32"/>
      <w:r>
        <w:rPr>
          <w:b w:val="0"/>
        </w:rPr>
      </w:r>
      <w:bookmarkStart w:name="_bookmark21" w:id="33"/>
      <w:bookmarkEnd w:id="33"/>
      <w:r>
        <w:rPr>
          <w:b w:val="0"/>
        </w:rPr>
      </w:r>
      <w:r>
        <w:rPr/>
        <w:t>Commercial</w:t>
      </w:r>
      <w:r>
        <w:rPr>
          <w:spacing w:val="-13"/>
        </w:rPr>
        <w:t> </w:t>
      </w:r>
      <w:r>
        <w:rPr/>
        <w:t>Manufacturer</w:t>
      </w:r>
      <w:r>
        <w:rPr>
          <w:spacing w:val="-17"/>
        </w:rPr>
        <w:t> </w:t>
      </w:r>
      <w:r>
        <w:rPr/>
        <w:t>Development</w:t>
      </w:r>
      <w:r>
        <w:rPr>
          <w:spacing w:val="-13"/>
        </w:rPr>
        <w:t> </w:t>
      </w:r>
      <w:r>
        <w:rPr/>
        <w:t>and</w:t>
      </w:r>
      <w:r>
        <w:rPr>
          <w:spacing w:val="-13"/>
        </w:rPr>
        <w:t> </w:t>
      </w:r>
      <w:r>
        <w:rPr/>
        <w:t>Distribution of Diagnostic Tests Prior to EUA</w:t>
      </w:r>
      <w:r>
        <w:rPr>
          <w:spacing w:val="-3"/>
        </w:rPr>
        <w:t> </w:t>
      </w:r>
      <w:r>
        <w:rPr/>
        <w:t>Submission</w:t>
      </w:r>
    </w:p>
    <w:p>
      <w:pPr>
        <w:pStyle w:val="BodyText"/>
        <w:spacing w:before="121"/>
        <w:ind w:left="160" w:right="250"/>
      </w:pPr>
      <w:r>
        <w:rPr/>
        <w:t>The</w:t>
      </w:r>
      <w:r>
        <w:rPr>
          <w:spacing w:val="-3"/>
        </w:rPr>
        <w:t> </w:t>
      </w:r>
      <w:r>
        <w:rPr/>
        <w:t>policy</w:t>
      </w:r>
      <w:r>
        <w:rPr>
          <w:spacing w:val="-3"/>
        </w:rPr>
        <w:t> </w:t>
      </w:r>
      <w:r>
        <w:rPr/>
        <w:t>described</w:t>
      </w:r>
      <w:r>
        <w:rPr>
          <w:spacing w:val="-3"/>
        </w:rPr>
        <w:t> </w:t>
      </w:r>
      <w:r>
        <w:rPr/>
        <w:t>in</w:t>
      </w:r>
      <w:r>
        <w:rPr>
          <w:spacing w:val="-5"/>
        </w:rPr>
        <w:t> </w:t>
      </w:r>
      <w:r>
        <w:rPr/>
        <w:t>this</w:t>
      </w:r>
      <w:r>
        <w:rPr>
          <w:spacing w:val="-3"/>
        </w:rPr>
        <w:t> </w:t>
      </w:r>
      <w:r>
        <w:rPr/>
        <w:t>subsection</w:t>
      </w:r>
      <w:r>
        <w:rPr>
          <w:spacing w:val="-4"/>
        </w:rPr>
        <w:t> </w:t>
      </w:r>
      <w:r>
        <w:rPr/>
        <w:t>applies</w:t>
      </w:r>
      <w:r>
        <w:rPr>
          <w:spacing w:val="-3"/>
        </w:rPr>
        <w:t> </w:t>
      </w:r>
      <w:r>
        <w:rPr/>
        <w:t>to</w:t>
      </w:r>
      <w:r>
        <w:rPr>
          <w:spacing w:val="-5"/>
        </w:rPr>
        <w:t> </w:t>
      </w:r>
      <w:r>
        <w:rPr/>
        <w:t>commercial</w:t>
      </w:r>
      <w:r>
        <w:rPr>
          <w:spacing w:val="-3"/>
        </w:rPr>
        <w:t> </w:t>
      </w:r>
      <w:r>
        <w:rPr/>
        <w:t>manufacturers</w:t>
      </w:r>
      <w:r>
        <w:rPr>
          <w:spacing w:val="-3"/>
        </w:rPr>
        <w:t> </w:t>
      </w:r>
      <w:r>
        <w:rPr/>
        <w:t>that</w:t>
      </w:r>
      <w:r>
        <w:rPr>
          <w:spacing w:val="-3"/>
        </w:rPr>
        <w:t> </w:t>
      </w:r>
      <w:r>
        <w:rPr/>
        <w:t>seek</w:t>
      </w:r>
      <w:r>
        <w:rPr>
          <w:spacing w:val="-5"/>
        </w:rPr>
        <w:t> </w:t>
      </w:r>
      <w:r>
        <w:rPr/>
        <w:t>to</w:t>
      </w:r>
      <w:r>
        <w:rPr>
          <w:spacing w:val="-3"/>
        </w:rPr>
        <w:t> </w:t>
      </w:r>
      <w:r>
        <w:rPr/>
        <w:t>develop and distribute diagnostic test kits to detect the SARS-CoV-2 virus to clinical laboratories or to</w:t>
      </w:r>
    </w:p>
    <w:p>
      <w:pPr>
        <w:pStyle w:val="BodyText"/>
        <w:rPr>
          <w:sz w:val="20"/>
        </w:rPr>
      </w:pPr>
    </w:p>
    <w:p>
      <w:pPr>
        <w:pStyle w:val="BodyText"/>
        <w:spacing w:before="1"/>
        <w:rPr>
          <w:sz w:val="10"/>
        </w:rPr>
      </w:pPr>
      <w:r>
        <w:rPr/>
        <mc:AlternateContent>
          <mc:Choice Requires="wps">
            <w:drawing>
              <wp:anchor distT="0" distB="0" distL="0" distR="0" allowOverlap="1" layoutInCell="1" locked="0" behindDoc="1" simplePos="0" relativeHeight="487591936">
                <wp:simplePos x="0" y="0"/>
                <wp:positionH relativeFrom="page">
                  <wp:posOffset>914400</wp:posOffset>
                </wp:positionH>
                <wp:positionV relativeFrom="paragraph">
                  <wp:posOffset>89468</wp:posOffset>
                </wp:positionV>
                <wp:extent cx="1828800" cy="762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1828800" cy="7620"/>
                        </a:xfrm>
                        <a:custGeom>
                          <a:avLst/>
                          <a:gdLst/>
                          <a:ahLst/>
                          <a:cxnLst/>
                          <a:rect l="l" t="t" r="r" b="b"/>
                          <a:pathLst>
                            <a:path w="1828800" h="7620">
                              <a:moveTo>
                                <a:pt x="1828800" y="0"/>
                              </a:moveTo>
                              <a:lnTo>
                                <a:pt x="0" y="0"/>
                              </a:lnTo>
                              <a:lnTo>
                                <a:pt x="0" y="7619"/>
                              </a:lnTo>
                              <a:lnTo>
                                <a:pt x="1828800" y="7619"/>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7.044726pt;width:144pt;height:.6pt;mso-position-horizontal-relative:page;mso-position-vertical-relative:paragraph;z-index:-15724544;mso-wrap-distance-left:0;mso-wrap-distance-right:0" id="docshape13" filled="true" fillcolor="#000000" stroked="false">
                <v:fill type="solid"/>
                <w10:wrap type="topAndBottom"/>
              </v:rect>
            </w:pict>
          </mc:Fallback>
        </mc:AlternateContent>
      </w:r>
    </w:p>
    <w:p>
      <w:pPr>
        <w:spacing w:before="101"/>
        <w:ind w:left="160" w:right="640" w:hanging="1"/>
        <w:jc w:val="left"/>
        <w:rPr>
          <w:sz w:val="20"/>
        </w:rPr>
      </w:pPr>
      <w:bookmarkStart w:name="_bookmark22" w:id="34"/>
      <w:bookmarkEnd w:id="34"/>
      <w:r>
        <w:rPr/>
      </w:r>
      <w:r>
        <w:rPr>
          <w:sz w:val="20"/>
          <w:vertAlign w:val="superscript"/>
        </w:rPr>
        <w:t>12</w:t>
      </w:r>
      <w:r>
        <w:rPr>
          <w:sz w:val="20"/>
          <w:vertAlign w:val="baseline"/>
        </w:rPr>
        <w:t> A list of States who have notified FDA under this policy is available on FDA’s FAQ website at: </w:t>
      </w:r>
      <w:hyperlink r:id="rId20">
        <w:r>
          <w:rPr>
            <w:color w:val="0000FF"/>
            <w:spacing w:val="-2"/>
            <w:sz w:val="20"/>
            <w:u w:val="single" w:color="0000FF"/>
            <w:vertAlign w:val="baseline"/>
          </w:rPr>
          <w:t>https://www.fda.gov/medical-devices/emergency-situations-medical-devices/faqs-diagnostic-testing-sars-cov-2</w:t>
        </w:r>
        <w:r>
          <w:rPr>
            <w:spacing w:val="-2"/>
            <w:sz w:val="20"/>
            <w:vertAlign w:val="baseline"/>
          </w:rPr>
          <w:t>.</w:t>
        </w:r>
      </w:hyperlink>
    </w:p>
    <w:p>
      <w:pPr>
        <w:spacing w:after="0"/>
        <w:jc w:val="left"/>
        <w:rPr>
          <w:sz w:val="20"/>
        </w:rPr>
        <w:sectPr>
          <w:pgSz w:w="12240" w:h="15840"/>
          <w:pgMar w:header="731" w:footer="785" w:top="1360" w:bottom="980" w:left="1280" w:right="1200"/>
        </w:sectPr>
      </w:pPr>
    </w:p>
    <w:p>
      <w:pPr>
        <w:pStyle w:val="BodyText"/>
        <w:spacing w:before="80"/>
        <w:ind w:left="159" w:right="278"/>
      </w:pPr>
      <w:r>
        <w:rPr/>
        <w:t>healthcare</w:t>
      </w:r>
      <w:r>
        <w:rPr>
          <w:spacing w:val="-3"/>
        </w:rPr>
        <w:t> </w:t>
      </w:r>
      <w:r>
        <w:rPr/>
        <w:t>workers</w:t>
      </w:r>
      <w:r>
        <w:rPr>
          <w:spacing w:val="-3"/>
        </w:rPr>
        <w:t> </w:t>
      </w:r>
      <w:r>
        <w:rPr/>
        <w:t>for</w:t>
      </w:r>
      <w:r>
        <w:rPr>
          <w:spacing w:val="-3"/>
        </w:rPr>
        <w:t> </w:t>
      </w:r>
      <w:r>
        <w:rPr/>
        <w:t>point-of-care</w:t>
      </w:r>
      <w:r>
        <w:rPr>
          <w:spacing w:val="-4"/>
        </w:rPr>
        <w:t> </w:t>
      </w:r>
      <w:r>
        <w:rPr/>
        <w:t>testing.</w:t>
      </w:r>
      <w:r>
        <w:rPr>
          <w:spacing w:val="-3"/>
        </w:rPr>
        <w:t> </w:t>
      </w:r>
      <w:r>
        <w:rPr/>
        <w:t>Unless</w:t>
      </w:r>
      <w:r>
        <w:rPr>
          <w:spacing w:val="-3"/>
        </w:rPr>
        <w:t> </w:t>
      </w:r>
      <w:r>
        <w:rPr/>
        <w:t>and</w:t>
      </w:r>
      <w:r>
        <w:rPr>
          <w:spacing w:val="-3"/>
        </w:rPr>
        <w:t> </w:t>
      </w:r>
      <w:r>
        <w:rPr/>
        <w:t>until</w:t>
      </w:r>
      <w:r>
        <w:rPr>
          <w:spacing w:val="-4"/>
        </w:rPr>
        <w:t> </w:t>
      </w:r>
      <w:r>
        <w:rPr/>
        <w:t>an</w:t>
      </w:r>
      <w:r>
        <w:rPr>
          <w:spacing w:val="-3"/>
        </w:rPr>
        <w:t> </w:t>
      </w:r>
      <w:r>
        <w:rPr/>
        <w:t>EUA</w:t>
      </w:r>
      <w:r>
        <w:rPr>
          <w:spacing w:val="-4"/>
        </w:rPr>
        <w:t> </w:t>
      </w:r>
      <w:r>
        <w:rPr/>
        <w:t>is</w:t>
      </w:r>
      <w:r>
        <w:rPr>
          <w:spacing w:val="-3"/>
        </w:rPr>
        <w:t> </w:t>
      </w:r>
      <w:r>
        <w:rPr/>
        <w:t>issued</w:t>
      </w:r>
      <w:r>
        <w:rPr>
          <w:spacing w:val="-3"/>
        </w:rPr>
        <w:t> </w:t>
      </w:r>
      <w:r>
        <w:rPr/>
        <w:t>that</w:t>
      </w:r>
      <w:r>
        <w:rPr>
          <w:spacing w:val="-3"/>
        </w:rPr>
        <w:t> </w:t>
      </w:r>
      <w:r>
        <w:rPr/>
        <w:t>authorizes additional testing environments for a specific test, under CLIA, use of that test is limited to laboratories</w:t>
      </w:r>
      <w:r>
        <w:rPr>
          <w:spacing w:val="-3"/>
        </w:rPr>
        <w:t> </w:t>
      </w:r>
      <w:r>
        <w:rPr/>
        <w:t>certified</w:t>
      </w:r>
      <w:r>
        <w:rPr>
          <w:spacing w:val="-2"/>
        </w:rPr>
        <w:t> </w:t>
      </w:r>
      <w:r>
        <w:rPr/>
        <w:t>to</w:t>
      </w:r>
      <w:r>
        <w:rPr>
          <w:spacing w:val="-2"/>
        </w:rPr>
        <w:t> </w:t>
      </w:r>
      <w:r>
        <w:rPr/>
        <w:t>perform</w:t>
      </w:r>
      <w:r>
        <w:rPr>
          <w:spacing w:val="-4"/>
        </w:rPr>
        <w:t> </w:t>
      </w:r>
      <w:r>
        <w:rPr/>
        <w:t>high</w:t>
      </w:r>
      <w:r>
        <w:rPr>
          <w:spacing w:val="-1"/>
        </w:rPr>
        <w:t> </w:t>
      </w:r>
      <w:r>
        <w:rPr/>
        <w:t>complexity</w:t>
      </w:r>
      <w:r>
        <w:rPr>
          <w:spacing w:val="-2"/>
        </w:rPr>
        <w:t> </w:t>
      </w:r>
      <w:r>
        <w:rPr/>
        <w:t>testing,</w:t>
      </w:r>
      <w:r>
        <w:rPr>
          <w:spacing w:val="-3"/>
        </w:rPr>
        <w:t> </w:t>
      </w:r>
      <w:r>
        <w:rPr/>
        <w:t>including</w:t>
      </w:r>
      <w:r>
        <w:rPr>
          <w:spacing w:val="-2"/>
        </w:rPr>
        <w:t> </w:t>
      </w:r>
      <w:r>
        <w:rPr/>
        <w:t>testing</w:t>
      </w:r>
      <w:r>
        <w:rPr>
          <w:spacing w:val="-3"/>
        </w:rPr>
        <w:t> </w:t>
      </w:r>
      <w:r>
        <w:rPr/>
        <w:t>at</w:t>
      </w:r>
      <w:r>
        <w:rPr>
          <w:spacing w:val="-2"/>
        </w:rPr>
        <w:t> </w:t>
      </w:r>
      <w:r>
        <w:rPr/>
        <w:t>the</w:t>
      </w:r>
      <w:r>
        <w:rPr>
          <w:spacing w:val="-2"/>
        </w:rPr>
        <w:t> </w:t>
      </w:r>
      <w:r>
        <w:rPr/>
        <w:t>point-of-care when the site is covered by the laboratory’s CLIA certificate for high-complexity testing.</w:t>
      </w:r>
    </w:p>
    <w:p>
      <w:pPr>
        <w:pStyle w:val="BodyText"/>
        <w:spacing w:before="11"/>
        <w:rPr>
          <w:sz w:val="23"/>
        </w:rPr>
      </w:pPr>
    </w:p>
    <w:p>
      <w:pPr>
        <w:pStyle w:val="BodyText"/>
        <w:ind w:left="159"/>
      </w:pPr>
      <w:r>
        <w:rPr/>
        <w:t>This</w:t>
      </w:r>
      <w:r>
        <w:rPr>
          <w:spacing w:val="-2"/>
        </w:rPr>
        <w:t> </w:t>
      </w:r>
      <w:r>
        <w:rPr/>
        <w:t>policy</w:t>
      </w:r>
      <w:r>
        <w:rPr>
          <w:spacing w:val="-3"/>
        </w:rPr>
        <w:t> </w:t>
      </w:r>
      <w:r>
        <w:rPr/>
        <w:t>does</w:t>
      </w:r>
      <w:r>
        <w:rPr>
          <w:spacing w:val="-2"/>
        </w:rPr>
        <w:t> </w:t>
      </w:r>
      <w:r>
        <w:rPr/>
        <w:t>not</w:t>
      </w:r>
      <w:r>
        <w:rPr>
          <w:spacing w:val="-1"/>
        </w:rPr>
        <w:t> </w:t>
      </w:r>
      <w:r>
        <w:rPr/>
        <w:t>apply</w:t>
      </w:r>
      <w:r>
        <w:rPr>
          <w:spacing w:val="-1"/>
        </w:rPr>
        <w:t> </w:t>
      </w:r>
      <w:r>
        <w:rPr/>
        <w:t>to</w:t>
      </w:r>
      <w:r>
        <w:rPr>
          <w:spacing w:val="-2"/>
        </w:rPr>
        <w:t> </w:t>
      </w:r>
      <w:r>
        <w:rPr/>
        <w:t>at-home</w:t>
      </w:r>
      <w:r>
        <w:rPr>
          <w:spacing w:val="-1"/>
        </w:rPr>
        <w:t> </w:t>
      </w:r>
      <w:r>
        <w:rPr/>
        <w:t>testing,</w:t>
      </w:r>
      <w:r>
        <w:rPr>
          <w:spacing w:val="-1"/>
        </w:rPr>
        <w:t> </w:t>
      </w:r>
      <w:r>
        <w:rPr/>
        <w:t>including</w:t>
      </w:r>
      <w:r>
        <w:rPr>
          <w:spacing w:val="-2"/>
        </w:rPr>
        <w:t> </w:t>
      </w:r>
      <w:r>
        <w:rPr/>
        <w:t>at-home</w:t>
      </w:r>
      <w:r>
        <w:rPr>
          <w:spacing w:val="-1"/>
        </w:rPr>
        <w:t> </w:t>
      </w:r>
      <w:r>
        <w:rPr/>
        <w:t>specimen</w:t>
      </w:r>
      <w:r>
        <w:rPr>
          <w:spacing w:val="-1"/>
        </w:rPr>
        <w:t> </w:t>
      </w:r>
      <w:r>
        <w:rPr>
          <w:spacing w:val="-2"/>
        </w:rPr>
        <w:t>collection.</w:t>
      </w:r>
    </w:p>
    <w:p>
      <w:pPr>
        <w:pStyle w:val="BodyText"/>
      </w:pPr>
    </w:p>
    <w:p>
      <w:pPr>
        <w:pStyle w:val="BodyText"/>
        <w:ind w:left="159" w:right="281"/>
      </w:pPr>
      <w:r>
        <w:rPr/>
        <w:t>In light of the increasing numbers of COVID-19 cases throughout the country and the urgent need to expand the nation’s capacity for COVID-19 testing during the public health emergency, FDA does not intend to object to a commercial manufacturer’s development and distribution of SARS-CoV-2 test kits for specimen testing for a reasonable period of time, where the test has been validated and while</w:t>
      </w:r>
      <w:r>
        <w:rPr>
          <w:spacing w:val="-1"/>
        </w:rPr>
        <w:t> </w:t>
      </w:r>
      <w:r>
        <w:rPr/>
        <w:t>the manufacturer is preparing</w:t>
      </w:r>
      <w:r>
        <w:rPr>
          <w:spacing w:val="-2"/>
        </w:rPr>
        <w:t> </w:t>
      </w:r>
      <w:r>
        <w:rPr/>
        <w:t>its EUA</w:t>
      </w:r>
      <w:r>
        <w:rPr>
          <w:spacing w:val="-1"/>
        </w:rPr>
        <w:t> </w:t>
      </w:r>
      <w:r>
        <w:rPr/>
        <w:t>request,</w:t>
      </w:r>
      <w:r>
        <w:rPr>
          <w:spacing w:val="-2"/>
        </w:rPr>
        <w:t> </w:t>
      </w:r>
      <w:r>
        <w:rPr/>
        <w:t>where the manufacturer gives</w:t>
      </w:r>
      <w:r>
        <w:rPr>
          <w:spacing w:val="-3"/>
        </w:rPr>
        <w:t> </w:t>
      </w:r>
      <w:r>
        <w:rPr/>
        <w:t>notification</w:t>
      </w:r>
      <w:r>
        <w:rPr>
          <w:spacing w:val="-3"/>
        </w:rPr>
        <w:t> </w:t>
      </w:r>
      <w:r>
        <w:rPr/>
        <w:t>of</w:t>
      </w:r>
      <w:r>
        <w:rPr>
          <w:spacing w:val="-4"/>
        </w:rPr>
        <w:t> </w:t>
      </w:r>
      <w:r>
        <w:rPr/>
        <w:t>validation</w:t>
      </w:r>
      <w:r>
        <w:rPr>
          <w:spacing w:val="-5"/>
        </w:rPr>
        <w:t> </w:t>
      </w:r>
      <w:r>
        <w:rPr/>
        <w:t>to</w:t>
      </w:r>
      <w:r>
        <w:rPr>
          <w:spacing w:val="-3"/>
        </w:rPr>
        <w:t> </w:t>
      </w:r>
      <w:r>
        <w:rPr/>
        <w:t>FDA</w:t>
      </w:r>
      <w:r>
        <w:rPr>
          <w:spacing w:val="-4"/>
        </w:rPr>
        <w:t> </w:t>
      </w:r>
      <w:r>
        <w:rPr/>
        <w:t>as</w:t>
      </w:r>
      <w:r>
        <w:rPr>
          <w:spacing w:val="-3"/>
        </w:rPr>
        <w:t> </w:t>
      </w:r>
      <w:r>
        <w:rPr/>
        <w:t>described</w:t>
      </w:r>
      <w:r>
        <w:rPr>
          <w:spacing w:val="-3"/>
        </w:rPr>
        <w:t> </w:t>
      </w:r>
      <w:r>
        <w:rPr/>
        <w:t>below,</w:t>
      </w:r>
      <w:r>
        <w:rPr>
          <w:spacing w:val="-3"/>
        </w:rPr>
        <w:t> </w:t>
      </w:r>
      <w:r>
        <w:rPr/>
        <w:t>and</w:t>
      </w:r>
      <w:r>
        <w:rPr>
          <w:spacing w:val="-3"/>
        </w:rPr>
        <w:t> </w:t>
      </w:r>
      <w:r>
        <w:rPr/>
        <w:t>where</w:t>
      </w:r>
      <w:r>
        <w:rPr>
          <w:spacing w:val="-3"/>
        </w:rPr>
        <w:t> </w:t>
      </w:r>
      <w:r>
        <w:rPr/>
        <w:t>the</w:t>
      </w:r>
      <w:r>
        <w:rPr>
          <w:spacing w:val="-4"/>
        </w:rPr>
        <w:t> </w:t>
      </w:r>
      <w:r>
        <w:rPr/>
        <w:t>manufacturer</w:t>
      </w:r>
      <w:r>
        <w:rPr>
          <w:spacing w:val="-3"/>
        </w:rPr>
        <w:t> </w:t>
      </w:r>
      <w:r>
        <w:rPr/>
        <w:t>provides instructions for use of the test and posts data about the test’s performance characteristics on the manufacturer’s website. Transparency can help</w:t>
      </w:r>
      <w:r>
        <w:rPr>
          <w:spacing w:val="-1"/>
        </w:rPr>
        <w:t> </w:t>
      </w:r>
      <w:r>
        <w:rPr/>
        <w:t>mitigate potential adverse impacts from</w:t>
      </w:r>
      <w:r>
        <w:rPr>
          <w:spacing w:val="-1"/>
        </w:rPr>
        <w:t> </w:t>
      </w:r>
      <w:r>
        <w:rPr/>
        <w:t>a poorly designed test by facilitating better informed decisions by potential purchasers and users.</w:t>
      </w:r>
    </w:p>
    <w:p>
      <w:pPr>
        <w:pStyle w:val="BodyText"/>
      </w:pPr>
    </w:p>
    <w:p>
      <w:pPr>
        <w:pStyle w:val="BodyText"/>
        <w:ind w:left="159" w:right="285"/>
      </w:pPr>
      <w:r>
        <w:rPr/>
        <w:t>FDA</w:t>
      </w:r>
      <w:r>
        <w:rPr>
          <w:spacing w:val="-4"/>
        </w:rPr>
        <w:t> </w:t>
      </w:r>
      <w:r>
        <w:rPr/>
        <w:t>believes</w:t>
      </w:r>
      <w:r>
        <w:rPr>
          <w:spacing w:val="-3"/>
        </w:rPr>
        <w:t> </w:t>
      </w:r>
      <w:r>
        <w:rPr/>
        <w:t>that</w:t>
      </w:r>
      <w:r>
        <w:rPr>
          <w:spacing w:val="-3"/>
        </w:rPr>
        <w:t> </w:t>
      </w:r>
      <w:r>
        <w:rPr/>
        <w:t>15</w:t>
      </w:r>
      <w:r>
        <w:rPr>
          <w:spacing w:val="-3"/>
        </w:rPr>
        <w:t> </w:t>
      </w:r>
      <w:r>
        <w:rPr/>
        <w:t>business</w:t>
      </w:r>
      <w:r>
        <w:rPr>
          <w:spacing w:val="-3"/>
        </w:rPr>
        <w:t> </w:t>
      </w:r>
      <w:r>
        <w:rPr/>
        <w:t>days</w:t>
      </w:r>
      <w:r>
        <w:rPr>
          <w:spacing w:val="-3"/>
        </w:rPr>
        <w:t> </w:t>
      </w:r>
      <w:r>
        <w:rPr/>
        <w:t>is</w:t>
      </w:r>
      <w:r>
        <w:rPr>
          <w:spacing w:val="-3"/>
        </w:rPr>
        <w:t> </w:t>
      </w:r>
      <w:r>
        <w:rPr/>
        <w:t>a</w:t>
      </w:r>
      <w:r>
        <w:rPr>
          <w:spacing w:val="-3"/>
        </w:rPr>
        <w:t> </w:t>
      </w:r>
      <w:r>
        <w:rPr/>
        <w:t>reasonable</w:t>
      </w:r>
      <w:r>
        <w:rPr>
          <w:spacing w:val="-3"/>
        </w:rPr>
        <w:t> </w:t>
      </w:r>
      <w:r>
        <w:rPr/>
        <w:t>period</w:t>
      </w:r>
      <w:r>
        <w:rPr>
          <w:spacing w:val="-3"/>
        </w:rPr>
        <w:t> </w:t>
      </w:r>
      <w:r>
        <w:rPr/>
        <w:t>of</w:t>
      </w:r>
      <w:r>
        <w:rPr>
          <w:spacing w:val="-4"/>
        </w:rPr>
        <w:t> </w:t>
      </w:r>
      <w:r>
        <w:rPr/>
        <w:t>time</w:t>
      </w:r>
      <w:r>
        <w:rPr>
          <w:spacing w:val="-3"/>
        </w:rPr>
        <w:t> </w:t>
      </w:r>
      <w:r>
        <w:rPr/>
        <w:t>to</w:t>
      </w:r>
      <w:r>
        <w:rPr>
          <w:spacing w:val="-3"/>
        </w:rPr>
        <w:t> </w:t>
      </w:r>
      <w:r>
        <w:rPr/>
        <w:t>prepare</w:t>
      </w:r>
      <w:r>
        <w:rPr>
          <w:spacing w:val="-3"/>
        </w:rPr>
        <w:t> </w:t>
      </w:r>
      <w:r>
        <w:rPr/>
        <w:t>an</w:t>
      </w:r>
      <w:r>
        <w:rPr>
          <w:spacing w:val="-3"/>
        </w:rPr>
        <w:t> </w:t>
      </w:r>
      <w:r>
        <w:rPr/>
        <w:t>EUA</w:t>
      </w:r>
      <w:r>
        <w:rPr>
          <w:spacing w:val="-4"/>
        </w:rPr>
        <w:t> </w:t>
      </w:r>
      <w:r>
        <w:rPr/>
        <w:t>submission for a test that has already been validated. Soon after receiving the EUA request, FDA will perform a preliminary review to identify if there are any problems with the performance data. If a problem</w:t>
      </w:r>
      <w:r>
        <w:rPr>
          <w:spacing w:val="-2"/>
        </w:rPr>
        <w:t> </w:t>
      </w:r>
      <w:r>
        <w:rPr/>
        <w:t>is identified,</w:t>
      </w:r>
      <w:r>
        <w:rPr>
          <w:spacing w:val="-2"/>
        </w:rPr>
        <w:t> </w:t>
      </w:r>
      <w:r>
        <w:rPr/>
        <w:t>FDA</w:t>
      </w:r>
      <w:r>
        <w:rPr>
          <w:spacing w:val="-1"/>
        </w:rPr>
        <w:t> </w:t>
      </w:r>
      <w:r>
        <w:rPr/>
        <w:t>intends to work with the manufacturer to</w:t>
      </w:r>
      <w:r>
        <w:rPr>
          <w:spacing w:val="-2"/>
        </w:rPr>
        <w:t> </w:t>
      </w:r>
      <w:r>
        <w:rPr/>
        <w:t>address the problem</w:t>
      </w:r>
      <w:r>
        <w:rPr>
          <w:spacing w:val="-2"/>
        </w:rPr>
        <w:t> </w:t>
      </w:r>
      <w:r>
        <w:rPr/>
        <w:t>(e.g., through labeling or bench testing). If the problem is significant and cannot be addressed in a timely manner, and the manufacturer has already distributed the device, FDA would expect the manufacturer to suspend distribution and conduct a recall of the test.</w:t>
      </w:r>
    </w:p>
    <w:p>
      <w:pPr>
        <w:pStyle w:val="BodyText"/>
        <w:spacing w:before="5"/>
        <w:rPr>
          <w:sz w:val="34"/>
        </w:rPr>
      </w:pPr>
    </w:p>
    <w:p>
      <w:pPr>
        <w:pStyle w:val="Heading2"/>
        <w:numPr>
          <w:ilvl w:val="2"/>
          <w:numId w:val="6"/>
        </w:numPr>
        <w:tabs>
          <w:tab w:pos="2319" w:val="left" w:leader="none"/>
        </w:tabs>
        <w:spacing w:line="240" w:lineRule="auto" w:before="0" w:after="0"/>
        <w:ind w:left="2319" w:right="0" w:hanging="719"/>
        <w:jc w:val="left"/>
      </w:pPr>
      <w:bookmarkStart w:name="1. Validation" w:id="35"/>
      <w:bookmarkEnd w:id="35"/>
      <w:r>
        <w:rPr>
          <w:b w:val="0"/>
        </w:rPr>
      </w:r>
      <w:bookmarkStart w:name="_bookmark23" w:id="36"/>
      <w:bookmarkEnd w:id="36"/>
      <w:r>
        <w:rPr>
          <w:b w:val="0"/>
        </w:rPr>
      </w:r>
      <w:r>
        <w:rPr>
          <w:spacing w:val="-2"/>
        </w:rPr>
        <w:t>Validation</w:t>
      </w:r>
    </w:p>
    <w:p>
      <w:pPr>
        <w:pStyle w:val="BodyText"/>
        <w:spacing w:before="120"/>
        <w:ind w:left="159" w:right="287"/>
      </w:pPr>
      <w:r>
        <w:rPr/>
        <w:t>All clinical tests should be validated prior to use. In the context of a public health emergency, it is</w:t>
      </w:r>
      <w:r>
        <w:rPr>
          <w:spacing w:val="-3"/>
        </w:rPr>
        <w:t> </w:t>
      </w:r>
      <w:r>
        <w:rPr/>
        <w:t>critically</w:t>
      </w:r>
      <w:r>
        <w:rPr>
          <w:spacing w:val="-3"/>
        </w:rPr>
        <w:t> </w:t>
      </w:r>
      <w:r>
        <w:rPr/>
        <w:t>important</w:t>
      </w:r>
      <w:r>
        <w:rPr>
          <w:spacing w:val="-3"/>
        </w:rPr>
        <w:t> </w:t>
      </w:r>
      <w:r>
        <w:rPr/>
        <w:t>that</w:t>
      </w:r>
      <w:r>
        <w:rPr>
          <w:spacing w:val="-3"/>
        </w:rPr>
        <w:t> </w:t>
      </w:r>
      <w:r>
        <w:rPr/>
        <w:t>tests</w:t>
      </w:r>
      <w:r>
        <w:rPr>
          <w:spacing w:val="-3"/>
        </w:rPr>
        <w:t> </w:t>
      </w:r>
      <w:r>
        <w:rPr/>
        <w:t>are</w:t>
      </w:r>
      <w:r>
        <w:rPr>
          <w:spacing w:val="-3"/>
        </w:rPr>
        <w:t> </w:t>
      </w:r>
      <w:r>
        <w:rPr/>
        <w:t>validated</w:t>
      </w:r>
      <w:r>
        <w:rPr>
          <w:spacing w:val="-3"/>
        </w:rPr>
        <w:t> </w:t>
      </w:r>
      <w:r>
        <w:rPr/>
        <w:t>because</w:t>
      </w:r>
      <w:r>
        <w:rPr>
          <w:spacing w:val="-3"/>
        </w:rPr>
        <w:t> </w:t>
      </w:r>
      <w:r>
        <w:rPr/>
        <w:t>false</w:t>
      </w:r>
      <w:r>
        <w:rPr>
          <w:spacing w:val="-3"/>
        </w:rPr>
        <w:t> </w:t>
      </w:r>
      <w:r>
        <w:rPr/>
        <w:t>results</w:t>
      </w:r>
      <w:r>
        <w:rPr>
          <w:spacing w:val="-3"/>
        </w:rPr>
        <w:t> </w:t>
      </w:r>
      <w:r>
        <w:rPr/>
        <w:t>can</w:t>
      </w:r>
      <w:r>
        <w:rPr>
          <w:spacing w:val="-3"/>
        </w:rPr>
        <w:t> </w:t>
      </w:r>
      <w:r>
        <w:rPr/>
        <w:t>negatively</w:t>
      </w:r>
      <w:r>
        <w:rPr>
          <w:spacing w:val="-3"/>
        </w:rPr>
        <w:t> </w:t>
      </w:r>
      <w:r>
        <w:rPr/>
        <w:t>impact</w:t>
      </w:r>
      <w:r>
        <w:rPr>
          <w:spacing w:val="-3"/>
        </w:rPr>
        <w:t> </w:t>
      </w:r>
      <w:r>
        <w:rPr/>
        <w:t>not</w:t>
      </w:r>
      <w:r>
        <w:rPr>
          <w:spacing w:val="-3"/>
        </w:rPr>
        <w:t> </w:t>
      </w:r>
      <w:r>
        <w:rPr/>
        <w:t>only the individual patient but also can have broad public health impact. FDA has provided recommendations regarding testing that should be performed to ensure analytical and clinical validity in section V below. FDA encourages manufacturers to discuss any alternative technological approaches to validating their test with FDA through </w:t>
      </w:r>
      <w:hyperlink r:id="rId18">
        <w:r>
          <w:rPr>
            <w:color w:val="0000FF"/>
            <w:u w:val="single" w:color="0000FF"/>
          </w:rPr>
          <w:t>CDRH-EUA-</w:t>
        </w:r>
      </w:hyperlink>
      <w:r>
        <w:rPr>
          <w:color w:val="0000FF"/>
        </w:rPr>
        <w:t> </w:t>
      </w:r>
      <w:hyperlink r:id="rId18">
        <w:r>
          <w:rPr>
            <w:color w:val="0000FF"/>
            <w:spacing w:val="-2"/>
            <w:u w:val="single" w:color="0000FF"/>
          </w:rPr>
          <w:t>Templates@FDA.HHS.GOV</w:t>
        </w:r>
        <w:r>
          <w:rPr>
            <w:spacing w:val="-2"/>
          </w:rPr>
          <w:t>.</w:t>
        </w:r>
      </w:hyperlink>
    </w:p>
    <w:p>
      <w:pPr>
        <w:pStyle w:val="BodyText"/>
        <w:spacing w:before="10"/>
        <w:rPr>
          <w:sz w:val="26"/>
        </w:rPr>
      </w:pPr>
    </w:p>
    <w:p>
      <w:pPr>
        <w:pStyle w:val="Heading2"/>
        <w:numPr>
          <w:ilvl w:val="2"/>
          <w:numId w:val="6"/>
        </w:numPr>
        <w:tabs>
          <w:tab w:pos="2319" w:val="left" w:leader="none"/>
        </w:tabs>
        <w:spacing w:line="240" w:lineRule="auto" w:before="87" w:after="0"/>
        <w:ind w:left="2319" w:right="0" w:hanging="719"/>
        <w:jc w:val="left"/>
      </w:pPr>
      <w:bookmarkStart w:name="2. FDA Notification" w:id="37"/>
      <w:bookmarkEnd w:id="37"/>
      <w:r>
        <w:rPr>
          <w:b w:val="0"/>
        </w:rPr>
      </w:r>
      <w:bookmarkStart w:name="_bookmark24" w:id="38"/>
      <w:bookmarkEnd w:id="38"/>
      <w:r>
        <w:rPr>
          <w:b w:val="0"/>
        </w:rPr>
      </w:r>
      <w:r>
        <w:rPr/>
        <w:t>FDA</w:t>
      </w:r>
      <w:r>
        <w:rPr>
          <w:spacing w:val="-19"/>
        </w:rPr>
        <w:t> </w:t>
      </w:r>
      <w:r>
        <w:rPr>
          <w:spacing w:val="-2"/>
        </w:rPr>
        <w:t>Notification</w:t>
      </w:r>
    </w:p>
    <w:p>
      <w:pPr>
        <w:pStyle w:val="BodyText"/>
        <w:spacing w:before="120"/>
        <w:ind w:left="160" w:right="260"/>
      </w:pPr>
      <w:r>
        <w:rPr/>
        <w:t>Following completion of assay validation, manufacturers should notify FDA (e.g., e-mail to </w:t>
      </w:r>
      <w:hyperlink r:id="rId18">
        <w:r>
          <w:rPr>
            <w:color w:val="0000FF"/>
            <w:u w:val="single" w:color="0000FF"/>
          </w:rPr>
          <w:t>CDRH-EUA-Templates@FDA.HHS.GOV</w:t>
        </w:r>
      </w:hyperlink>
      <w:r>
        <w:rPr/>
        <w:t>)</w:t>
      </w:r>
      <w:r>
        <w:rPr>
          <w:spacing w:val="-4"/>
        </w:rPr>
        <w:t> </w:t>
      </w:r>
      <w:r>
        <w:rPr/>
        <w:t>that</w:t>
      </w:r>
      <w:r>
        <w:rPr>
          <w:spacing w:val="-5"/>
        </w:rPr>
        <w:t> </w:t>
      </w:r>
      <w:r>
        <w:rPr/>
        <w:t>their</w:t>
      </w:r>
      <w:r>
        <w:rPr>
          <w:spacing w:val="-4"/>
        </w:rPr>
        <w:t> </w:t>
      </w:r>
      <w:r>
        <w:rPr/>
        <w:t>assay</w:t>
      </w:r>
      <w:r>
        <w:rPr>
          <w:spacing w:val="-6"/>
        </w:rPr>
        <w:t> </w:t>
      </w:r>
      <w:r>
        <w:rPr/>
        <w:t>has</w:t>
      </w:r>
      <w:r>
        <w:rPr>
          <w:spacing w:val="-4"/>
        </w:rPr>
        <w:t> </w:t>
      </w:r>
      <w:r>
        <w:rPr/>
        <w:t>been</w:t>
      </w:r>
      <w:r>
        <w:rPr>
          <w:spacing w:val="-4"/>
        </w:rPr>
        <w:t> </w:t>
      </w:r>
      <w:r>
        <w:rPr/>
        <w:t>validated</w:t>
      </w:r>
      <w:r>
        <w:rPr>
          <w:spacing w:val="-6"/>
        </w:rPr>
        <w:t> </w:t>
      </w:r>
      <w:r>
        <w:rPr/>
        <w:t>and</w:t>
      </w:r>
      <w:r>
        <w:rPr>
          <w:spacing w:val="-4"/>
        </w:rPr>
        <w:t> </w:t>
      </w:r>
      <w:r>
        <w:rPr/>
        <w:t>they</w:t>
      </w:r>
      <w:r>
        <w:rPr>
          <w:spacing w:val="-4"/>
        </w:rPr>
        <w:t> </w:t>
      </w:r>
      <w:r>
        <w:rPr/>
        <w:t>intend</w:t>
      </w:r>
      <w:r>
        <w:rPr>
          <w:spacing w:val="-6"/>
        </w:rPr>
        <w:t> </w:t>
      </w:r>
      <w:r>
        <w:rPr/>
        <w:t>to begin distribution. This notification should include the name of the manufacturer, address, contact person, a website link, and a copy of the instructions for use including a summary of assay performance. FDA will acknowledge receipt of this notification via auto-reply, and generally will add the name of the manufacturer and test to FDA’s website listing.</w:t>
      </w:r>
    </w:p>
    <w:p>
      <w:pPr>
        <w:pStyle w:val="BodyText"/>
        <w:spacing w:before="11"/>
        <w:rPr>
          <w:sz w:val="23"/>
        </w:rPr>
      </w:pPr>
    </w:p>
    <w:p>
      <w:pPr>
        <w:pStyle w:val="BodyText"/>
        <w:ind w:left="160" w:right="278"/>
      </w:pPr>
      <w:r>
        <w:rPr/>
        <w:t>In circumstances where manufacturers use distributor(s) for their product, the manufacturers should</w:t>
      </w:r>
      <w:r>
        <w:rPr>
          <w:spacing w:val="-3"/>
        </w:rPr>
        <w:t> </w:t>
      </w:r>
      <w:r>
        <w:rPr/>
        <w:t>identify</w:t>
      </w:r>
      <w:r>
        <w:rPr>
          <w:spacing w:val="-3"/>
        </w:rPr>
        <w:t> </w:t>
      </w:r>
      <w:r>
        <w:rPr/>
        <w:t>the</w:t>
      </w:r>
      <w:r>
        <w:rPr>
          <w:spacing w:val="-3"/>
        </w:rPr>
        <w:t> </w:t>
      </w:r>
      <w:r>
        <w:rPr/>
        <w:t>names</w:t>
      </w:r>
      <w:r>
        <w:rPr>
          <w:spacing w:val="-3"/>
        </w:rPr>
        <w:t> </w:t>
      </w:r>
      <w:r>
        <w:rPr/>
        <w:t>of</w:t>
      </w:r>
      <w:r>
        <w:rPr>
          <w:spacing w:val="-4"/>
        </w:rPr>
        <w:t> </w:t>
      </w:r>
      <w:r>
        <w:rPr/>
        <w:t>all</w:t>
      </w:r>
      <w:r>
        <w:rPr>
          <w:spacing w:val="-3"/>
        </w:rPr>
        <w:t> </w:t>
      </w:r>
      <w:r>
        <w:rPr/>
        <w:t>distributors</w:t>
      </w:r>
      <w:r>
        <w:rPr>
          <w:spacing w:val="-3"/>
        </w:rPr>
        <w:t> </w:t>
      </w:r>
      <w:r>
        <w:rPr/>
        <w:t>in</w:t>
      </w:r>
      <w:r>
        <w:rPr>
          <w:spacing w:val="-5"/>
        </w:rPr>
        <w:t> </w:t>
      </w:r>
      <w:r>
        <w:rPr/>
        <w:t>their</w:t>
      </w:r>
      <w:r>
        <w:rPr>
          <w:spacing w:val="-3"/>
        </w:rPr>
        <w:t> </w:t>
      </w:r>
      <w:r>
        <w:rPr/>
        <w:t>notification.</w:t>
      </w:r>
      <w:r>
        <w:rPr>
          <w:spacing w:val="40"/>
        </w:rPr>
        <w:t> </w:t>
      </w:r>
      <w:r>
        <w:rPr/>
        <w:t>Distributors</w:t>
      </w:r>
      <w:r>
        <w:rPr>
          <w:spacing w:val="-3"/>
        </w:rPr>
        <w:t> </w:t>
      </w:r>
      <w:r>
        <w:rPr/>
        <w:t>and</w:t>
      </w:r>
      <w:r>
        <w:rPr>
          <w:spacing w:val="-3"/>
        </w:rPr>
        <w:t> </w:t>
      </w:r>
      <w:r>
        <w:rPr/>
        <w:t>laboratories</w:t>
      </w:r>
    </w:p>
    <w:p>
      <w:pPr>
        <w:spacing w:after="0"/>
        <w:sectPr>
          <w:pgSz w:w="12240" w:h="15840"/>
          <w:pgMar w:header="731" w:footer="785" w:top="1360" w:bottom="980" w:left="1280" w:right="1200"/>
        </w:sectPr>
      </w:pPr>
    </w:p>
    <w:p>
      <w:pPr>
        <w:pStyle w:val="BodyText"/>
        <w:spacing w:before="80"/>
        <w:ind w:left="160" w:right="241"/>
      </w:pPr>
      <w:r>
        <w:rPr/>
        <w:t>using</w:t>
      </w:r>
      <w:r>
        <w:rPr>
          <w:spacing w:val="-3"/>
        </w:rPr>
        <w:t> </w:t>
      </w:r>
      <w:r>
        <w:rPr/>
        <w:t>these</w:t>
      </w:r>
      <w:r>
        <w:rPr>
          <w:spacing w:val="-3"/>
        </w:rPr>
        <w:t> </w:t>
      </w:r>
      <w:r>
        <w:rPr/>
        <w:t>tests</w:t>
      </w:r>
      <w:r>
        <w:rPr>
          <w:spacing w:val="-3"/>
        </w:rPr>
        <w:t> </w:t>
      </w:r>
      <w:r>
        <w:rPr/>
        <w:t>should</w:t>
      </w:r>
      <w:r>
        <w:rPr>
          <w:spacing w:val="-5"/>
        </w:rPr>
        <w:t> </w:t>
      </w:r>
      <w:r>
        <w:rPr/>
        <w:t>not</w:t>
      </w:r>
      <w:r>
        <w:rPr>
          <w:spacing w:val="-3"/>
        </w:rPr>
        <w:t> </w:t>
      </w:r>
      <w:r>
        <w:rPr/>
        <w:t>provide</w:t>
      </w:r>
      <w:r>
        <w:rPr>
          <w:spacing w:val="-4"/>
        </w:rPr>
        <w:t> </w:t>
      </w:r>
      <w:r>
        <w:rPr/>
        <w:t>separate</w:t>
      </w:r>
      <w:r>
        <w:rPr>
          <w:spacing w:val="-3"/>
        </w:rPr>
        <w:t> </w:t>
      </w:r>
      <w:r>
        <w:rPr/>
        <w:t>notification.</w:t>
      </w:r>
      <w:r>
        <w:rPr>
          <w:spacing w:val="-3"/>
        </w:rPr>
        <w:t> </w:t>
      </w:r>
      <w:r>
        <w:rPr/>
        <w:t>As</w:t>
      </w:r>
      <w:r>
        <w:rPr>
          <w:spacing w:val="-4"/>
        </w:rPr>
        <w:t> </w:t>
      </w:r>
      <w:r>
        <w:rPr/>
        <w:t>noted</w:t>
      </w:r>
      <w:r>
        <w:rPr>
          <w:spacing w:val="-3"/>
        </w:rPr>
        <w:t> </w:t>
      </w:r>
      <w:r>
        <w:rPr/>
        <w:t>above,</w:t>
      </w:r>
      <w:r>
        <w:rPr>
          <w:spacing w:val="-5"/>
        </w:rPr>
        <w:t> </w:t>
      </w:r>
      <w:r>
        <w:rPr/>
        <w:t>FDA</w:t>
      </w:r>
      <w:r>
        <w:rPr>
          <w:spacing w:val="-4"/>
        </w:rPr>
        <w:t> </w:t>
      </w:r>
      <w:r>
        <w:rPr/>
        <w:t>recommends</w:t>
      </w:r>
      <w:r>
        <w:rPr>
          <w:spacing w:val="-3"/>
        </w:rPr>
        <w:t> </w:t>
      </w:r>
      <w:r>
        <w:rPr/>
        <w:t>that manufacturers submit a completed EUA request within 15 business days of the notification to FDA that the assay has been successfully validated.</w:t>
      </w:r>
      <w:hyperlink w:history="true" w:anchor="_bookmark26">
        <w:r>
          <w:rPr>
            <w:vertAlign w:val="superscript"/>
          </w:rPr>
          <w:t>13</w:t>
        </w:r>
      </w:hyperlink>
      <w:r>
        <w:rPr>
          <w:vertAlign w:val="baseline"/>
        </w:rPr>
        <w:t> If an EUA request is not submitted within this timeframe, FDA intends to remove the manufacturer/test from its website listing of notified tests and may take additional actions as appropriate.</w:t>
      </w:r>
    </w:p>
    <w:p>
      <w:pPr>
        <w:pStyle w:val="BodyText"/>
        <w:spacing w:before="11"/>
        <w:rPr>
          <w:sz w:val="23"/>
        </w:rPr>
      </w:pPr>
    </w:p>
    <w:p>
      <w:pPr>
        <w:pStyle w:val="BodyText"/>
        <w:ind w:left="160" w:right="241"/>
      </w:pPr>
      <w:r>
        <w:rPr/>
        <w:t>It would be helpful to FDA if manufacturers provide information on testing capacity, as well as the</w:t>
      </w:r>
      <w:r>
        <w:rPr>
          <w:spacing w:val="-3"/>
        </w:rPr>
        <w:t> </w:t>
      </w:r>
      <w:r>
        <w:rPr/>
        <w:t>number</w:t>
      </w:r>
      <w:r>
        <w:rPr>
          <w:spacing w:val="-3"/>
        </w:rPr>
        <w:t> </w:t>
      </w:r>
      <w:r>
        <w:rPr/>
        <w:t>of</w:t>
      </w:r>
      <w:r>
        <w:rPr>
          <w:spacing w:val="-4"/>
        </w:rPr>
        <w:t> </w:t>
      </w:r>
      <w:r>
        <w:rPr/>
        <w:t>laboratories</w:t>
      </w:r>
      <w:r>
        <w:rPr>
          <w:spacing w:val="-3"/>
        </w:rPr>
        <w:t> </w:t>
      </w:r>
      <w:r>
        <w:rPr/>
        <w:t>in</w:t>
      </w:r>
      <w:r>
        <w:rPr>
          <w:spacing w:val="-3"/>
        </w:rPr>
        <w:t> </w:t>
      </w:r>
      <w:r>
        <w:rPr/>
        <w:t>the</w:t>
      </w:r>
      <w:r>
        <w:rPr>
          <w:spacing w:val="-3"/>
        </w:rPr>
        <w:t> </w:t>
      </w:r>
      <w:r>
        <w:rPr/>
        <w:t>U.S.</w:t>
      </w:r>
      <w:r>
        <w:rPr>
          <w:spacing w:val="-3"/>
        </w:rPr>
        <w:t> </w:t>
      </w:r>
      <w:r>
        <w:rPr/>
        <w:t>with</w:t>
      </w:r>
      <w:r>
        <w:rPr>
          <w:spacing w:val="-3"/>
        </w:rPr>
        <w:t> </w:t>
      </w:r>
      <w:r>
        <w:rPr/>
        <w:t>the</w:t>
      </w:r>
      <w:r>
        <w:rPr>
          <w:spacing w:val="-4"/>
        </w:rPr>
        <w:t> </w:t>
      </w:r>
      <w:r>
        <w:rPr/>
        <w:t>required</w:t>
      </w:r>
      <w:r>
        <w:rPr>
          <w:spacing w:val="-3"/>
        </w:rPr>
        <w:t> </w:t>
      </w:r>
      <w:r>
        <w:rPr/>
        <w:t>platforms</w:t>
      </w:r>
      <w:r>
        <w:rPr>
          <w:spacing w:val="-3"/>
        </w:rPr>
        <w:t> </w:t>
      </w:r>
      <w:r>
        <w:rPr/>
        <w:t>installed.</w:t>
      </w:r>
      <w:r>
        <w:rPr>
          <w:spacing w:val="-3"/>
        </w:rPr>
        <w:t> </w:t>
      </w:r>
      <w:r>
        <w:rPr/>
        <w:t>This</w:t>
      </w:r>
      <w:r>
        <w:rPr>
          <w:spacing w:val="-3"/>
        </w:rPr>
        <w:t> </w:t>
      </w:r>
      <w:r>
        <w:rPr/>
        <w:t>information</w:t>
      </w:r>
      <w:r>
        <w:rPr>
          <w:spacing w:val="-3"/>
        </w:rPr>
        <w:t> </w:t>
      </w:r>
      <w:r>
        <w:rPr/>
        <w:t>will help the Agency and Department monitor the landscape as we work to ensure adequate testing capacity across the country.</w:t>
      </w:r>
    </w:p>
    <w:p>
      <w:pPr>
        <w:pStyle w:val="BodyText"/>
        <w:spacing w:before="4"/>
        <w:rPr>
          <w:sz w:val="38"/>
        </w:rPr>
      </w:pPr>
    </w:p>
    <w:p>
      <w:pPr>
        <w:pStyle w:val="ListParagraph"/>
        <w:numPr>
          <w:ilvl w:val="2"/>
          <w:numId w:val="6"/>
        </w:numPr>
        <w:tabs>
          <w:tab w:pos="2319" w:val="left" w:leader="none"/>
        </w:tabs>
        <w:spacing w:line="240" w:lineRule="auto" w:before="1" w:after="0"/>
        <w:ind w:left="2319" w:right="0" w:hanging="719"/>
        <w:jc w:val="left"/>
        <w:rPr>
          <w:b/>
          <w:sz w:val="32"/>
        </w:rPr>
      </w:pPr>
      <w:r>
        <w:rPr>
          <w:b/>
          <w:sz w:val="32"/>
        </w:rPr>
        <w:t>Reporting</w:t>
      </w:r>
      <w:r>
        <w:rPr>
          <w:b/>
          <w:spacing w:val="-4"/>
          <w:sz w:val="32"/>
        </w:rPr>
        <w:t> </w:t>
      </w:r>
      <w:r>
        <w:rPr>
          <w:b/>
          <w:sz w:val="32"/>
        </w:rPr>
        <w:t>of</w:t>
      </w:r>
      <w:r>
        <w:rPr>
          <w:b/>
          <w:spacing w:val="-3"/>
          <w:sz w:val="32"/>
        </w:rPr>
        <w:t> </w:t>
      </w:r>
      <w:r>
        <w:rPr>
          <w:b/>
          <w:spacing w:val="-2"/>
          <w:sz w:val="32"/>
        </w:rPr>
        <w:t>Results</w:t>
      </w:r>
    </w:p>
    <w:p>
      <w:pPr>
        <w:pStyle w:val="BodyText"/>
        <w:spacing w:before="120"/>
        <w:ind w:left="160" w:right="278"/>
      </w:pPr>
      <w:r>
        <w:rPr/>
        <w:t>In order to provide transparency, FDA recommends that instructions for use and test reports include</w:t>
      </w:r>
      <w:r>
        <w:rPr>
          <w:spacing w:val="-4"/>
        </w:rPr>
        <w:t> </w:t>
      </w:r>
      <w:r>
        <w:rPr/>
        <w:t>a</w:t>
      </w:r>
      <w:r>
        <w:rPr>
          <w:spacing w:val="-3"/>
        </w:rPr>
        <w:t> </w:t>
      </w:r>
      <w:r>
        <w:rPr/>
        <w:t>general</w:t>
      </w:r>
      <w:r>
        <w:rPr>
          <w:spacing w:val="-3"/>
        </w:rPr>
        <w:t> </w:t>
      </w:r>
      <w:r>
        <w:rPr/>
        <w:t>statement</w:t>
      </w:r>
      <w:r>
        <w:rPr>
          <w:spacing w:val="-3"/>
        </w:rPr>
        <w:t> </w:t>
      </w:r>
      <w:r>
        <w:rPr/>
        <w:t>that</w:t>
      </w:r>
      <w:r>
        <w:rPr>
          <w:spacing w:val="-3"/>
        </w:rPr>
        <w:t> </w:t>
      </w:r>
      <w:r>
        <w:rPr/>
        <w:t>the</w:t>
      </w:r>
      <w:r>
        <w:rPr>
          <w:spacing w:val="-4"/>
        </w:rPr>
        <w:t> </w:t>
      </w:r>
      <w:r>
        <w:rPr/>
        <w:t>test</w:t>
      </w:r>
      <w:r>
        <w:rPr>
          <w:spacing w:val="-3"/>
        </w:rPr>
        <w:t> </w:t>
      </w:r>
      <w:r>
        <w:rPr/>
        <w:t>has</w:t>
      </w:r>
      <w:r>
        <w:rPr>
          <w:spacing w:val="-3"/>
        </w:rPr>
        <w:t> </w:t>
      </w:r>
      <w:r>
        <w:rPr/>
        <w:t>been</w:t>
      </w:r>
      <w:r>
        <w:rPr>
          <w:spacing w:val="-5"/>
        </w:rPr>
        <w:t> </w:t>
      </w:r>
      <w:r>
        <w:rPr/>
        <w:t>validated</w:t>
      </w:r>
      <w:r>
        <w:rPr>
          <w:spacing w:val="-2"/>
        </w:rPr>
        <w:t> </w:t>
      </w:r>
      <w:r>
        <w:rPr/>
        <w:t>but</w:t>
      </w:r>
      <w:r>
        <w:rPr>
          <w:spacing w:val="-3"/>
        </w:rPr>
        <w:t> </w:t>
      </w:r>
      <w:r>
        <w:rPr/>
        <w:t>FDA’s</w:t>
      </w:r>
      <w:r>
        <w:rPr>
          <w:spacing w:val="-3"/>
        </w:rPr>
        <w:t> </w:t>
      </w:r>
      <w:r>
        <w:rPr/>
        <w:t>independent</w:t>
      </w:r>
      <w:r>
        <w:rPr>
          <w:spacing w:val="-4"/>
        </w:rPr>
        <w:t> </w:t>
      </w:r>
      <w:r>
        <w:rPr/>
        <w:t>review</w:t>
      </w:r>
      <w:r>
        <w:rPr>
          <w:spacing w:val="-4"/>
        </w:rPr>
        <w:t> </w:t>
      </w:r>
      <w:r>
        <w:rPr/>
        <w:t>of</w:t>
      </w:r>
      <w:r>
        <w:rPr>
          <w:spacing w:val="-4"/>
        </w:rPr>
        <w:t> </w:t>
      </w:r>
      <w:r>
        <w:rPr/>
        <w:t>this validation is pending.</w:t>
      </w:r>
    </w:p>
    <w:p>
      <w:pPr>
        <w:pStyle w:val="BodyText"/>
        <w:spacing w:before="5"/>
        <w:rPr>
          <w:sz w:val="34"/>
        </w:rPr>
      </w:pPr>
    </w:p>
    <w:p>
      <w:pPr>
        <w:pStyle w:val="Heading2"/>
        <w:numPr>
          <w:ilvl w:val="2"/>
          <w:numId w:val="6"/>
        </w:numPr>
        <w:tabs>
          <w:tab w:pos="2319" w:val="left" w:leader="none"/>
        </w:tabs>
        <w:spacing w:line="240" w:lineRule="auto" w:before="0" w:after="0"/>
        <w:ind w:left="2319" w:right="0" w:hanging="719"/>
        <w:jc w:val="left"/>
      </w:pPr>
      <w:bookmarkStart w:name="4. EUA Request" w:id="39"/>
      <w:bookmarkEnd w:id="39"/>
      <w:r>
        <w:rPr>
          <w:b w:val="0"/>
        </w:rPr>
      </w:r>
      <w:bookmarkStart w:name="_bookmark25" w:id="40"/>
      <w:bookmarkEnd w:id="40"/>
      <w:r>
        <w:rPr>
          <w:b w:val="0"/>
        </w:rPr>
      </w:r>
      <w:r>
        <w:rPr/>
        <w:t>EUA</w:t>
      </w:r>
      <w:r>
        <w:rPr>
          <w:spacing w:val="-19"/>
        </w:rPr>
        <w:t> </w:t>
      </w:r>
      <w:r>
        <w:rPr>
          <w:spacing w:val="-2"/>
        </w:rPr>
        <w:t>Request</w:t>
      </w:r>
    </w:p>
    <w:p>
      <w:pPr>
        <w:pStyle w:val="BodyText"/>
        <w:spacing w:before="120"/>
        <w:ind w:left="160" w:right="341"/>
      </w:pPr>
      <w:r>
        <w:rPr/>
        <w:t>FDA has made available, through download from our website, a template that test kit manufacturers</w:t>
      </w:r>
      <w:r>
        <w:rPr>
          <w:spacing w:val="-3"/>
        </w:rPr>
        <w:t> </w:t>
      </w:r>
      <w:r>
        <w:rPr/>
        <w:t>may</w:t>
      </w:r>
      <w:r>
        <w:rPr>
          <w:spacing w:val="-3"/>
        </w:rPr>
        <w:t> </w:t>
      </w:r>
      <w:r>
        <w:rPr/>
        <w:t>choose</w:t>
      </w:r>
      <w:r>
        <w:rPr>
          <w:spacing w:val="-3"/>
        </w:rPr>
        <w:t> </w:t>
      </w:r>
      <w:r>
        <w:rPr/>
        <w:t>to</w:t>
      </w:r>
      <w:r>
        <w:rPr>
          <w:spacing w:val="-3"/>
        </w:rPr>
        <w:t> </w:t>
      </w:r>
      <w:r>
        <w:rPr/>
        <w:t>use</w:t>
      </w:r>
      <w:r>
        <w:rPr>
          <w:spacing w:val="-4"/>
        </w:rPr>
        <w:t> </w:t>
      </w:r>
      <w:r>
        <w:rPr/>
        <w:t>to</w:t>
      </w:r>
      <w:r>
        <w:rPr>
          <w:spacing w:val="-3"/>
        </w:rPr>
        <w:t> </w:t>
      </w:r>
      <w:r>
        <w:rPr/>
        <w:t>facilitate</w:t>
      </w:r>
      <w:r>
        <w:rPr>
          <w:spacing w:val="-4"/>
        </w:rPr>
        <w:t> </w:t>
      </w:r>
      <w:r>
        <w:rPr/>
        <w:t>the</w:t>
      </w:r>
      <w:r>
        <w:rPr>
          <w:spacing w:val="-4"/>
        </w:rPr>
        <w:t> </w:t>
      </w:r>
      <w:r>
        <w:rPr/>
        <w:t>preparation,</w:t>
      </w:r>
      <w:r>
        <w:rPr>
          <w:spacing w:val="-5"/>
        </w:rPr>
        <w:t> </w:t>
      </w:r>
      <w:r>
        <w:rPr/>
        <w:t>submission,</w:t>
      </w:r>
      <w:r>
        <w:rPr>
          <w:spacing w:val="-3"/>
        </w:rPr>
        <w:t> </w:t>
      </w:r>
      <w:r>
        <w:rPr/>
        <w:t>and</w:t>
      </w:r>
      <w:r>
        <w:rPr>
          <w:spacing w:val="-3"/>
        </w:rPr>
        <w:t> </w:t>
      </w:r>
      <w:r>
        <w:rPr/>
        <w:t>authorization</w:t>
      </w:r>
      <w:r>
        <w:rPr>
          <w:spacing w:val="-3"/>
        </w:rPr>
        <w:t> </w:t>
      </w:r>
      <w:r>
        <w:rPr/>
        <w:t>of an EUA for a molecular diagnostic.</w:t>
      </w:r>
      <w:hyperlink w:history="true" w:anchor="_bookmark27">
        <w:r>
          <w:rPr>
            <w:vertAlign w:val="superscript"/>
          </w:rPr>
          <w:t>14</w:t>
        </w:r>
      </w:hyperlink>
      <w:r>
        <w:rPr>
          <w:vertAlign w:val="baseline"/>
        </w:rPr>
        <w:t> Manufacturers can use alternative approaches.</w:t>
      </w:r>
    </w:p>
    <w:p>
      <w:pPr>
        <w:pStyle w:val="BodyText"/>
        <w:ind w:left="160" w:right="303"/>
      </w:pPr>
      <w:r>
        <w:rPr/>
        <w:t>Manufacturers who intend to use alternative approaches should consider seeking FDA’s feedback or recommendations to help them through the pre-EUA and EUA process. FDA encourages</w:t>
      </w:r>
      <w:r>
        <w:rPr>
          <w:spacing w:val="-5"/>
        </w:rPr>
        <w:t> </w:t>
      </w:r>
      <w:r>
        <w:rPr/>
        <w:t>manufacturers</w:t>
      </w:r>
      <w:r>
        <w:rPr>
          <w:spacing w:val="-4"/>
        </w:rPr>
        <w:t> </w:t>
      </w:r>
      <w:r>
        <w:rPr/>
        <w:t>to</w:t>
      </w:r>
      <w:r>
        <w:rPr>
          <w:spacing w:val="-4"/>
        </w:rPr>
        <w:t> </w:t>
      </w:r>
      <w:r>
        <w:rPr/>
        <w:t>discuss</w:t>
      </w:r>
      <w:r>
        <w:rPr>
          <w:spacing w:val="-5"/>
        </w:rPr>
        <w:t> </w:t>
      </w:r>
      <w:r>
        <w:rPr/>
        <w:t>any</w:t>
      </w:r>
      <w:r>
        <w:rPr>
          <w:spacing w:val="-4"/>
        </w:rPr>
        <w:t> </w:t>
      </w:r>
      <w:r>
        <w:rPr/>
        <w:t>alternative</w:t>
      </w:r>
      <w:r>
        <w:rPr>
          <w:spacing w:val="-4"/>
        </w:rPr>
        <w:t> </w:t>
      </w:r>
      <w:r>
        <w:rPr/>
        <w:t>technological</w:t>
      </w:r>
      <w:r>
        <w:rPr>
          <w:spacing w:val="-5"/>
        </w:rPr>
        <w:t> </w:t>
      </w:r>
      <w:r>
        <w:rPr/>
        <w:t>approaches</w:t>
      </w:r>
      <w:r>
        <w:rPr>
          <w:spacing w:val="-4"/>
        </w:rPr>
        <w:t> </w:t>
      </w:r>
      <w:r>
        <w:rPr/>
        <w:t>to</w:t>
      </w:r>
      <w:r>
        <w:rPr>
          <w:spacing w:val="-4"/>
        </w:rPr>
        <w:t> </w:t>
      </w:r>
      <w:r>
        <w:rPr/>
        <w:t>validating</w:t>
      </w:r>
      <w:r>
        <w:rPr>
          <w:spacing w:val="-6"/>
        </w:rPr>
        <w:t> </w:t>
      </w:r>
      <w:r>
        <w:rPr/>
        <w:t>their test with FDA through </w:t>
      </w:r>
      <w:hyperlink r:id="rId18">
        <w:r>
          <w:rPr>
            <w:color w:val="0000FF"/>
            <w:u w:val="single" w:color="0000FF"/>
          </w:rPr>
          <w:t>CDRH-EUA-Templates@FDA.HHS.GOV</w:t>
        </w:r>
        <w:r>
          <w:rPr/>
          <w:t>.</w:t>
        </w:r>
      </w:hyperlink>
    </w:p>
    <w:p>
      <w:pPr>
        <w:pStyle w:val="BodyText"/>
        <w:spacing w:before="2"/>
        <w:rPr>
          <w:sz w:val="16"/>
        </w:rPr>
      </w:pPr>
    </w:p>
    <w:p>
      <w:pPr>
        <w:pStyle w:val="BodyText"/>
        <w:spacing w:before="90"/>
        <w:ind w:left="160" w:right="241"/>
      </w:pPr>
      <w:r>
        <w:rPr/>
        <w:t>Soon</w:t>
      </w:r>
      <w:r>
        <w:rPr>
          <w:spacing w:val="-3"/>
        </w:rPr>
        <w:t> </w:t>
      </w:r>
      <w:r>
        <w:rPr/>
        <w:t>after</w:t>
      </w:r>
      <w:r>
        <w:rPr>
          <w:spacing w:val="-3"/>
        </w:rPr>
        <w:t> </w:t>
      </w:r>
      <w:r>
        <w:rPr/>
        <w:t>receiving</w:t>
      </w:r>
      <w:r>
        <w:rPr>
          <w:spacing w:val="-3"/>
        </w:rPr>
        <w:t> </w:t>
      </w:r>
      <w:r>
        <w:rPr/>
        <w:t>the</w:t>
      </w:r>
      <w:r>
        <w:rPr>
          <w:spacing w:val="-4"/>
        </w:rPr>
        <w:t> </w:t>
      </w:r>
      <w:r>
        <w:rPr/>
        <w:t>EUA</w:t>
      </w:r>
      <w:r>
        <w:rPr>
          <w:spacing w:val="-4"/>
        </w:rPr>
        <w:t> </w:t>
      </w:r>
      <w:r>
        <w:rPr/>
        <w:t>request,</w:t>
      </w:r>
      <w:r>
        <w:rPr>
          <w:spacing w:val="-3"/>
        </w:rPr>
        <w:t> </w:t>
      </w:r>
      <w:r>
        <w:rPr/>
        <w:t>FDA</w:t>
      </w:r>
      <w:r>
        <w:rPr>
          <w:spacing w:val="-4"/>
        </w:rPr>
        <w:t> </w:t>
      </w:r>
      <w:r>
        <w:rPr/>
        <w:t>intends</w:t>
      </w:r>
      <w:r>
        <w:rPr>
          <w:spacing w:val="-3"/>
        </w:rPr>
        <w:t> </w:t>
      </w:r>
      <w:r>
        <w:rPr/>
        <w:t>to</w:t>
      </w:r>
      <w:r>
        <w:rPr>
          <w:spacing w:val="-3"/>
        </w:rPr>
        <w:t> </w:t>
      </w:r>
      <w:r>
        <w:rPr/>
        <w:t>perform</w:t>
      </w:r>
      <w:r>
        <w:rPr>
          <w:spacing w:val="-4"/>
        </w:rPr>
        <w:t> </w:t>
      </w:r>
      <w:r>
        <w:rPr/>
        <w:t>a</w:t>
      </w:r>
      <w:r>
        <w:rPr>
          <w:spacing w:val="-3"/>
        </w:rPr>
        <w:t> </w:t>
      </w:r>
      <w:r>
        <w:rPr/>
        <w:t>preliminary</w:t>
      </w:r>
      <w:r>
        <w:rPr>
          <w:spacing w:val="-3"/>
        </w:rPr>
        <w:t> </w:t>
      </w:r>
      <w:r>
        <w:rPr/>
        <w:t>review</w:t>
      </w:r>
      <w:r>
        <w:rPr>
          <w:spacing w:val="-4"/>
        </w:rPr>
        <w:t> </w:t>
      </w:r>
      <w:r>
        <w:rPr/>
        <w:t>to</w:t>
      </w:r>
      <w:r>
        <w:rPr>
          <w:spacing w:val="-3"/>
        </w:rPr>
        <w:t> </w:t>
      </w:r>
      <w:r>
        <w:rPr/>
        <w:t>identify</w:t>
      </w:r>
      <w:r>
        <w:rPr>
          <w:spacing w:val="-3"/>
        </w:rPr>
        <w:t> </w:t>
      </w:r>
      <w:r>
        <w:rPr/>
        <w:t>if there are any problems with the performance data. If a problem is identified, FDA intends to work with the manufacturer to address the problem (e.g., through labeling or bench testing). If any problems are significant and cannot be addressed in a timely manner, FDA would expect the manufacturer to suspend distribution and conduct a recall of the test, which should include a notification concerning corrected test reports indicating prior test results may not be accurate. In such circumstances, FDA intends to remove the manufacturer/test from the website listing of </w:t>
      </w:r>
      <w:r>
        <w:rPr>
          <w:spacing w:val="-2"/>
        </w:rPr>
        <w:t>notifications.</w:t>
      </w:r>
    </w:p>
    <w:p>
      <w:pPr>
        <w:pStyle w:val="BodyText"/>
      </w:pPr>
    </w:p>
    <w:p>
      <w:pPr>
        <w:pStyle w:val="BodyText"/>
        <w:ind w:left="160"/>
      </w:pPr>
      <w:r>
        <w:rPr/>
        <w:t>Issued</w:t>
      </w:r>
      <w:r>
        <w:rPr>
          <w:spacing w:val="-2"/>
        </w:rPr>
        <w:t> </w:t>
      </w:r>
      <w:r>
        <w:rPr/>
        <w:t>EUAs</w:t>
      </w:r>
      <w:r>
        <w:rPr>
          <w:spacing w:val="-1"/>
        </w:rPr>
        <w:t> </w:t>
      </w:r>
      <w:r>
        <w:rPr/>
        <w:t>are</w:t>
      </w:r>
      <w:r>
        <w:rPr>
          <w:spacing w:val="-1"/>
        </w:rPr>
        <w:t> </w:t>
      </w:r>
      <w:r>
        <w:rPr/>
        <w:t>posted</w:t>
      </w:r>
      <w:r>
        <w:rPr>
          <w:spacing w:val="-3"/>
        </w:rPr>
        <w:t> </w:t>
      </w:r>
      <w:r>
        <w:rPr/>
        <w:t>on</w:t>
      </w:r>
      <w:r>
        <w:rPr>
          <w:spacing w:val="-1"/>
        </w:rPr>
        <w:t> </w:t>
      </w:r>
      <w:r>
        <w:rPr/>
        <w:t>FDA’s</w:t>
      </w:r>
      <w:r>
        <w:rPr>
          <w:spacing w:val="-1"/>
        </w:rPr>
        <w:t> </w:t>
      </w:r>
      <w:r>
        <w:rPr>
          <w:spacing w:val="-2"/>
        </w:rPr>
        <w:t>website.</w:t>
      </w:r>
    </w:p>
    <w:p>
      <w:pPr>
        <w:pStyle w:val="BodyText"/>
      </w:pPr>
    </w:p>
    <w:p>
      <w:pPr>
        <w:pStyle w:val="BodyText"/>
        <w:ind w:left="160" w:right="447"/>
      </w:pPr>
      <w:r>
        <w:rPr/>
        <w:t>A</w:t>
      </w:r>
      <w:r>
        <w:rPr>
          <w:spacing w:val="-3"/>
        </w:rPr>
        <w:t> </w:t>
      </w:r>
      <w:r>
        <w:rPr/>
        <w:t>manufacturer</w:t>
      </w:r>
      <w:r>
        <w:rPr>
          <w:spacing w:val="-3"/>
        </w:rPr>
        <w:t> </w:t>
      </w:r>
      <w:r>
        <w:rPr/>
        <w:t>may</w:t>
      </w:r>
      <w:r>
        <w:rPr>
          <w:spacing w:val="-3"/>
        </w:rPr>
        <w:t> </w:t>
      </w:r>
      <w:r>
        <w:rPr/>
        <w:t>request</w:t>
      </w:r>
      <w:r>
        <w:rPr>
          <w:spacing w:val="-3"/>
        </w:rPr>
        <w:t> </w:t>
      </w:r>
      <w:r>
        <w:rPr/>
        <w:t>certain</w:t>
      </w:r>
      <w:r>
        <w:rPr>
          <w:spacing w:val="-4"/>
        </w:rPr>
        <w:t> </w:t>
      </w:r>
      <w:r>
        <w:rPr/>
        <w:t>modifications</w:t>
      </w:r>
      <w:r>
        <w:rPr>
          <w:spacing w:val="-3"/>
        </w:rPr>
        <w:t> </w:t>
      </w:r>
      <w:r>
        <w:rPr/>
        <w:t>to</w:t>
      </w:r>
      <w:r>
        <w:rPr>
          <w:spacing w:val="-3"/>
        </w:rPr>
        <w:t> </w:t>
      </w:r>
      <w:r>
        <w:rPr/>
        <w:t>its</w:t>
      </w:r>
      <w:r>
        <w:rPr>
          <w:spacing w:val="-3"/>
        </w:rPr>
        <w:t> </w:t>
      </w:r>
      <w:r>
        <w:rPr/>
        <w:t>EUA-authorized</w:t>
      </w:r>
      <w:r>
        <w:rPr>
          <w:spacing w:val="-5"/>
        </w:rPr>
        <w:t> </w:t>
      </w:r>
      <w:r>
        <w:rPr/>
        <w:t>test</w:t>
      </w:r>
      <w:r>
        <w:rPr>
          <w:spacing w:val="-3"/>
        </w:rPr>
        <w:t> </w:t>
      </w:r>
      <w:r>
        <w:rPr/>
        <w:t>as</w:t>
      </w:r>
      <w:r>
        <w:rPr>
          <w:spacing w:val="-3"/>
        </w:rPr>
        <w:t> </w:t>
      </w:r>
      <w:r>
        <w:rPr/>
        <w:t>an</w:t>
      </w:r>
      <w:r>
        <w:rPr>
          <w:spacing w:val="-5"/>
        </w:rPr>
        <w:t> </w:t>
      </w:r>
      <w:r>
        <w:rPr/>
        <w:t>amendment to the EUA as specified in the EUA’s Conditions of Authorization. Where validation data supporting the modification have been submitted in the amendment, FDA does not intend to</w:t>
      </w:r>
    </w:p>
    <w:p>
      <w:pPr>
        <w:pStyle w:val="BodyText"/>
        <w:spacing w:before="3"/>
        <w:rPr>
          <w:sz w:val="17"/>
        </w:rPr>
      </w:pPr>
      <w:r>
        <w:rPr/>
        <mc:AlternateContent>
          <mc:Choice Requires="wps">
            <w:drawing>
              <wp:anchor distT="0" distB="0" distL="0" distR="0" allowOverlap="1" layoutInCell="1" locked="0" behindDoc="1" simplePos="0" relativeHeight="487592448">
                <wp:simplePos x="0" y="0"/>
                <wp:positionH relativeFrom="page">
                  <wp:posOffset>914400</wp:posOffset>
                </wp:positionH>
                <wp:positionV relativeFrom="paragraph">
                  <wp:posOffset>141802</wp:posOffset>
                </wp:positionV>
                <wp:extent cx="1828800" cy="7620"/>
                <wp:effectExtent l="0" t="0" r="0" b="0"/>
                <wp:wrapTopAndBottom/>
                <wp:docPr id="14" name="Graphic 14"/>
                <wp:cNvGraphicFramePr>
                  <a:graphicFrameLocks/>
                </wp:cNvGraphicFramePr>
                <a:graphic>
                  <a:graphicData uri="http://schemas.microsoft.com/office/word/2010/wordprocessingShape">
                    <wps:wsp>
                      <wps:cNvPr id="14" name="Graphic 14"/>
                      <wps:cNvSpPr/>
                      <wps:spPr>
                        <a:xfrm>
                          <a:off x="0" y="0"/>
                          <a:ext cx="1828800" cy="7620"/>
                        </a:xfrm>
                        <a:custGeom>
                          <a:avLst/>
                          <a:gdLst/>
                          <a:ahLst/>
                          <a:cxnLst/>
                          <a:rect l="l" t="t" r="r" b="b"/>
                          <a:pathLst>
                            <a:path w="1828800" h="7620">
                              <a:moveTo>
                                <a:pt x="1828800" y="0"/>
                              </a:moveTo>
                              <a:lnTo>
                                <a:pt x="0" y="0"/>
                              </a:lnTo>
                              <a:lnTo>
                                <a:pt x="0" y="7620"/>
                              </a:lnTo>
                              <a:lnTo>
                                <a:pt x="1828800" y="762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11.165576pt;width:144pt;height:.6pt;mso-position-horizontal-relative:page;mso-position-vertical-relative:paragraph;z-index:-15724032;mso-wrap-distance-left:0;mso-wrap-distance-right:0" id="docshape14" filled="true" fillcolor="#000000" stroked="false">
                <v:fill type="solid"/>
                <w10:wrap type="topAndBottom"/>
              </v:rect>
            </w:pict>
          </mc:Fallback>
        </mc:AlternateContent>
      </w:r>
    </w:p>
    <w:p>
      <w:pPr>
        <w:spacing w:before="101"/>
        <w:ind w:left="160" w:right="303" w:firstLine="0"/>
        <w:jc w:val="left"/>
        <w:rPr>
          <w:sz w:val="20"/>
        </w:rPr>
      </w:pPr>
      <w:bookmarkStart w:name="_bookmark26" w:id="41"/>
      <w:bookmarkEnd w:id="41"/>
      <w:r>
        <w:rPr/>
      </w:r>
      <w:r>
        <w:rPr>
          <w:sz w:val="20"/>
          <w:vertAlign w:val="superscript"/>
        </w:rPr>
        <w:t>13</w:t>
      </w:r>
      <w:r>
        <w:rPr>
          <w:sz w:val="20"/>
          <w:vertAlign w:val="baseline"/>
        </w:rPr>
        <w:t> See FDA’s Guidance, Emergency Use Authorization of Medical Products and Related Authorities, available at </w:t>
      </w:r>
      <w:hyperlink r:id="rId16">
        <w:r>
          <w:rPr>
            <w:color w:val="0000FF"/>
            <w:spacing w:val="-2"/>
            <w:sz w:val="20"/>
            <w:u w:val="single" w:color="0000FF"/>
            <w:vertAlign w:val="baseline"/>
          </w:rPr>
          <w:t>https://www.fda.gov/regulatory-information/search-fda-guidance-documents/emergency-use-authorization-medical-</w:t>
        </w:r>
      </w:hyperlink>
      <w:r>
        <w:rPr>
          <w:color w:val="0000FF"/>
          <w:spacing w:val="-2"/>
          <w:sz w:val="20"/>
          <w:vertAlign w:val="baseline"/>
        </w:rPr>
        <w:t> </w:t>
      </w:r>
      <w:bookmarkStart w:name="_bookmark27" w:id="42"/>
      <w:bookmarkEnd w:id="42"/>
      <w:r>
        <w:rPr>
          <w:color w:val="0000FF"/>
          <w:sz w:val="20"/>
          <w:vertAlign w:val="baseline"/>
        </w:rPr>
      </w:r>
      <w:hyperlink r:id="rId16">
        <w:r>
          <w:rPr>
            <w:color w:val="0000FF"/>
            <w:spacing w:val="-2"/>
            <w:sz w:val="20"/>
            <w:u w:val="single" w:color="0000FF"/>
            <w:vertAlign w:val="baseline"/>
          </w:rPr>
          <w:t>products-and-related-authorities</w:t>
        </w:r>
        <w:r>
          <w:rPr>
            <w:spacing w:val="-2"/>
            <w:sz w:val="20"/>
            <w:vertAlign w:val="baseline"/>
          </w:rPr>
          <w:t>.</w:t>
        </w:r>
      </w:hyperlink>
    </w:p>
    <w:p>
      <w:pPr>
        <w:spacing w:before="0"/>
        <w:ind w:left="160" w:right="0" w:firstLine="0"/>
        <w:jc w:val="left"/>
        <w:rPr>
          <w:sz w:val="20"/>
        </w:rPr>
      </w:pPr>
      <w:r>
        <w:rPr>
          <w:sz w:val="20"/>
          <w:vertAlign w:val="superscript"/>
        </w:rPr>
        <w:t>14</w:t>
      </w:r>
      <w:r>
        <w:rPr>
          <w:spacing w:val="-13"/>
          <w:sz w:val="20"/>
          <w:vertAlign w:val="baseline"/>
        </w:rPr>
        <w:t> </w:t>
      </w:r>
      <w:r>
        <w:rPr>
          <w:sz w:val="20"/>
          <w:vertAlign w:val="baseline"/>
        </w:rPr>
        <w:t>See</w:t>
      </w:r>
      <w:r>
        <w:rPr>
          <w:spacing w:val="-12"/>
          <w:sz w:val="20"/>
          <w:vertAlign w:val="baseline"/>
        </w:rPr>
        <w:t> </w:t>
      </w:r>
      <w:hyperlink r:id="rId19">
        <w:r>
          <w:rPr>
            <w:color w:val="0000FF"/>
            <w:sz w:val="20"/>
            <w:u w:val="single" w:color="0000FF"/>
            <w:vertAlign w:val="baseline"/>
          </w:rPr>
          <w:t>https://www.fda.gov/medical-devices/emergency-situations-medical-devices/emergency-use-</w:t>
        </w:r>
      </w:hyperlink>
      <w:r>
        <w:rPr>
          <w:color w:val="0000FF"/>
          <w:sz w:val="20"/>
          <w:vertAlign w:val="baseline"/>
        </w:rPr>
        <w:t> </w:t>
      </w:r>
      <w:hyperlink r:id="rId19">
        <w:r>
          <w:rPr>
            <w:color w:val="0000FF"/>
            <w:spacing w:val="-2"/>
            <w:sz w:val="20"/>
            <w:u w:val="single" w:color="0000FF"/>
            <w:vertAlign w:val="baseline"/>
          </w:rPr>
          <w:t>authorizations#coronavirus2019</w:t>
        </w:r>
      </w:hyperlink>
    </w:p>
    <w:p>
      <w:pPr>
        <w:spacing w:after="0"/>
        <w:jc w:val="left"/>
        <w:rPr>
          <w:sz w:val="20"/>
        </w:rPr>
        <w:sectPr>
          <w:pgSz w:w="12240" w:h="15840"/>
          <w:pgMar w:header="731" w:footer="785" w:top="1360" w:bottom="980" w:left="1280" w:right="1200"/>
        </w:sectPr>
      </w:pPr>
    </w:p>
    <w:p>
      <w:pPr>
        <w:pStyle w:val="BodyText"/>
        <w:spacing w:before="80"/>
        <w:ind w:left="160" w:right="348"/>
      </w:pPr>
      <w:r>
        <w:rPr/>
        <w:t>object to implementation of the modification while FDA conducts its review, except for modifications</w:t>
      </w:r>
      <w:r>
        <w:rPr>
          <w:spacing w:val="-3"/>
        </w:rPr>
        <w:t> </w:t>
      </w:r>
      <w:r>
        <w:rPr/>
        <w:t>to</w:t>
      </w:r>
      <w:r>
        <w:rPr>
          <w:spacing w:val="-3"/>
        </w:rPr>
        <w:t> </w:t>
      </w:r>
      <w:r>
        <w:rPr/>
        <w:t>add</w:t>
      </w:r>
      <w:r>
        <w:rPr>
          <w:spacing w:val="-3"/>
        </w:rPr>
        <w:t> </w:t>
      </w:r>
      <w:r>
        <w:rPr/>
        <w:t>specimen</w:t>
      </w:r>
      <w:r>
        <w:rPr>
          <w:spacing w:val="-3"/>
        </w:rPr>
        <w:t> </w:t>
      </w:r>
      <w:r>
        <w:rPr/>
        <w:t>types</w:t>
      </w:r>
      <w:r>
        <w:rPr>
          <w:spacing w:val="-3"/>
        </w:rPr>
        <w:t> </w:t>
      </w:r>
      <w:r>
        <w:rPr/>
        <w:t>that</w:t>
      </w:r>
      <w:r>
        <w:rPr>
          <w:spacing w:val="-3"/>
        </w:rPr>
        <w:t> </w:t>
      </w:r>
      <w:r>
        <w:rPr/>
        <w:t>have</w:t>
      </w:r>
      <w:r>
        <w:rPr>
          <w:spacing w:val="-3"/>
        </w:rPr>
        <w:t> </w:t>
      </w:r>
      <w:r>
        <w:rPr/>
        <w:t>not</w:t>
      </w:r>
      <w:r>
        <w:rPr>
          <w:spacing w:val="-3"/>
        </w:rPr>
        <w:t> </w:t>
      </w:r>
      <w:r>
        <w:rPr/>
        <w:t>been</w:t>
      </w:r>
      <w:r>
        <w:rPr>
          <w:spacing w:val="-3"/>
        </w:rPr>
        <w:t> </w:t>
      </w:r>
      <w:r>
        <w:rPr/>
        <w:t>previously</w:t>
      </w:r>
      <w:r>
        <w:rPr>
          <w:spacing w:val="-3"/>
        </w:rPr>
        <w:t> </w:t>
      </w:r>
      <w:r>
        <w:rPr/>
        <w:t>authorized</w:t>
      </w:r>
      <w:r>
        <w:rPr>
          <w:spacing w:val="-3"/>
        </w:rPr>
        <w:t> </w:t>
      </w:r>
      <w:r>
        <w:rPr/>
        <w:t>with</w:t>
      </w:r>
      <w:r>
        <w:rPr>
          <w:spacing w:val="-5"/>
        </w:rPr>
        <w:t> </w:t>
      </w:r>
      <w:r>
        <w:rPr/>
        <w:t>another</w:t>
      </w:r>
      <w:r>
        <w:rPr>
          <w:spacing w:val="-4"/>
        </w:rPr>
        <w:t> </w:t>
      </w:r>
      <w:r>
        <w:rPr/>
        <w:t>test of the same technology.</w:t>
      </w:r>
    </w:p>
    <w:p>
      <w:pPr>
        <w:pStyle w:val="BodyText"/>
        <w:spacing w:before="4"/>
        <w:rPr>
          <w:sz w:val="34"/>
        </w:rPr>
      </w:pPr>
    </w:p>
    <w:p>
      <w:pPr>
        <w:pStyle w:val="Heading2"/>
        <w:numPr>
          <w:ilvl w:val="2"/>
          <w:numId w:val="6"/>
        </w:numPr>
        <w:tabs>
          <w:tab w:pos="2319" w:val="left" w:leader="none"/>
        </w:tabs>
        <w:spacing w:line="240" w:lineRule="auto" w:before="0" w:after="0"/>
        <w:ind w:left="2319" w:right="0" w:hanging="719"/>
        <w:jc w:val="left"/>
      </w:pPr>
      <w:bookmarkStart w:name="5. Clinical Testing" w:id="43"/>
      <w:bookmarkEnd w:id="43"/>
      <w:r>
        <w:rPr>
          <w:b w:val="0"/>
        </w:rPr>
      </w:r>
      <w:bookmarkStart w:name="_bookmark28" w:id="44"/>
      <w:bookmarkEnd w:id="44"/>
      <w:r>
        <w:rPr>
          <w:b w:val="0"/>
        </w:rPr>
      </w:r>
      <w:r>
        <w:rPr/>
        <w:t>Clinical</w:t>
      </w:r>
      <w:r>
        <w:rPr>
          <w:spacing w:val="-12"/>
        </w:rPr>
        <w:t> </w:t>
      </w:r>
      <w:r>
        <w:rPr>
          <w:spacing w:val="-2"/>
        </w:rPr>
        <w:t>Testing</w:t>
      </w:r>
    </w:p>
    <w:p>
      <w:pPr>
        <w:pStyle w:val="BodyText"/>
        <w:spacing w:before="121"/>
        <w:ind w:left="160" w:right="473"/>
        <w:jc w:val="both"/>
      </w:pPr>
      <w:r>
        <w:rPr/>
        <w:t>While</w:t>
      </w:r>
      <w:r>
        <w:rPr>
          <w:spacing w:val="-2"/>
        </w:rPr>
        <w:t> </w:t>
      </w:r>
      <w:r>
        <w:rPr/>
        <w:t>awaiting</w:t>
      </w:r>
      <w:r>
        <w:rPr>
          <w:spacing w:val="-2"/>
        </w:rPr>
        <w:t> </w:t>
      </w:r>
      <w:r>
        <w:rPr/>
        <w:t>FDA</w:t>
      </w:r>
      <w:r>
        <w:rPr>
          <w:spacing w:val="-3"/>
        </w:rPr>
        <w:t> </w:t>
      </w:r>
      <w:r>
        <w:rPr/>
        <w:t>determination</w:t>
      </w:r>
      <w:r>
        <w:rPr>
          <w:spacing w:val="-2"/>
        </w:rPr>
        <w:t> </w:t>
      </w:r>
      <w:r>
        <w:rPr/>
        <w:t>on</w:t>
      </w:r>
      <w:r>
        <w:rPr>
          <w:spacing w:val="-2"/>
        </w:rPr>
        <w:t> </w:t>
      </w:r>
      <w:r>
        <w:rPr/>
        <w:t>the</w:t>
      </w:r>
      <w:r>
        <w:rPr>
          <w:spacing w:val="-2"/>
        </w:rPr>
        <w:t> </w:t>
      </w:r>
      <w:r>
        <w:rPr/>
        <w:t>EUA</w:t>
      </w:r>
      <w:r>
        <w:rPr>
          <w:spacing w:val="-3"/>
        </w:rPr>
        <w:t> </w:t>
      </w:r>
      <w:r>
        <w:rPr/>
        <w:t>request,</w:t>
      </w:r>
      <w:r>
        <w:rPr>
          <w:spacing w:val="-2"/>
        </w:rPr>
        <w:t> </w:t>
      </w:r>
      <w:r>
        <w:rPr/>
        <w:t>FDA</w:t>
      </w:r>
      <w:r>
        <w:rPr>
          <w:spacing w:val="-3"/>
        </w:rPr>
        <w:t> </w:t>
      </w:r>
      <w:r>
        <w:rPr/>
        <w:t>recommends</w:t>
      </w:r>
      <w:r>
        <w:rPr>
          <w:spacing w:val="-2"/>
        </w:rPr>
        <w:t> </w:t>
      </w:r>
      <w:r>
        <w:rPr/>
        <w:t>that</w:t>
      </w:r>
      <w:r>
        <w:rPr>
          <w:spacing w:val="-2"/>
        </w:rPr>
        <w:t> </w:t>
      </w:r>
      <w:r>
        <w:rPr/>
        <w:t>manufacturers make</w:t>
      </w:r>
      <w:r>
        <w:rPr>
          <w:spacing w:val="-3"/>
        </w:rPr>
        <w:t> </w:t>
      </w:r>
      <w:r>
        <w:rPr/>
        <w:t>publicly</w:t>
      </w:r>
      <w:r>
        <w:rPr>
          <w:spacing w:val="-3"/>
        </w:rPr>
        <w:t> </w:t>
      </w:r>
      <w:r>
        <w:rPr/>
        <w:t>available</w:t>
      </w:r>
      <w:r>
        <w:rPr>
          <w:spacing w:val="-4"/>
        </w:rPr>
        <w:t> </w:t>
      </w:r>
      <w:r>
        <w:rPr/>
        <w:t>on</w:t>
      </w:r>
      <w:r>
        <w:rPr>
          <w:spacing w:val="-3"/>
        </w:rPr>
        <w:t> </w:t>
      </w:r>
      <w:r>
        <w:rPr/>
        <w:t>their</w:t>
      </w:r>
      <w:r>
        <w:rPr>
          <w:spacing w:val="-3"/>
        </w:rPr>
        <w:t> </w:t>
      </w:r>
      <w:r>
        <w:rPr/>
        <w:t>website</w:t>
      </w:r>
      <w:r>
        <w:rPr>
          <w:spacing w:val="-4"/>
        </w:rPr>
        <w:t> </w:t>
      </w:r>
      <w:r>
        <w:rPr/>
        <w:t>the</w:t>
      </w:r>
      <w:r>
        <w:rPr>
          <w:spacing w:val="-3"/>
        </w:rPr>
        <w:t> </w:t>
      </w:r>
      <w:r>
        <w:rPr/>
        <w:t>instructions</w:t>
      </w:r>
      <w:r>
        <w:rPr>
          <w:spacing w:val="-3"/>
        </w:rPr>
        <w:t> </w:t>
      </w:r>
      <w:r>
        <w:rPr/>
        <w:t>for</w:t>
      </w:r>
      <w:r>
        <w:rPr>
          <w:spacing w:val="-3"/>
        </w:rPr>
        <w:t> </w:t>
      </w:r>
      <w:r>
        <w:rPr/>
        <w:t>use,</w:t>
      </w:r>
      <w:r>
        <w:rPr>
          <w:spacing w:val="-3"/>
        </w:rPr>
        <w:t> </w:t>
      </w:r>
      <w:r>
        <w:rPr/>
        <w:t>including</w:t>
      </w:r>
      <w:r>
        <w:rPr>
          <w:spacing w:val="-5"/>
        </w:rPr>
        <w:t> </w:t>
      </w:r>
      <w:r>
        <w:rPr/>
        <w:t>a</w:t>
      </w:r>
      <w:r>
        <w:rPr>
          <w:spacing w:val="-3"/>
        </w:rPr>
        <w:t> </w:t>
      </w:r>
      <w:r>
        <w:rPr/>
        <w:t>summary</w:t>
      </w:r>
      <w:r>
        <w:rPr>
          <w:spacing w:val="-2"/>
        </w:rPr>
        <w:t> </w:t>
      </w:r>
      <w:r>
        <w:rPr/>
        <w:t>of</w:t>
      </w:r>
      <w:r>
        <w:rPr>
          <w:spacing w:val="-4"/>
        </w:rPr>
        <w:t> </w:t>
      </w:r>
      <w:r>
        <w:rPr/>
        <w:t>assay </w:t>
      </w:r>
      <w:r>
        <w:rPr>
          <w:spacing w:val="-2"/>
        </w:rPr>
        <w:t>performance.</w:t>
      </w:r>
    </w:p>
    <w:p>
      <w:pPr>
        <w:pStyle w:val="BodyText"/>
        <w:spacing w:before="3"/>
        <w:rPr>
          <w:sz w:val="34"/>
        </w:rPr>
      </w:pPr>
    </w:p>
    <w:p>
      <w:pPr>
        <w:pStyle w:val="ListParagraph"/>
        <w:numPr>
          <w:ilvl w:val="1"/>
          <w:numId w:val="6"/>
        </w:numPr>
        <w:tabs>
          <w:tab w:pos="1599" w:val="left" w:leader="none"/>
        </w:tabs>
        <w:spacing w:line="240" w:lineRule="auto" w:before="1" w:after="0"/>
        <w:ind w:left="880" w:right="247" w:firstLine="0"/>
        <w:jc w:val="left"/>
        <w:rPr>
          <w:b/>
          <w:sz w:val="32"/>
        </w:rPr>
      </w:pPr>
      <w:bookmarkStart w:name="D. Commercial Manufacturer Development a" w:id="45"/>
      <w:bookmarkEnd w:id="45"/>
      <w:r>
        <w:rPr/>
      </w:r>
      <w:bookmarkStart w:name="_bookmark29" w:id="46"/>
      <w:bookmarkEnd w:id="46"/>
      <w:r>
        <w:rPr/>
      </w:r>
      <w:r>
        <w:rPr>
          <w:b/>
          <w:sz w:val="32"/>
        </w:rPr>
        <w:t>Commercial</w:t>
      </w:r>
      <w:r>
        <w:rPr>
          <w:b/>
          <w:spacing w:val="-14"/>
          <w:sz w:val="32"/>
        </w:rPr>
        <w:t> </w:t>
      </w:r>
      <w:r>
        <w:rPr>
          <w:b/>
          <w:sz w:val="32"/>
        </w:rPr>
        <w:t>Manufacturer</w:t>
      </w:r>
      <w:r>
        <w:rPr>
          <w:b/>
          <w:spacing w:val="-17"/>
          <w:sz w:val="32"/>
        </w:rPr>
        <w:t> </w:t>
      </w:r>
      <w:r>
        <w:rPr>
          <w:b/>
          <w:sz w:val="32"/>
        </w:rPr>
        <w:t>Development</w:t>
      </w:r>
      <w:r>
        <w:rPr>
          <w:b/>
          <w:spacing w:val="-12"/>
          <w:sz w:val="32"/>
        </w:rPr>
        <w:t> </w:t>
      </w:r>
      <w:r>
        <w:rPr>
          <w:b/>
          <w:sz w:val="32"/>
        </w:rPr>
        <w:t>and</w:t>
      </w:r>
      <w:r>
        <w:rPr>
          <w:b/>
          <w:spacing w:val="-13"/>
          <w:sz w:val="32"/>
        </w:rPr>
        <w:t> </w:t>
      </w:r>
      <w:r>
        <w:rPr>
          <w:b/>
          <w:sz w:val="32"/>
        </w:rPr>
        <w:t>Distribution and Laboratory Development and Use of Serology Tests Prior to or Without an EUA</w:t>
      </w:r>
    </w:p>
    <w:p>
      <w:pPr>
        <w:pStyle w:val="BodyText"/>
        <w:spacing w:before="120"/>
        <w:ind w:left="160" w:right="292"/>
      </w:pPr>
      <w:r>
        <w:rPr/>
        <w:t>The policy described in this subsection applies to developers of serology tests that identify antibodies</w:t>
      </w:r>
      <w:r>
        <w:rPr>
          <w:spacing w:val="-3"/>
        </w:rPr>
        <w:t> </w:t>
      </w:r>
      <w:r>
        <w:rPr/>
        <w:t>(e.g.,</w:t>
      </w:r>
      <w:r>
        <w:rPr>
          <w:spacing w:val="-3"/>
        </w:rPr>
        <w:t> </w:t>
      </w:r>
      <w:r>
        <w:rPr/>
        <w:t>IgG,</w:t>
      </w:r>
      <w:r>
        <w:rPr>
          <w:spacing w:val="-3"/>
        </w:rPr>
        <w:t> </w:t>
      </w:r>
      <w:r>
        <w:rPr/>
        <w:t>IgM)</w:t>
      </w:r>
      <w:r>
        <w:rPr>
          <w:spacing w:val="-3"/>
        </w:rPr>
        <w:t> </w:t>
      </w:r>
      <w:r>
        <w:rPr/>
        <w:t>to</w:t>
      </w:r>
      <w:r>
        <w:rPr>
          <w:spacing w:val="-3"/>
        </w:rPr>
        <w:t> </w:t>
      </w:r>
      <w:r>
        <w:rPr/>
        <w:t>SARS-CoV-2</w:t>
      </w:r>
      <w:r>
        <w:rPr>
          <w:spacing w:val="-3"/>
        </w:rPr>
        <w:t> </w:t>
      </w:r>
      <w:r>
        <w:rPr/>
        <w:t>from</w:t>
      </w:r>
      <w:r>
        <w:rPr>
          <w:spacing w:val="-4"/>
        </w:rPr>
        <w:t> </w:t>
      </w:r>
      <w:r>
        <w:rPr/>
        <w:t>clinical</w:t>
      </w:r>
      <w:r>
        <w:rPr>
          <w:spacing w:val="-3"/>
        </w:rPr>
        <w:t> </w:t>
      </w:r>
      <w:r>
        <w:rPr/>
        <w:t>specimens.</w:t>
      </w:r>
      <w:r>
        <w:rPr>
          <w:spacing w:val="-3"/>
        </w:rPr>
        <w:t> </w:t>
      </w:r>
      <w:r>
        <w:rPr/>
        <w:t>Unless</w:t>
      </w:r>
      <w:r>
        <w:rPr>
          <w:spacing w:val="-3"/>
        </w:rPr>
        <w:t> </w:t>
      </w:r>
      <w:r>
        <w:rPr/>
        <w:t>and</w:t>
      </w:r>
      <w:r>
        <w:rPr>
          <w:spacing w:val="-3"/>
        </w:rPr>
        <w:t> </w:t>
      </w:r>
      <w:r>
        <w:rPr/>
        <w:t>until</w:t>
      </w:r>
      <w:r>
        <w:rPr>
          <w:spacing w:val="-3"/>
        </w:rPr>
        <w:t> </w:t>
      </w:r>
      <w:r>
        <w:rPr/>
        <w:t>an</w:t>
      </w:r>
      <w:r>
        <w:rPr>
          <w:spacing w:val="-3"/>
        </w:rPr>
        <w:t> </w:t>
      </w:r>
      <w:r>
        <w:rPr/>
        <w:t>EUA</w:t>
      </w:r>
      <w:r>
        <w:rPr>
          <w:spacing w:val="-4"/>
        </w:rPr>
        <w:t> </w:t>
      </w:r>
      <w:r>
        <w:rPr/>
        <w:t>is issued that authorizes additional testing</w:t>
      </w:r>
      <w:r>
        <w:rPr>
          <w:spacing w:val="-1"/>
        </w:rPr>
        <w:t> </w:t>
      </w:r>
      <w:r>
        <w:rPr/>
        <w:t>environments for a specific test, under CLIA, use of</w:t>
      </w:r>
      <w:r>
        <w:rPr>
          <w:spacing w:val="-1"/>
        </w:rPr>
        <w:t> </w:t>
      </w:r>
      <w:r>
        <w:rPr/>
        <w:t>that test is limited to laboratories certified to perform high complexity testing, and at the point-of- care when covered by the laboratory’s CLIA certificate for high-complexity testing.</w:t>
      </w:r>
      <w:hyperlink w:history="true" w:anchor="_bookmark30">
        <w:r>
          <w:rPr>
            <w:vertAlign w:val="superscript"/>
          </w:rPr>
          <w:t>15</w:t>
        </w:r>
      </w:hyperlink>
      <w:r>
        <w:rPr>
          <w:vertAlign w:val="baseline"/>
        </w:rPr>
        <w:t> This policy does not apply to at-home testing, including at-home specimen collection, due to additional considerations that require FDA review.</w:t>
      </w:r>
      <w:hyperlink w:history="true" w:anchor="_bookmark31">
        <w:r>
          <w:rPr>
            <w:vertAlign w:val="superscript"/>
          </w:rPr>
          <w:t>16</w:t>
        </w:r>
      </w:hyperlink>
    </w:p>
    <w:p>
      <w:pPr>
        <w:pStyle w:val="BodyText"/>
      </w:pPr>
    </w:p>
    <w:p>
      <w:pPr>
        <w:pStyle w:val="BodyText"/>
        <w:ind w:left="159" w:right="261"/>
      </w:pPr>
      <w:r>
        <w:rPr/>
        <w:t>FDA does not intend to object to a commercial manufacturer’s development and distribution of serology tests to identify antibodies to SARS-CoV-2 for a reasonable period of time, where the test has been validated and while the manufacturer is preparing its EUA request, where the manufacturer gives notification of validation to FDA as described in subsection D.2 below, and where the manufacturer includes information in the instructions for use as described in subsection D.3 below. FDA provided early market access through its March 16, 2020, updated guidance,</w:t>
      </w:r>
      <w:r>
        <w:rPr>
          <w:spacing w:val="-3"/>
        </w:rPr>
        <w:t> </w:t>
      </w:r>
      <w:r>
        <w:rPr/>
        <w:t>but</w:t>
      </w:r>
      <w:r>
        <w:rPr>
          <w:spacing w:val="-3"/>
        </w:rPr>
        <w:t> </w:t>
      </w:r>
      <w:r>
        <w:rPr/>
        <w:t>that</w:t>
      </w:r>
      <w:r>
        <w:rPr>
          <w:spacing w:val="-3"/>
        </w:rPr>
        <w:t> </w:t>
      </w:r>
      <w:r>
        <w:rPr/>
        <w:t>access</w:t>
      </w:r>
      <w:r>
        <w:rPr>
          <w:spacing w:val="-4"/>
        </w:rPr>
        <w:t> </w:t>
      </w:r>
      <w:r>
        <w:rPr/>
        <w:t>was</w:t>
      </w:r>
      <w:r>
        <w:rPr>
          <w:spacing w:val="-3"/>
        </w:rPr>
        <w:t> </w:t>
      </w:r>
      <w:r>
        <w:rPr/>
        <w:t>premised</w:t>
      </w:r>
      <w:r>
        <w:rPr>
          <w:spacing w:val="-3"/>
        </w:rPr>
        <w:t> </w:t>
      </w:r>
      <w:r>
        <w:rPr/>
        <w:t>on</w:t>
      </w:r>
      <w:r>
        <w:rPr>
          <w:spacing w:val="-3"/>
        </w:rPr>
        <w:t> </w:t>
      </w:r>
      <w:r>
        <w:rPr/>
        <w:t>the</w:t>
      </w:r>
      <w:r>
        <w:rPr>
          <w:spacing w:val="-3"/>
        </w:rPr>
        <w:t> </w:t>
      </w:r>
      <w:r>
        <w:rPr/>
        <w:t>understanding</w:t>
      </w:r>
      <w:r>
        <w:rPr>
          <w:spacing w:val="-4"/>
        </w:rPr>
        <w:t> </w:t>
      </w:r>
      <w:r>
        <w:rPr/>
        <w:t>that</w:t>
      </w:r>
      <w:r>
        <w:rPr>
          <w:spacing w:val="-3"/>
        </w:rPr>
        <w:t> </w:t>
      </w:r>
      <w:r>
        <w:rPr/>
        <w:t>tests</w:t>
      </w:r>
      <w:r>
        <w:rPr>
          <w:spacing w:val="-3"/>
        </w:rPr>
        <w:t> </w:t>
      </w:r>
      <w:r>
        <w:rPr/>
        <w:t>should</w:t>
      </w:r>
      <w:r>
        <w:rPr>
          <w:spacing w:val="-3"/>
        </w:rPr>
        <w:t> </w:t>
      </w:r>
      <w:r>
        <w:rPr/>
        <w:t>be</w:t>
      </w:r>
      <w:r>
        <w:rPr>
          <w:spacing w:val="-3"/>
        </w:rPr>
        <w:t> </w:t>
      </w:r>
      <w:r>
        <w:rPr/>
        <w:t>validated</w:t>
      </w:r>
      <w:r>
        <w:rPr>
          <w:spacing w:val="-4"/>
        </w:rPr>
        <w:t> </w:t>
      </w:r>
      <w:r>
        <w:rPr/>
        <w:t>before being marketed to fall under the</w:t>
      </w:r>
      <w:r>
        <w:rPr>
          <w:spacing w:val="-1"/>
        </w:rPr>
        <w:t> </w:t>
      </w:r>
      <w:r>
        <w:rPr/>
        <w:t>enforcement discretion policy.</w:t>
      </w:r>
      <w:r>
        <w:rPr>
          <w:spacing w:val="-2"/>
        </w:rPr>
        <w:t> </w:t>
      </w:r>
      <w:r>
        <w:rPr/>
        <w:t>Given that</w:t>
      </w:r>
      <w:r>
        <w:rPr>
          <w:spacing w:val="-1"/>
        </w:rPr>
        <w:t> </w:t>
      </w:r>
      <w:r>
        <w:rPr/>
        <w:t>any test on the market under the March 16 enforcement discretion policy or this policy should already be validated by the manufacturer before being marketed, FDA believes that 10 business days (from the date of notification or the date of publication of this guidance, whichever is later) is a reasonable period of time to prepare an EUA submission for a test whose performance characteristics have already been validated.</w:t>
      </w:r>
    </w:p>
    <w:p>
      <w:pPr>
        <w:pStyle w:val="BodyText"/>
        <w:spacing w:before="4"/>
        <w:rPr>
          <w:sz w:val="29"/>
        </w:rPr>
      </w:pPr>
      <w:r>
        <w:rPr/>
        <mc:AlternateContent>
          <mc:Choice Requires="wps">
            <w:drawing>
              <wp:anchor distT="0" distB="0" distL="0" distR="0" allowOverlap="1" layoutInCell="1" locked="0" behindDoc="1" simplePos="0" relativeHeight="487592960">
                <wp:simplePos x="0" y="0"/>
                <wp:positionH relativeFrom="page">
                  <wp:posOffset>914400</wp:posOffset>
                </wp:positionH>
                <wp:positionV relativeFrom="paragraph">
                  <wp:posOffset>229674</wp:posOffset>
                </wp:positionV>
                <wp:extent cx="1828800" cy="7620"/>
                <wp:effectExtent l="0" t="0" r="0" b="0"/>
                <wp:wrapTopAndBottom/>
                <wp:docPr id="15" name="Graphic 15"/>
                <wp:cNvGraphicFramePr>
                  <a:graphicFrameLocks/>
                </wp:cNvGraphicFramePr>
                <a:graphic>
                  <a:graphicData uri="http://schemas.microsoft.com/office/word/2010/wordprocessingShape">
                    <wps:wsp>
                      <wps:cNvPr id="15" name="Graphic 15"/>
                      <wps:cNvSpPr/>
                      <wps:spPr>
                        <a:xfrm>
                          <a:off x="0" y="0"/>
                          <a:ext cx="1828800" cy="7620"/>
                        </a:xfrm>
                        <a:custGeom>
                          <a:avLst/>
                          <a:gdLst/>
                          <a:ahLst/>
                          <a:cxnLst/>
                          <a:rect l="l" t="t" r="r" b="b"/>
                          <a:pathLst>
                            <a:path w="1828800" h="7620">
                              <a:moveTo>
                                <a:pt x="1828800" y="0"/>
                              </a:moveTo>
                              <a:lnTo>
                                <a:pt x="0" y="0"/>
                              </a:lnTo>
                              <a:lnTo>
                                <a:pt x="0" y="7620"/>
                              </a:lnTo>
                              <a:lnTo>
                                <a:pt x="1828800" y="762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18.08457pt;width:144pt;height:.6pt;mso-position-horizontal-relative:page;mso-position-vertical-relative:paragraph;z-index:-15723520;mso-wrap-distance-left:0;mso-wrap-distance-right:0" id="docshape15" filled="true" fillcolor="#000000" stroked="false">
                <v:fill type="solid"/>
                <w10:wrap type="topAndBottom"/>
              </v:rect>
            </w:pict>
          </mc:Fallback>
        </mc:AlternateContent>
      </w:r>
    </w:p>
    <w:p>
      <w:pPr>
        <w:spacing w:before="101"/>
        <w:ind w:left="160" w:right="278" w:hanging="1"/>
        <w:jc w:val="left"/>
        <w:rPr>
          <w:sz w:val="20"/>
        </w:rPr>
      </w:pPr>
      <w:bookmarkStart w:name="_bookmark30" w:id="47"/>
      <w:bookmarkEnd w:id="47"/>
      <w:r>
        <w:rPr/>
      </w:r>
      <w:r>
        <w:rPr>
          <w:sz w:val="20"/>
          <w:vertAlign w:val="superscript"/>
        </w:rPr>
        <w:t>15</w:t>
      </w:r>
      <w:r>
        <w:rPr>
          <w:sz w:val="20"/>
          <w:vertAlign w:val="baseline"/>
        </w:rPr>
        <w:t> Under CLIA, a new test is automatically categorized as high complexity and must be performed in a laboratory that</w:t>
      </w:r>
      <w:r>
        <w:rPr>
          <w:spacing w:val="-3"/>
          <w:sz w:val="20"/>
          <w:vertAlign w:val="baseline"/>
        </w:rPr>
        <w:t> </w:t>
      </w:r>
      <w:r>
        <w:rPr>
          <w:sz w:val="20"/>
          <w:vertAlign w:val="baseline"/>
        </w:rPr>
        <w:t>is</w:t>
      </w:r>
      <w:r>
        <w:rPr>
          <w:spacing w:val="-2"/>
          <w:sz w:val="20"/>
          <w:vertAlign w:val="baseline"/>
        </w:rPr>
        <w:t> </w:t>
      </w:r>
      <w:r>
        <w:rPr>
          <w:sz w:val="20"/>
          <w:vertAlign w:val="baseline"/>
        </w:rPr>
        <w:t>certified</w:t>
      </w:r>
      <w:r>
        <w:rPr>
          <w:spacing w:val="-3"/>
          <w:sz w:val="20"/>
          <w:vertAlign w:val="baseline"/>
        </w:rPr>
        <w:t> </w:t>
      </w:r>
      <w:r>
        <w:rPr>
          <w:sz w:val="20"/>
          <w:vertAlign w:val="baseline"/>
        </w:rPr>
        <w:t>under</w:t>
      </w:r>
      <w:r>
        <w:rPr>
          <w:spacing w:val="-2"/>
          <w:sz w:val="20"/>
          <w:vertAlign w:val="baseline"/>
        </w:rPr>
        <w:t> </w:t>
      </w:r>
      <w:r>
        <w:rPr>
          <w:sz w:val="20"/>
          <w:vertAlign w:val="baseline"/>
        </w:rPr>
        <w:t>CLIA</w:t>
      </w:r>
      <w:r>
        <w:rPr>
          <w:spacing w:val="-3"/>
          <w:sz w:val="20"/>
          <w:vertAlign w:val="baseline"/>
        </w:rPr>
        <w:t> </w:t>
      </w:r>
      <w:r>
        <w:rPr>
          <w:sz w:val="20"/>
          <w:vertAlign w:val="baseline"/>
        </w:rPr>
        <w:t>to</w:t>
      </w:r>
      <w:r>
        <w:rPr>
          <w:spacing w:val="-3"/>
          <w:sz w:val="20"/>
          <w:vertAlign w:val="baseline"/>
        </w:rPr>
        <w:t> </w:t>
      </w:r>
      <w:r>
        <w:rPr>
          <w:sz w:val="20"/>
          <w:vertAlign w:val="baseline"/>
        </w:rPr>
        <w:t>perform</w:t>
      </w:r>
      <w:r>
        <w:rPr>
          <w:spacing w:val="-4"/>
          <w:sz w:val="20"/>
          <w:vertAlign w:val="baseline"/>
        </w:rPr>
        <w:t> </w:t>
      </w:r>
      <w:r>
        <w:rPr>
          <w:sz w:val="20"/>
          <w:vertAlign w:val="baseline"/>
        </w:rPr>
        <w:t>high</w:t>
      </w:r>
      <w:r>
        <w:rPr>
          <w:spacing w:val="-3"/>
          <w:sz w:val="20"/>
          <w:vertAlign w:val="baseline"/>
        </w:rPr>
        <w:t> </w:t>
      </w:r>
      <w:r>
        <w:rPr>
          <w:sz w:val="20"/>
          <w:vertAlign w:val="baseline"/>
        </w:rPr>
        <w:t>complexity</w:t>
      </w:r>
      <w:r>
        <w:rPr>
          <w:spacing w:val="-3"/>
          <w:sz w:val="20"/>
          <w:vertAlign w:val="baseline"/>
        </w:rPr>
        <w:t> </w:t>
      </w:r>
      <w:r>
        <w:rPr>
          <w:sz w:val="20"/>
          <w:vertAlign w:val="baseline"/>
        </w:rPr>
        <w:t>testing.</w:t>
      </w:r>
      <w:r>
        <w:rPr>
          <w:spacing w:val="-4"/>
          <w:sz w:val="20"/>
          <w:vertAlign w:val="baseline"/>
        </w:rPr>
        <w:t> </w:t>
      </w:r>
      <w:r>
        <w:rPr>
          <w:sz w:val="20"/>
          <w:vertAlign w:val="baseline"/>
        </w:rPr>
        <w:t>When</w:t>
      </w:r>
      <w:r>
        <w:rPr>
          <w:spacing w:val="-1"/>
          <w:sz w:val="20"/>
          <w:vertAlign w:val="baseline"/>
        </w:rPr>
        <w:t> </w:t>
      </w:r>
      <w:r>
        <w:rPr>
          <w:sz w:val="20"/>
          <w:vertAlign w:val="baseline"/>
        </w:rPr>
        <w:t>authorizing</w:t>
      </w:r>
      <w:r>
        <w:rPr>
          <w:spacing w:val="-1"/>
          <w:sz w:val="20"/>
          <w:vertAlign w:val="baseline"/>
        </w:rPr>
        <w:t> </w:t>
      </w:r>
      <w:r>
        <w:rPr>
          <w:sz w:val="20"/>
          <w:vertAlign w:val="baseline"/>
        </w:rPr>
        <w:t>an</w:t>
      </w:r>
      <w:r>
        <w:rPr>
          <w:spacing w:val="-1"/>
          <w:sz w:val="20"/>
          <w:vertAlign w:val="baseline"/>
        </w:rPr>
        <w:t> </w:t>
      </w:r>
      <w:r>
        <w:rPr>
          <w:sz w:val="20"/>
          <w:vertAlign w:val="baseline"/>
        </w:rPr>
        <w:t>EUA</w:t>
      </w:r>
      <w:r>
        <w:rPr>
          <w:spacing w:val="-3"/>
          <w:sz w:val="20"/>
          <w:vertAlign w:val="baseline"/>
        </w:rPr>
        <w:t> </w:t>
      </w:r>
      <w:r>
        <w:rPr>
          <w:sz w:val="20"/>
          <w:vertAlign w:val="baseline"/>
        </w:rPr>
        <w:t>under</w:t>
      </w:r>
      <w:r>
        <w:rPr>
          <w:spacing w:val="-2"/>
          <w:sz w:val="20"/>
          <w:vertAlign w:val="baseline"/>
        </w:rPr>
        <w:t> </w:t>
      </w:r>
      <w:r>
        <w:rPr>
          <w:sz w:val="20"/>
          <w:vertAlign w:val="baseline"/>
        </w:rPr>
        <w:t>Section</w:t>
      </w:r>
      <w:r>
        <w:rPr>
          <w:spacing w:val="-3"/>
          <w:sz w:val="20"/>
          <w:vertAlign w:val="baseline"/>
        </w:rPr>
        <w:t> </w:t>
      </w:r>
      <w:r>
        <w:rPr>
          <w:sz w:val="20"/>
          <w:vertAlign w:val="baseline"/>
        </w:rPr>
        <w:t>564(m)</w:t>
      </w:r>
      <w:r>
        <w:rPr>
          <w:spacing w:val="-2"/>
          <w:sz w:val="20"/>
          <w:vertAlign w:val="baseline"/>
        </w:rPr>
        <w:t> </w:t>
      </w:r>
      <w:r>
        <w:rPr>
          <w:sz w:val="20"/>
          <w:vertAlign w:val="baseline"/>
        </w:rPr>
        <w:t>of the FD&amp;C Act, FDA can authorize the test to be performed in a particular setting and it is deemed to be in that particular categorization under CLIA (e.g., moderate complexity or point of care).</w:t>
      </w:r>
    </w:p>
    <w:p>
      <w:pPr>
        <w:spacing w:before="0"/>
        <w:ind w:left="160" w:right="303" w:hanging="1"/>
        <w:jc w:val="left"/>
        <w:rPr>
          <w:sz w:val="20"/>
        </w:rPr>
      </w:pPr>
      <w:bookmarkStart w:name="_bookmark31" w:id="48"/>
      <w:bookmarkEnd w:id="48"/>
      <w:r>
        <w:rPr/>
      </w:r>
      <w:r>
        <w:rPr>
          <w:sz w:val="20"/>
          <w:vertAlign w:val="superscript"/>
        </w:rPr>
        <w:t>16</w:t>
      </w:r>
      <w:r>
        <w:rPr>
          <w:sz w:val="20"/>
          <w:vertAlign w:val="baseline"/>
        </w:rPr>
        <w:t> Different risks are presented with specimen collection in the home versus healthcare setting. Home collection raises several issues of importance, including whether the lay user can safely and properly collect the specimen, whether</w:t>
      </w:r>
      <w:r>
        <w:rPr>
          <w:spacing w:val="-3"/>
          <w:sz w:val="20"/>
          <w:vertAlign w:val="baseline"/>
        </w:rPr>
        <w:t> </w:t>
      </w:r>
      <w:r>
        <w:rPr>
          <w:sz w:val="20"/>
          <w:vertAlign w:val="baseline"/>
        </w:rPr>
        <w:t>the</w:t>
      </w:r>
      <w:r>
        <w:rPr>
          <w:spacing w:val="-2"/>
          <w:sz w:val="20"/>
          <w:vertAlign w:val="baseline"/>
        </w:rPr>
        <w:t> </w:t>
      </w:r>
      <w:r>
        <w:rPr>
          <w:sz w:val="20"/>
          <w:vertAlign w:val="baseline"/>
        </w:rPr>
        <w:t>components</w:t>
      </w:r>
      <w:r>
        <w:rPr>
          <w:spacing w:val="-3"/>
          <w:sz w:val="20"/>
          <w:vertAlign w:val="baseline"/>
        </w:rPr>
        <w:t> </w:t>
      </w:r>
      <w:r>
        <w:rPr>
          <w:sz w:val="20"/>
          <w:vertAlign w:val="baseline"/>
        </w:rPr>
        <w:t>of</w:t>
      </w:r>
      <w:r>
        <w:rPr>
          <w:spacing w:val="-3"/>
          <w:sz w:val="20"/>
          <w:vertAlign w:val="baseline"/>
        </w:rPr>
        <w:t> </w:t>
      </w:r>
      <w:r>
        <w:rPr>
          <w:sz w:val="20"/>
          <w:vertAlign w:val="baseline"/>
        </w:rPr>
        <w:t>the</w:t>
      </w:r>
      <w:r>
        <w:rPr>
          <w:spacing w:val="-2"/>
          <w:sz w:val="20"/>
          <w:vertAlign w:val="baseline"/>
        </w:rPr>
        <w:t> </w:t>
      </w:r>
      <w:r>
        <w:rPr>
          <w:sz w:val="20"/>
          <w:vertAlign w:val="baseline"/>
        </w:rPr>
        <w:t>specimen</w:t>
      </w:r>
      <w:r>
        <w:rPr>
          <w:spacing w:val="-1"/>
          <w:sz w:val="20"/>
          <w:vertAlign w:val="baseline"/>
        </w:rPr>
        <w:t> </w:t>
      </w:r>
      <w:r>
        <w:rPr>
          <w:sz w:val="20"/>
          <w:vertAlign w:val="baseline"/>
        </w:rPr>
        <w:t>transport</w:t>
      </w:r>
      <w:r>
        <w:rPr>
          <w:spacing w:val="-3"/>
          <w:sz w:val="20"/>
          <w:vertAlign w:val="baseline"/>
        </w:rPr>
        <w:t> </w:t>
      </w:r>
      <w:r>
        <w:rPr>
          <w:sz w:val="20"/>
          <w:vertAlign w:val="baseline"/>
        </w:rPr>
        <w:t>media</w:t>
      </w:r>
      <w:r>
        <w:rPr>
          <w:spacing w:val="-2"/>
          <w:sz w:val="20"/>
          <w:vertAlign w:val="baseline"/>
        </w:rPr>
        <w:t> </w:t>
      </w:r>
      <w:r>
        <w:rPr>
          <w:sz w:val="20"/>
          <w:vertAlign w:val="baseline"/>
        </w:rPr>
        <w:t>are</w:t>
      </w:r>
      <w:r>
        <w:rPr>
          <w:spacing w:val="-2"/>
          <w:sz w:val="20"/>
          <w:vertAlign w:val="baseline"/>
        </w:rPr>
        <w:t> </w:t>
      </w:r>
      <w:r>
        <w:rPr>
          <w:sz w:val="20"/>
          <w:vertAlign w:val="baseline"/>
        </w:rPr>
        <w:t>safe</w:t>
      </w:r>
      <w:r>
        <w:rPr>
          <w:spacing w:val="-2"/>
          <w:sz w:val="20"/>
          <w:vertAlign w:val="baseline"/>
        </w:rPr>
        <w:t> </w:t>
      </w:r>
      <w:r>
        <w:rPr>
          <w:sz w:val="20"/>
          <w:vertAlign w:val="baseline"/>
        </w:rPr>
        <w:t>for</w:t>
      </w:r>
      <w:r>
        <w:rPr>
          <w:spacing w:val="-3"/>
          <w:sz w:val="20"/>
          <w:vertAlign w:val="baseline"/>
        </w:rPr>
        <w:t> </w:t>
      </w:r>
      <w:r>
        <w:rPr>
          <w:sz w:val="20"/>
          <w:vertAlign w:val="baseline"/>
        </w:rPr>
        <w:t>use</w:t>
      </w:r>
      <w:r>
        <w:rPr>
          <w:spacing w:val="-3"/>
          <w:sz w:val="20"/>
          <w:vertAlign w:val="baseline"/>
        </w:rPr>
        <w:t> </w:t>
      </w:r>
      <w:r>
        <w:rPr>
          <w:sz w:val="20"/>
          <w:vertAlign w:val="baseline"/>
        </w:rPr>
        <w:t>in</w:t>
      </w:r>
      <w:r>
        <w:rPr>
          <w:spacing w:val="-2"/>
          <w:sz w:val="20"/>
          <w:vertAlign w:val="baseline"/>
        </w:rPr>
        <w:t> </w:t>
      </w:r>
      <w:r>
        <w:rPr>
          <w:sz w:val="20"/>
          <w:vertAlign w:val="baseline"/>
        </w:rPr>
        <w:t>the</w:t>
      </w:r>
      <w:r>
        <w:rPr>
          <w:spacing w:val="-3"/>
          <w:sz w:val="20"/>
          <w:vertAlign w:val="baseline"/>
        </w:rPr>
        <w:t> </w:t>
      </w:r>
      <w:r>
        <w:rPr>
          <w:sz w:val="20"/>
          <w:vertAlign w:val="baseline"/>
        </w:rPr>
        <w:t>home</w:t>
      </w:r>
      <w:r>
        <w:rPr>
          <w:spacing w:val="-2"/>
          <w:sz w:val="20"/>
          <w:vertAlign w:val="baseline"/>
        </w:rPr>
        <w:t> </w:t>
      </w:r>
      <w:r>
        <w:rPr>
          <w:sz w:val="20"/>
          <w:vertAlign w:val="baseline"/>
        </w:rPr>
        <w:t>environment</w:t>
      </w:r>
      <w:r>
        <w:rPr>
          <w:spacing w:val="-3"/>
          <w:sz w:val="20"/>
          <w:vertAlign w:val="baseline"/>
        </w:rPr>
        <w:t> </w:t>
      </w:r>
      <w:r>
        <w:rPr>
          <w:sz w:val="20"/>
          <w:vertAlign w:val="baseline"/>
        </w:rPr>
        <w:t>(since</w:t>
      </w:r>
      <w:r>
        <w:rPr>
          <w:spacing w:val="-2"/>
          <w:sz w:val="20"/>
          <w:vertAlign w:val="baseline"/>
        </w:rPr>
        <w:t> </w:t>
      </w:r>
      <w:r>
        <w:rPr>
          <w:sz w:val="20"/>
          <w:vertAlign w:val="baseline"/>
        </w:rPr>
        <w:t>some</w:t>
      </w:r>
      <w:r>
        <w:rPr>
          <w:spacing w:val="-1"/>
          <w:sz w:val="20"/>
          <w:vertAlign w:val="baseline"/>
        </w:rPr>
        <w:t> </w:t>
      </w:r>
      <w:r>
        <w:rPr>
          <w:sz w:val="20"/>
          <w:vertAlign w:val="baseline"/>
        </w:rPr>
        <w:t>may be toxic), proper shipment, and adequate stability of the specimen given the time lapse between collection and testing and the potential impact of shipping conditions (such as, if the specimen sits in a hot truck). Tests that are also interpreted in the home require demonstration of the ability of a lay user to collect their specimen, run the test, and interpret their results accurately.</w:t>
      </w:r>
    </w:p>
    <w:p>
      <w:pPr>
        <w:spacing w:after="0"/>
        <w:jc w:val="left"/>
        <w:rPr>
          <w:sz w:val="20"/>
        </w:rPr>
        <w:sectPr>
          <w:pgSz w:w="12240" w:h="15840"/>
          <w:pgMar w:header="731" w:footer="785" w:top="1360" w:bottom="980" w:left="1280" w:right="1200"/>
        </w:sectPr>
      </w:pPr>
    </w:p>
    <w:p>
      <w:pPr>
        <w:pStyle w:val="BodyText"/>
        <w:spacing w:before="1"/>
        <w:rPr>
          <w:sz w:val="23"/>
        </w:rPr>
      </w:pPr>
    </w:p>
    <w:p>
      <w:pPr>
        <w:pStyle w:val="BodyText"/>
        <w:spacing w:before="90"/>
        <w:ind w:left="160" w:right="278"/>
      </w:pPr>
      <w:r>
        <w:rPr/>
        <w:t>If FDA becomes aware of questions or concerns about a test after notification, such as poor performance</w:t>
      </w:r>
      <w:r>
        <w:rPr>
          <w:spacing w:val="-4"/>
        </w:rPr>
        <w:t> </w:t>
      </w:r>
      <w:r>
        <w:rPr/>
        <w:t>or</w:t>
      </w:r>
      <w:r>
        <w:rPr>
          <w:spacing w:val="-4"/>
        </w:rPr>
        <w:t> </w:t>
      </w:r>
      <w:r>
        <w:rPr/>
        <w:t>misleading</w:t>
      </w:r>
      <w:r>
        <w:rPr>
          <w:spacing w:val="-4"/>
        </w:rPr>
        <w:t> </w:t>
      </w:r>
      <w:r>
        <w:rPr/>
        <w:t>statements</w:t>
      </w:r>
      <w:r>
        <w:rPr>
          <w:spacing w:val="-4"/>
        </w:rPr>
        <w:t> </w:t>
      </w:r>
      <w:r>
        <w:rPr/>
        <w:t>about</w:t>
      </w:r>
      <w:r>
        <w:rPr>
          <w:spacing w:val="-4"/>
        </w:rPr>
        <w:t> </w:t>
      </w:r>
      <w:r>
        <w:rPr/>
        <w:t>the</w:t>
      </w:r>
      <w:r>
        <w:rPr>
          <w:spacing w:val="-4"/>
        </w:rPr>
        <w:t> </w:t>
      </w:r>
      <w:r>
        <w:rPr/>
        <w:t>test,</w:t>
      </w:r>
      <w:r>
        <w:rPr>
          <w:spacing w:val="-4"/>
        </w:rPr>
        <w:t> </w:t>
      </w:r>
      <w:r>
        <w:rPr/>
        <w:t>FDA</w:t>
      </w:r>
      <w:r>
        <w:rPr>
          <w:spacing w:val="-5"/>
        </w:rPr>
        <w:t> </w:t>
      </w:r>
      <w:r>
        <w:rPr/>
        <w:t>will</w:t>
      </w:r>
      <w:r>
        <w:rPr>
          <w:spacing w:val="-4"/>
        </w:rPr>
        <w:t> </w:t>
      </w:r>
      <w:r>
        <w:rPr/>
        <w:t>communicate</w:t>
      </w:r>
      <w:r>
        <w:rPr>
          <w:spacing w:val="-4"/>
        </w:rPr>
        <w:t> </w:t>
      </w:r>
      <w:r>
        <w:rPr/>
        <w:t>those</w:t>
      </w:r>
      <w:r>
        <w:rPr>
          <w:spacing w:val="-4"/>
        </w:rPr>
        <w:t> </w:t>
      </w:r>
      <w:r>
        <w:rPr/>
        <w:t>concerns</w:t>
      </w:r>
      <w:r>
        <w:rPr>
          <w:spacing w:val="-4"/>
        </w:rPr>
        <w:t> </w:t>
      </w:r>
      <w:r>
        <w:rPr/>
        <w:t>to the manufacturer and provide the manufacturer an opportunity to address the questions or concerns. If the concerns cannot be or have not been addressed in a timely manner, and the manufacturer has already distributed the test, FDA would expect the manufacturer to suspend distribution of the test. FDA also intends to remove the test from the website listing of notifications and and may take additional actions as appropriate.</w:t>
      </w:r>
    </w:p>
    <w:p>
      <w:pPr>
        <w:pStyle w:val="BodyText"/>
      </w:pPr>
    </w:p>
    <w:p>
      <w:pPr>
        <w:pStyle w:val="BodyText"/>
        <w:ind w:left="159" w:right="287"/>
      </w:pPr>
      <w:r>
        <w:rPr/>
        <w:t>While laboratories are encouraged to submit EUA requests for serology tests, FDA does not intend to object to the development and use of serology tests to identify antibodies to SARS- CoV-2 by laboratories that are certified under CLIA to perform high-complexity testing, where the test has been validated, notification is provided to FDA, and information is included in the test</w:t>
      </w:r>
      <w:r>
        <w:rPr>
          <w:spacing w:val="-1"/>
        </w:rPr>
        <w:t> </w:t>
      </w:r>
      <w:r>
        <w:rPr/>
        <w:t>reports as described in subsection</w:t>
      </w:r>
      <w:r>
        <w:rPr>
          <w:spacing w:val="-2"/>
        </w:rPr>
        <w:t> </w:t>
      </w:r>
      <w:r>
        <w:rPr/>
        <w:t>D.3 below. At this time, we believe</w:t>
      </w:r>
      <w:r>
        <w:rPr>
          <w:spacing w:val="-1"/>
        </w:rPr>
        <w:t> </w:t>
      </w:r>
      <w:r>
        <w:rPr/>
        <w:t>it is most beneficial</w:t>
      </w:r>
      <w:r>
        <w:rPr>
          <w:spacing w:val="-1"/>
        </w:rPr>
        <w:t> </w:t>
      </w:r>
      <w:r>
        <w:rPr/>
        <w:t>to focus our EUA review and authorization efforts on tests from commercial manufacturers, which have</w:t>
      </w:r>
      <w:r>
        <w:rPr>
          <w:spacing w:val="-3"/>
        </w:rPr>
        <w:t> </w:t>
      </w:r>
      <w:r>
        <w:rPr/>
        <w:t>the</w:t>
      </w:r>
      <w:r>
        <w:rPr>
          <w:spacing w:val="-3"/>
        </w:rPr>
        <w:t> </w:t>
      </w:r>
      <w:r>
        <w:rPr/>
        <w:t>potential</w:t>
      </w:r>
      <w:r>
        <w:rPr>
          <w:spacing w:val="-3"/>
        </w:rPr>
        <w:t> </w:t>
      </w:r>
      <w:r>
        <w:rPr/>
        <w:t>to</w:t>
      </w:r>
      <w:r>
        <w:rPr>
          <w:spacing w:val="-3"/>
        </w:rPr>
        <w:t> </w:t>
      </w:r>
      <w:r>
        <w:rPr/>
        <w:t>be</w:t>
      </w:r>
      <w:r>
        <w:rPr>
          <w:spacing w:val="-4"/>
        </w:rPr>
        <w:t> </w:t>
      </w:r>
      <w:r>
        <w:rPr/>
        <w:t>distributed</w:t>
      </w:r>
      <w:r>
        <w:rPr>
          <w:spacing w:val="-5"/>
        </w:rPr>
        <w:t> </w:t>
      </w:r>
      <w:r>
        <w:rPr/>
        <w:t>more</w:t>
      </w:r>
      <w:r>
        <w:rPr>
          <w:spacing w:val="-3"/>
        </w:rPr>
        <w:t> </w:t>
      </w:r>
      <w:r>
        <w:rPr/>
        <w:t>broadly,</w:t>
      </w:r>
      <w:r>
        <w:rPr>
          <w:spacing w:val="-3"/>
        </w:rPr>
        <w:t> </w:t>
      </w:r>
      <w:r>
        <w:rPr/>
        <w:t>rather</w:t>
      </w:r>
      <w:r>
        <w:rPr>
          <w:spacing w:val="-3"/>
        </w:rPr>
        <w:t> </w:t>
      </w:r>
      <w:r>
        <w:rPr/>
        <w:t>than</w:t>
      </w:r>
      <w:r>
        <w:rPr>
          <w:spacing w:val="-3"/>
        </w:rPr>
        <w:t> </w:t>
      </w:r>
      <w:r>
        <w:rPr/>
        <w:t>laboratory-developed</w:t>
      </w:r>
      <w:r>
        <w:rPr>
          <w:spacing w:val="-3"/>
        </w:rPr>
        <w:t> </w:t>
      </w:r>
      <w:r>
        <w:rPr/>
        <w:t>serology</w:t>
      </w:r>
      <w:r>
        <w:rPr>
          <w:spacing w:val="-5"/>
        </w:rPr>
        <w:t> </w:t>
      </w:r>
      <w:r>
        <w:rPr/>
        <w:t>tests that are not for diagnostic purposes,</w:t>
      </w:r>
      <w:r>
        <w:rPr>
          <w:spacing w:val="-2"/>
        </w:rPr>
        <w:t> </w:t>
      </w:r>
      <w:r>
        <w:rPr/>
        <w:t>are being performed at one laboratory that</w:t>
      </w:r>
      <w:r>
        <w:rPr>
          <w:spacing w:val="-1"/>
        </w:rPr>
        <w:t> </w:t>
      </w:r>
      <w:r>
        <w:rPr/>
        <w:t>is CLIA-certified to perform high-complexity testing, and that are validated in-house. However, if FDA becomes aware of questions or concerns about a laboratory-developed serology test, such as poor performance or misleading statements about the test, FDA will communicate those concerns to the laboratory and provide the laboratory an opportunity to address the questions or concerns. If the concerns cannot be or have not been addressed in a timely manner, FDA intends to remove the laboratory from the website listing of notifications and may take additional actions as </w:t>
      </w:r>
      <w:r>
        <w:rPr>
          <w:spacing w:val="-2"/>
        </w:rPr>
        <w:t>appropriate.</w:t>
      </w:r>
    </w:p>
    <w:p>
      <w:pPr>
        <w:pStyle w:val="BodyText"/>
        <w:spacing w:before="5"/>
        <w:rPr>
          <w:sz w:val="34"/>
        </w:rPr>
      </w:pPr>
    </w:p>
    <w:p>
      <w:pPr>
        <w:pStyle w:val="Heading2"/>
        <w:numPr>
          <w:ilvl w:val="2"/>
          <w:numId w:val="6"/>
        </w:numPr>
        <w:tabs>
          <w:tab w:pos="2319" w:val="left" w:leader="none"/>
        </w:tabs>
        <w:spacing w:line="240" w:lineRule="auto" w:before="0" w:after="0"/>
        <w:ind w:left="2319" w:right="0" w:hanging="719"/>
        <w:jc w:val="left"/>
      </w:pPr>
      <w:bookmarkStart w:name="1. Validation" w:id="49"/>
      <w:bookmarkEnd w:id="49"/>
      <w:r>
        <w:rPr>
          <w:b w:val="0"/>
        </w:rPr>
      </w:r>
      <w:bookmarkStart w:name="_bookmark32" w:id="50"/>
      <w:bookmarkEnd w:id="50"/>
      <w:r>
        <w:rPr>
          <w:b w:val="0"/>
        </w:rPr>
      </w:r>
      <w:r>
        <w:rPr>
          <w:spacing w:val="-2"/>
        </w:rPr>
        <w:t>Validation</w:t>
      </w:r>
    </w:p>
    <w:p>
      <w:pPr>
        <w:pStyle w:val="BodyText"/>
        <w:spacing w:before="120"/>
        <w:ind w:left="159" w:right="287"/>
      </w:pPr>
      <w:r>
        <w:rPr/>
        <w:t>All clinical tests should be validated prior to use. In the context of a public health emergency, it is</w:t>
      </w:r>
      <w:r>
        <w:rPr>
          <w:spacing w:val="-3"/>
        </w:rPr>
        <w:t> </w:t>
      </w:r>
      <w:r>
        <w:rPr/>
        <w:t>critically</w:t>
      </w:r>
      <w:r>
        <w:rPr>
          <w:spacing w:val="-3"/>
        </w:rPr>
        <w:t> </w:t>
      </w:r>
      <w:r>
        <w:rPr/>
        <w:t>important</w:t>
      </w:r>
      <w:r>
        <w:rPr>
          <w:spacing w:val="-3"/>
        </w:rPr>
        <w:t> </w:t>
      </w:r>
      <w:r>
        <w:rPr/>
        <w:t>that</w:t>
      </w:r>
      <w:r>
        <w:rPr>
          <w:spacing w:val="-3"/>
        </w:rPr>
        <w:t> </w:t>
      </w:r>
      <w:r>
        <w:rPr/>
        <w:t>tests</w:t>
      </w:r>
      <w:r>
        <w:rPr>
          <w:spacing w:val="-3"/>
        </w:rPr>
        <w:t> </w:t>
      </w:r>
      <w:r>
        <w:rPr/>
        <w:t>are</w:t>
      </w:r>
      <w:r>
        <w:rPr>
          <w:spacing w:val="-3"/>
        </w:rPr>
        <w:t> </w:t>
      </w:r>
      <w:r>
        <w:rPr/>
        <w:t>validated</w:t>
      </w:r>
      <w:r>
        <w:rPr>
          <w:spacing w:val="-3"/>
        </w:rPr>
        <w:t> </w:t>
      </w:r>
      <w:r>
        <w:rPr/>
        <w:t>because</w:t>
      </w:r>
      <w:r>
        <w:rPr>
          <w:spacing w:val="-3"/>
        </w:rPr>
        <w:t> </w:t>
      </w:r>
      <w:r>
        <w:rPr/>
        <w:t>false</w:t>
      </w:r>
      <w:r>
        <w:rPr>
          <w:spacing w:val="-3"/>
        </w:rPr>
        <w:t> </w:t>
      </w:r>
      <w:r>
        <w:rPr/>
        <w:t>results</w:t>
      </w:r>
      <w:r>
        <w:rPr>
          <w:spacing w:val="-3"/>
        </w:rPr>
        <w:t> </w:t>
      </w:r>
      <w:r>
        <w:rPr/>
        <w:t>can</w:t>
      </w:r>
      <w:r>
        <w:rPr>
          <w:spacing w:val="-3"/>
        </w:rPr>
        <w:t> </w:t>
      </w:r>
      <w:r>
        <w:rPr/>
        <w:t>negatively</w:t>
      </w:r>
      <w:r>
        <w:rPr>
          <w:spacing w:val="-3"/>
        </w:rPr>
        <w:t> </w:t>
      </w:r>
      <w:r>
        <w:rPr/>
        <w:t>impact</w:t>
      </w:r>
      <w:r>
        <w:rPr>
          <w:spacing w:val="-3"/>
        </w:rPr>
        <w:t> </w:t>
      </w:r>
      <w:r>
        <w:rPr/>
        <w:t>not</w:t>
      </w:r>
      <w:r>
        <w:rPr>
          <w:spacing w:val="-3"/>
        </w:rPr>
        <w:t> </w:t>
      </w:r>
      <w:r>
        <w:rPr/>
        <w:t>only the individual patient but also can have broad public health impact. FDA has provided recommendations regarding testing that should be performed to ensure analytical and clinical validity in</w:t>
      </w:r>
      <w:r>
        <w:rPr>
          <w:spacing w:val="-2"/>
        </w:rPr>
        <w:t> </w:t>
      </w:r>
      <w:r>
        <w:rPr/>
        <w:t>section V</w:t>
      </w:r>
      <w:r>
        <w:rPr>
          <w:spacing w:val="-1"/>
        </w:rPr>
        <w:t> </w:t>
      </w:r>
      <w:r>
        <w:rPr/>
        <w:t>below. FDA</w:t>
      </w:r>
      <w:r>
        <w:rPr>
          <w:spacing w:val="-1"/>
        </w:rPr>
        <w:t> </w:t>
      </w:r>
      <w:r>
        <w:rPr/>
        <w:t>encourages developers</w:t>
      </w:r>
      <w:r>
        <w:rPr>
          <w:spacing w:val="-1"/>
        </w:rPr>
        <w:t> </w:t>
      </w:r>
      <w:r>
        <w:rPr/>
        <w:t>to</w:t>
      </w:r>
      <w:r>
        <w:rPr>
          <w:spacing w:val="-2"/>
        </w:rPr>
        <w:t> </w:t>
      </w:r>
      <w:r>
        <w:rPr/>
        <w:t>discuss any</w:t>
      </w:r>
      <w:r>
        <w:rPr>
          <w:spacing w:val="-2"/>
        </w:rPr>
        <w:t> </w:t>
      </w:r>
      <w:r>
        <w:rPr/>
        <w:t>alternative</w:t>
      </w:r>
      <w:r>
        <w:rPr>
          <w:spacing w:val="-1"/>
        </w:rPr>
        <w:t> </w:t>
      </w:r>
      <w:r>
        <w:rPr/>
        <w:t>technological approaches</w:t>
      </w:r>
      <w:r>
        <w:rPr>
          <w:spacing w:val="-1"/>
        </w:rPr>
        <w:t> </w:t>
      </w:r>
      <w:r>
        <w:rPr/>
        <w:t>to</w:t>
      </w:r>
      <w:r>
        <w:rPr>
          <w:spacing w:val="-1"/>
        </w:rPr>
        <w:t> </w:t>
      </w:r>
      <w:r>
        <w:rPr/>
        <w:t>validating</w:t>
      </w:r>
      <w:r>
        <w:rPr>
          <w:spacing w:val="-3"/>
        </w:rPr>
        <w:t> </w:t>
      </w:r>
      <w:r>
        <w:rPr/>
        <w:t>their</w:t>
      </w:r>
      <w:r>
        <w:rPr>
          <w:spacing w:val="-1"/>
        </w:rPr>
        <w:t> </w:t>
      </w:r>
      <w:r>
        <w:rPr/>
        <w:t>test</w:t>
      </w:r>
      <w:r>
        <w:rPr>
          <w:spacing w:val="-1"/>
        </w:rPr>
        <w:t> </w:t>
      </w:r>
      <w:r>
        <w:rPr/>
        <w:t>with</w:t>
      </w:r>
      <w:r>
        <w:rPr>
          <w:spacing w:val="-1"/>
        </w:rPr>
        <w:t> </w:t>
      </w:r>
      <w:r>
        <w:rPr/>
        <w:t>FDA</w:t>
      </w:r>
      <w:r>
        <w:rPr>
          <w:spacing w:val="-2"/>
        </w:rPr>
        <w:t> </w:t>
      </w:r>
      <w:r>
        <w:rPr/>
        <w:t>through</w:t>
      </w:r>
      <w:r>
        <w:rPr>
          <w:spacing w:val="-1"/>
        </w:rPr>
        <w:t> </w:t>
      </w:r>
      <w:hyperlink r:id="rId18">
        <w:r>
          <w:rPr>
            <w:color w:val="0000FF"/>
            <w:u w:val="single" w:color="0000FF"/>
          </w:rPr>
          <w:t>CDRH-EUA-Templates@FDA.HHS.GOV</w:t>
        </w:r>
      </w:hyperlink>
      <w:r>
        <w:rPr>
          <w:color w:val="0000FF"/>
        </w:rPr>
        <w:t> </w:t>
      </w:r>
      <w:r>
        <w:rPr/>
        <w:t>and additionally encourages developers to refer to the templates provided as examples in the Appendices to this guidance for serology test manufacturers and laboratories.</w:t>
      </w:r>
    </w:p>
    <w:p>
      <w:pPr>
        <w:pStyle w:val="BodyText"/>
        <w:spacing w:before="5"/>
        <w:rPr>
          <w:sz w:val="34"/>
        </w:rPr>
      </w:pPr>
    </w:p>
    <w:p>
      <w:pPr>
        <w:pStyle w:val="Heading2"/>
        <w:numPr>
          <w:ilvl w:val="2"/>
          <w:numId w:val="6"/>
        </w:numPr>
        <w:tabs>
          <w:tab w:pos="2319" w:val="left" w:leader="none"/>
        </w:tabs>
        <w:spacing w:line="240" w:lineRule="auto" w:before="0" w:after="0"/>
        <w:ind w:left="2319" w:right="0" w:hanging="719"/>
        <w:jc w:val="left"/>
      </w:pPr>
      <w:bookmarkStart w:name="2. FDA Notification" w:id="51"/>
      <w:bookmarkEnd w:id="51"/>
      <w:r>
        <w:rPr>
          <w:b w:val="0"/>
        </w:rPr>
      </w:r>
      <w:bookmarkStart w:name="_bookmark33" w:id="52"/>
      <w:bookmarkEnd w:id="52"/>
      <w:r>
        <w:rPr>
          <w:b w:val="0"/>
        </w:rPr>
      </w:r>
      <w:r>
        <w:rPr/>
        <w:t>FDA</w:t>
      </w:r>
      <w:r>
        <w:rPr>
          <w:spacing w:val="-19"/>
        </w:rPr>
        <w:t> </w:t>
      </w:r>
      <w:r>
        <w:rPr>
          <w:spacing w:val="-2"/>
        </w:rPr>
        <w:t>Notification</w:t>
      </w:r>
    </w:p>
    <w:p>
      <w:pPr>
        <w:pStyle w:val="BodyText"/>
        <w:spacing w:before="120"/>
        <w:ind w:left="160" w:right="492"/>
      </w:pPr>
      <w:r>
        <w:rPr/>
        <w:t>Following completion of assay validation, developers should notify FDA by email to </w:t>
      </w:r>
      <w:hyperlink r:id="rId18">
        <w:r>
          <w:rPr>
            <w:color w:val="0000FF"/>
            <w:u w:val="single" w:color="0000FF"/>
          </w:rPr>
          <w:t>CDRH-</w:t>
        </w:r>
      </w:hyperlink>
      <w:r>
        <w:rPr>
          <w:color w:val="0000FF"/>
        </w:rPr>
        <w:t> </w:t>
      </w:r>
      <w:hyperlink r:id="rId18">
        <w:r>
          <w:rPr>
            <w:color w:val="0000FF"/>
            <w:u w:val="single" w:color="0000FF"/>
          </w:rPr>
          <w:t>EUA-Templates@FDA.HHS.GOV</w:t>
        </w:r>
      </w:hyperlink>
      <w:r>
        <w:rPr>
          <w:color w:val="0000FF"/>
          <w:spacing w:val="-5"/>
        </w:rPr>
        <w:t> </w:t>
      </w:r>
      <w:r>
        <w:rPr/>
        <w:t>that</w:t>
      </w:r>
      <w:r>
        <w:rPr>
          <w:spacing w:val="-4"/>
        </w:rPr>
        <w:t> </w:t>
      </w:r>
      <w:r>
        <w:rPr/>
        <w:t>their</w:t>
      </w:r>
      <w:r>
        <w:rPr>
          <w:spacing w:val="-4"/>
        </w:rPr>
        <w:t> </w:t>
      </w:r>
      <w:r>
        <w:rPr/>
        <w:t>assay</w:t>
      </w:r>
      <w:r>
        <w:rPr>
          <w:spacing w:val="-4"/>
        </w:rPr>
        <w:t> </w:t>
      </w:r>
      <w:r>
        <w:rPr/>
        <w:t>has</w:t>
      </w:r>
      <w:r>
        <w:rPr>
          <w:spacing w:val="-4"/>
        </w:rPr>
        <w:t> </w:t>
      </w:r>
      <w:r>
        <w:rPr/>
        <w:t>been</w:t>
      </w:r>
      <w:r>
        <w:rPr>
          <w:spacing w:val="-6"/>
        </w:rPr>
        <w:t> </w:t>
      </w:r>
      <w:r>
        <w:rPr/>
        <w:t>validated</w:t>
      </w:r>
      <w:r>
        <w:rPr>
          <w:spacing w:val="-4"/>
        </w:rPr>
        <w:t> </w:t>
      </w:r>
      <w:r>
        <w:rPr/>
        <w:t>and</w:t>
      </w:r>
      <w:r>
        <w:rPr>
          <w:spacing w:val="-4"/>
        </w:rPr>
        <w:t> </w:t>
      </w:r>
      <w:r>
        <w:rPr/>
        <w:t>they</w:t>
      </w:r>
      <w:r>
        <w:rPr>
          <w:spacing w:val="-4"/>
        </w:rPr>
        <w:t> </w:t>
      </w:r>
      <w:r>
        <w:rPr/>
        <w:t>intend</w:t>
      </w:r>
      <w:r>
        <w:rPr>
          <w:spacing w:val="-4"/>
        </w:rPr>
        <w:t> </w:t>
      </w:r>
      <w:r>
        <w:rPr/>
        <w:t>to</w:t>
      </w:r>
      <w:r>
        <w:rPr>
          <w:spacing w:val="-4"/>
        </w:rPr>
        <w:t> </w:t>
      </w:r>
      <w:r>
        <w:rPr/>
        <w:t>begin distribution or testing.</w:t>
      </w:r>
    </w:p>
    <w:p>
      <w:pPr>
        <w:pStyle w:val="BodyText"/>
      </w:pPr>
    </w:p>
    <w:p>
      <w:pPr>
        <w:pStyle w:val="ListParagraph"/>
        <w:numPr>
          <w:ilvl w:val="0"/>
          <w:numId w:val="7"/>
        </w:numPr>
        <w:tabs>
          <w:tab w:pos="880" w:val="left" w:leader="none"/>
        </w:tabs>
        <w:spacing w:line="240" w:lineRule="auto" w:before="1" w:after="0"/>
        <w:ind w:left="880" w:right="527" w:hanging="360"/>
        <w:jc w:val="left"/>
        <w:rPr>
          <w:sz w:val="24"/>
        </w:rPr>
      </w:pPr>
      <w:r>
        <w:rPr>
          <w:sz w:val="24"/>
        </w:rPr>
        <w:t>For tests developed and used by laboratories certified under CLIA that meet the CLIA regulatory requirements to perform high-complexity testing, this notification should include</w:t>
      </w:r>
      <w:r>
        <w:rPr>
          <w:spacing w:val="-4"/>
          <w:sz w:val="24"/>
        </w:rPr>
        <w:t> </w:t>
      </w:r>
      <w:r>
        <w:rPr>
          <w:sz w:val="24"/>
        </w:rPr>
        <w:t>the</w:t>
      </w:r>
      <w:r>
        <w:rPr>
          <w:spacing w:val="-4"/>
          <w:sz w:val="24"/>
        </w:rPr>
        <w:t> </w:t>
      </w:r>
      <w:r>
        <w:rPr>
          <w:sz w:val="24"/>
        </w:rPr>
        <w:t>name</w:t>
      </w:r>
      <w:r>
        <w:rPr>
          <w:spacing w:val="-3"/>
          <w:sz w:val="24"/>
        </w:rPr>
        <w:t> </w:t>
      </w:r>
      <w:r>
        <w:rPr>
          <w:sz w:val="24"/>
        </w:rPr>
        <w:t>of</w:t>
      </w:r>
      <w:r>
        <w:rPr>
          <w:spacing w:val="-4"/>
          <w:sz w:val="24"/>
        </w:rPr>
        <w:t> </w:t>
      </w:r>
      <w:r>
        <w:rPr>
          <w:sz w:val="24"/>
        </w:rPr>
        <w:t>the</w:t>
      </w:r>
      <w:r>
        <w:rPr>
          <w:spacing w:val="-3"/>
          <w:sz w:val="24"/>
        </w:rPr>
        <w:t> </w:t>
      </w:r>
      <w:r>
        <w:rPr>
          <w:sz w:val="24"/>
        </w:rPr>
        <w:t>laboratory,</w:t>
      </w:r>
      <w:r>
        <w:rPr>
          <w:spacing w:val="-3"/>
          <w:sz w:val="24"/>
        </w:rPr>
        <w:t> </w:t>
      </w:r>
      <w:r>
        <w:rPr>
          <w:sz w:val="24"/>
        </w:rPr>
        <w:t>name</w:t>
      </w:r>
      <w:r>
        <w:rPr>
          <w:spacing w:val="-3"/>
          <w:sz w:val="24"/>
        </w:rPr>
        <w:t> </w:t>
      </w:r>
      <w:r>
        <w:rPr>
          <w:sz w:val="24"/>
        </w:rPr>
        <w:t>of</w:t>
      </w:r>
      <w:r>
        <w:rPr>
          <w:spacing w:val="-4"/>
          <w:sz w:val="24"/>
        </w:rPr>
        <w:t> </w:t>
      </w:r>
      <w:r>
        <w:rPr>
          <w:sz w:val="24"/>
        </w:rPr>
        <w:t>the</w:t>
      </w:r>
      <w:r>
        <w:rPr>
          <w:spacing w:val="-3"/>
          <w:sz w:val="24"/>
        </w:rPr>
        <w:t> </w:t>
      </w:r>
      <w:r>
        <w:rPr>
          <w:sz w:val="24"/>
        </w:rPr>
        <w:t>laboratory</w:t>
      </w:r>
      <w:r>
        <w:rPr>
          <w:spacing w:val="-3"/>
          <w:sz w:val="24"/>
        </w:rPr>
        <w:t> </w:t>
      </w:r>
      <w:r>
        <w:rPr>
          <w:sz w:val="24"/>
        </w:rPr>
        <w:t>director,</w:t>
      </w:r>
      <w:r>
        <w:rPr>
          <w:spacing w:val="-3"/>
          <w:sz w:val="24"/>
        </w:rPr>
        <w:t> </w:t>
      </w:r>
      <w:r>
        <w:rPr>
          <w:sz w:val="24"/>
        </w:rPr>
        <w:t>laboratory</w:t>
      </w:r>
      <w:r>
        <w:rPr>
          <w:spacing w:val="-3"/>
          <w:sz w:val="24"/>
        </w:rPr>
        <w:t> </w:t>
      </w:r>
      <w:r>
        <w:rPr>
          <w:sz w:val="24"/>
        </w:rPr>
        <w:t>address,</w:t>
      </w:r>
    </w:p>
    <w:p>
      <w:pPr>
        <w:spacing w:after="0" w:line="240" w:lineRule="auto"/>
        <w:jc w:val="left"/>
        <w:rPr>
          <w:sz w:val="24"/>
        </w:rPr>
        <w:sectPr>
          <w:pgSz w:w="12240" w:h="15840"/>
          <w:pgMar w:header="731" w:footer="785" w:top="1360" w:bottom="980" w:left="1280" w:right="1200"/>
        </w:sectPr>
      </w:pPr>
    </w:p>
    <w:p>
      <w:pPr>
        <w:pStyle w:val="BodyText"/>
        <w:spacing w:before="80"/>
        <w:ind w:left="880" w:right="573"/>
        <w:jc w:val="both"/>
      </w:pPr>
      <w:r>
        <w:rPr/>
        <w:t>and</w:t>
      </w:r>
      <w:r>
        <w:rPr>
          <w:spacing w:val="-3"/>
        </w:rPr>
        <w:t> </w:t>
      </w:r>
      <w:r>
        <w:rPr/>
        <w:t>contact</w:t>
      </w:r>
      <w:r>
        <w:rPr>
          <w:spacing w:val="-4"/>
        </w:rPr>
        <w:t> </w:t>
      </w:r>
      <w:r>
        <w:rPr/>
        <w:t>person</w:t>
      </w:r>
      <w:r>
        <w:rPr>
          <w:spacing w:val="-3"/>
        </w:rPr>
        <w:t> </w:t>
      </w:r>
      <w:r>
        <w:rPr/>
        <w:t>in</w:t>
      </w:r>
      <w:r>
        <w:rPr>
          <w:spacing w:val="-5"/>
        </w:rPr>
        <w:t> </w:t>
      </w:r>
      <w:r>
        <w:rPr/>
        <w:t>this</w:t>
      </w:r>
      <w:r>
        <w:rPr>
          <w:spacing w:val="-3"/>
        </w:rPr>
        <w:t> </w:t>
      </w:r>
      <w:r>
        <w:rPr/>
        <w:t>email.</w:t>
      </w:r>
      <w:r>
        <w:rPr>
          <w:spacing w:val="-3"/>
        </w:rPr>
        <w:t> </w:t>
      </w:r>
      <w:r>
        <w:rPr/>
        <w:t>FDA</w:t>
      </w:r>
      <w:r>
        <w:rPr>
          <w:spacing w:val="-4"/>
        </w:rPr>
        <w:t> </w:t>
      </w:r>
      <w:r>
        <w:rPr/>
        <w:t>will</w:t>
      </w:r>
      <w:r>
        <w:rPr>
          <w:spacing w:val="-3"/>
        </w:rPr>
        <w:t> </w:t>
      </w:r>
      <w:r>
        <w:rPr/>
        <w:t>acknowledge</w:t>
      </w:r>
      <w:r>
        <w:rPr>
          <w:spacing w:val="-3"/>
        </w:rPr>
        <w:t> </w:t>
      </w:r>
      <w:r>
        <w:rPr/>
        <w:t>receipt</w:t>
      </w:r>
      <w:r>
        <w:rPr>
          <w:spacing w:val="-3"/>
        </w:rPr>
        <w:t> </w:t>
      </w:r>
      <w:r>
        <w:rPr/>
        <w:t>of</w:t>
      </w:r>
      <w:r>
        <w:rPr>
          <w:spacing w:val="-4"/>
        </w:rPr>
        <w:t> </w:t>
      </w:r>
      <w:r>
        <w:rPr/>
        <w:t>this</w:t>
      </w:r>
      <w:r>
        <w:rPr>
          <w:spacing w:val="-3"/>
        </w:rPr>
        <w:t> </w:t>
      </w:r>
      <w:r>
        <w:rPr/>
        <w:t>notification</w:t>
      </w:r>
      <w:r>
        <w:rPr>
          <w:spacing w:val="-3"/>
        </w:rPr>
        <w:t> </w:t>
      </w:r>
      <w:r>
        <w:rPr/>
        <w:t>via auto-reply, and generally will add the laboratory name to FDA’s website listing.</w:t>
      </w:r>
    </w:p>
    <w:p>
      <w:pPr>
        <w:pStyle w:val="BodyText"/>
        <w:spacing w:before="11"/>
        <w:rPr>
          <w:sz w:val="23"/>
        </w:rPr>
      </w:pPr>
    </w:p>
    <w:p>
      <w:pPr>
        <w:pStyle w:val="BodyText"/>
        <w:ind w:left="879" w:right="468"/>
        <w:jc w:val="both"/>
      </w:pPr>
      <w:r>
        <w:rPr/>
        <w:t>It</w:t>
      </w:r>
      <w:r>
        <w:rPr>
          <w:spacing w:val="-3"/>
        </w:rPr>
        <w:t> </w:t>
      </w:r>
      <w:r>
        <w:rPr/>
        <w:t>would</w:t>
      </w:r>
      <w:r>
        <w:rPr>
          <w:spacing w:val="-3"/>
        </w:rPr>
        <w:t> </w:t>
      </w:r>
      <w:r>
        <w:rPr/>
        <w:t>be</w:t>
      </w:r>
      <w:r>
        <w:rPr>
          <w:spacing w:val="-4"/>
        </w:rPr>
        <w:t> </w:t>
      </w:r>
      <w:r>
        <w:rPr/>
        <w:t>helpful</w:t>
      </w:r>
      <w:r>
        <w:rPr>
          <w:spacing w:val="-3"/>
        </w:rPr>
        <w:t> </w:t>
      </w:r>
      <w:r>
        <w:rPr/>
        <w:t>to</w:t>
      </w:r>
      <w:r>
        <w:rPr>
          <w:spacing w:val="-3"/>
        </w:rPr>
        <w:t> </w:t>
      </w:r>
      <w:r>
        <w:rPr/>
        <w:t>FDA</w:t>
      </w:r>
      <w:r>
        <w:rPr>
          <w:spacing w:val="-4"/>
        </w:rPr>
        <w:t> </w:t>
      </w:r>
      <w:r>
        <w:rPr/>
        <w:t>if</w:t>
      </w:r>
      <w:r>
        <w:rPr>
          <w:spacing w:val="-4"/>
        </w:rPr>
        <w:t> </w:t>
      </w:r>
      <w:r>
        <w:rPr/>
        <w:t>laboratories</w:t>
      </w:r>
      <w:r>
        <w:rPr>
          <w:spacing w:val="-3"/>
        </w:rPr>
        <w:t> </w:t>
      </w:r>
      <w:r>
        <w:rPr/>
        <w:t>provide</w:t>
      </w:r>
      <w:r>
        <w:rPr>
          <w:spacing w:val="-3"/>
        </w:rPr>
        <w:t> </w:t>
      </w:r>
      <w:r>
        <w:rPr/>
        <w:t>information</w:t>
      </w:r>
      <w:r>
        <w:rPr>
          <w:spacing w:val="-3"/>
        </w:rPr>
        <w:t> </w:t>
      </w:r>
      <w:r>
        <w:rPr/>
        <w:t>on</w:t>
      </w:r>
      <w:r>
        <w:rPr>
          <w:spacing w:val="-3"/>
        </w:rPr>
        <w:t> </w:t>
      </w:r>
      <w:r>
        <w:rPr/>
        <w:t>testing</w:t>
      </w:r>
      <w:r>
        <w:rPr>
          <w:spacing w:val="-5"/>
        </w:rPr>
        <w:t> </w:t>
      </w:r>
      <w:r>
        <w:rPr/>
        <w:t>capacity.</w:t>
      </w:r>
      <w:r>
        <w:rPr>
          <w:spacing w:val="-3"/>
        </w:rPr>
        <w:t> </w:t>
      </w:r>
      <w:r>
        <w:rPr/>
        <w:t>This information</w:t>
      </w:r>
      <w:r>
        <w:rPr>
          <w:spacing w:val="-1"/>
        </w:rPr>
        <w:t> </w:t>
      </w:r>
      <w:r>
        <w:rPr/>
        <w:t>will</w:t>
      </w:r>
      <w:r>
        <w:rPr>
          <w:spacing w:val="-1"/>
        </w:rPr>
        <w:t> </w:t>
      </w:r>
      <w:r>
        <w:rPr/>
        <w:t>help</w:t>
      </w:r>
      <w:r>
        <w:rPr>
          <w:spacing w:val="-1"/>
        </w:rPr>
        <w:t> </w:t>
      </w:r>
      <w:r>
        <w:rPr/>
        <w:t>the</w:t>
      </w:r>
      <w:r>
        <w:rPr>
          <w:spacing w:val="-2"/>
        </w:rPr>
        <w:t> </w:t>
      </w:r>
      <w:r>
        <w:rPr/>
        <w:t>Agency</w:t>
      </w:r>
      <w:r>
        <w:rPr>
          <w:spacing w:val="-1"/>
        </w:rPr>
        <w:t> </w:t>
      </w:r>
      <w:r>
        <w:rPr/>
        <w:t>and</w:t>
      </w:r>
      <w:r>
        <w:rPr>
          <w:spacing w:val="-1"/>
        </w:rPr>
        <w:t> </w:t>
      </w:r>
      <w:r>
        <w:rPr/>
        <w:t>Department monitor</w:t>
      </w:r>
      <w:r>
        <w:rPr>
          <w:spacing w:val="-1"/>
        </w:rPr>
        <w:t> </w:t>
      </w:r>
      <w:r>
        <w:rPr/>
        <w:t>the</w:t>
      </w:r>
      <w:r>
        <w:rPr>
          <w:spacing w:val="-2"/>
        </w:rPr>
        <w:t> </w:t>
      </w:r>
      <w:r>
        <w:rPr/>
        <w:t>landscape</w:t>
      </w:r>
      <w:r>
        <w:rPr>
          <w:spacing w:val="-1"/>
        </w:rPr>
        <w:t> </w:t>
      </w:r>
      <w:r>
        <w:rPr/>
        <w:t>as</w:t>
      </w:r>
      <w:r>
        <w:rPr>
          <w:spacing w:val="-1"/>
        </w:rPr>
        <w:t> </w:t>
      </w:r>
      <w:r>
        <w:rPr/>
        <w:t>we</w:t>
      </w:r>
      <w:r>
        <w:rPr>
          <w:spacing w:val="-1"/>
        </w:rPr>
        <w:t> </w:t>
      </w:r>
      <w:r>
        <w:rPr/>
        <w:t>work</w:t>
      </w:r>
      <w:r>
        <w:rPr>
          <w:spacing w:val="-1"/>
        </w:rPr>
        <w:t> </w:t>
      </w:r>
      <w:r>
        <w:rPr/>
        <w:t>to ensure adequate testing capacity across the country.</w:t>
      </w:r>
    </w:p>
    <w:p>
      <w:pPr>
        <w:pStyle w:val="BodyText"/>
      </w:pPr>
    </w:p>
    <w:p>
      <w:pPr>
        <w:pStyle w:val="ListParagraph"/>
        <w:numPr>
          <w:ilvl w:val="0"/>
          <w:numId w:val="7"/>
        </w:numPr>
        <w:tabs>
          <w:tab w:pos="879" w:val="left" w:leader="none"/>
        </w:tabs>
        <w:spacing w:line="240" w:lineRule="auto" w:before="0" w:after="0"/>
        <w:ind w:left="879" w:right="260" w:hanging="360"/>
        <w:jc w:val="left"/>
        <w:rPr>
          <w:sz w:val="24"/>
        </w:rPr>
      </w:pPr>
      <w:r>
        <w:rPr>
          <w:sz w:val="24"/>
        </w:rPr>
        <w:t>For</w:t>
      </w:r>
      <w:r>
        <w:rPr>
          <w:spacing w:val="-4"/>
          <w:sz w:val="24"/>
        </w:rPr>
        <w:t> </w:t>
      </w:r>
      <w:r>
        <w:rPr>
          <w:sz w:val="24"/>
        </w:rPr>
        <w:t>tests</w:t>
      </w:r>
      <w:r>
        <w:rPr>
          <w:spacing w:val="-4"/>
          <w:sz w:val="24"/>
        </w:rPr>
        <w:t> </w:t>
      </w:r>
      <w:r>
        <w:rPr>
          <w:sz w:val="24"/>
        </w:rPr>
        <w:t>developed</w:t>
      </w:r>
      <w:r>
        <w:rPr>
          <w:spacing w:val="-4"/>
          <w:sz w:val="24"/>
        </w:rPr>
        <w:t> </w:t>
      </w:r>
      <w:r>
        <w:rPr>
          <w:sz w:val="24"/>
        </w:rPr>
        <w:t>and</w:t>
      </w:r>
      <w:r>
        <w:rPr>
          <w:spacing w:val="-4"/>
          <w:sz w:val="24"/>
        </w:rPr>
        <w:t> </w:t>
      </w:r>
      <w:r>
        <w:rPr>
          <w:sz w:val="24"/>
        </w:rPr>
        <w:t>distributed</w:t>
      </w:r>
      <w:r>
        <w:rPr>
          <w:spacing w:val="-4"/>
          <w:sz w:val="24"/>
        </w:rPr>
        <w:t> </w:t>
      </w:r>
      <w:r>
        <w:rPr>
          <w:sz w:val="24"/>
        </w:rPr>
        <w:t>by</w:t>
      </w:r>
      <w:r>
        <w:rPr>
          <w:spacing w:val="-6"/>
          <w:sz w:val="24"/>
        </w:rPr>
        <w:t> </w:t>
      </w:r>
      <w:r>
        <w:rPr>
          <w:sz w:val="24"/>
        </w:rPr>
        <w:t>commercial</w:t>
      </w:r>
      <w:r>
        <w:rPr>
          <w:spacing w:val="-4"/>
          <w:sz w:val="24"/>
        </w:rPr>
        <w:t> </w:t>
      </w:r>
      <w:r>
        <w:rPr>
          <w:sz w:val="24"/>
        </w:rPr>
        <w:t>manufacturers,</w:t>
      </w:r>
      <w:r>
        <w:rPr>
          <w:spacing w:val="-4"/>
          <w:sz w:val="24"/>
        </w:rPr>
        <w:t> </w:t>
      </w:r>
      <w:r>
        <w:rPr>
          <w:sz w:val="24"/>
        </w:rPr>
        <w:t>this</w:t>
      </w:r>
      <w:r>
        <w:rPr>
          <w:spacing w:val="-4"/>
          <w:sz w:val="24"/>
        </w:rPr>
        <w:t> </w:t>
      </w:r>
      <w:r>
        <w:rPr>
          <w:sz w:val="24"/>
        </w:rPr>
        <w:t>notification</w:t>
      </w:r>
      <w:r>
        <w:rPr>
          <w:spacing w:val="-4"/>
          <w:sz w:val="24"/>
        </w:rPr>
        <w:t> </w:t>
      </w:r>
      <w:r>
        <w:rPr>
          <w:sz w:val="24"/>
        </w:rPr>
        <w:t>should include the name of the manufacturer, address, contact person, and a copy of the instructions for use that includes a summary of assay performance. FDA will acknowledge receipt of this notification via auto-reply, and generally will add the name of</w:t>
      </w:r>
      <w:r>
        <w:rPr>
          <w:spacing w:val="-3"/>
          <w:sz w:val="24"/>
        </w:rPr>
        <w:t> </w:t>
      </w:r>
      <w:r>
        <w:rPr>
          <w:sz w:val="24"/>
        </w:rPr>
        <w:t>the</w:t>
      </w:r>
      <w:r>
        <w:rPr>
          <w:spacing w:val="-2"/>
          <w:sz w:val="24"/>
        </w:rPr>
        <w:t> </w:t>
      </w:r>
      <w:r>
        <w:rPr>
          <w:sz w:val="24"/>
        </w:rPr>
        <w:t>manufacturer</w:t>
      </w:r>
      <w:r>
        <w:rPr>
          <w:spacing w:val="-2"/>
          <w:sz w:val="24"/>
        </w:rPr>
        <w:t> </w:t>
      </w:r>
      <w:r>
        <w:rPr>
          <w:sz w:val="24"/>
        </w:rPr>
        <w:t>and</w:t>
      </w:r>
      <w:r>
        <w:rPr>
          <w:spacing w:val="-3"/>
          <w:sz w:val="24"/>
        </w:rPr>
        <w:t> </w:t>
      </w:r>
      <w:r>
        <w:rPr>
          <w:sz w:val="24"/>
        </w:rPr>
        <w:t>test</w:t>
      </w:r>
      <w:r>
        <w:rPr>
          <w:spacing w:val="-2"/>
          <w:sz w:val="24"/>
        </w:rPr>
        <w:t> </w:t>
      </w:r>
      <w:r>
        <w:rPr>
          <w:sz w:val="24"/>
        </w:rPr>
        <w:t>to</w:t>
      </w:r>
      <w:r>
        <w:rPr>
          <w:spacing w:val="-2"/>
          <w:sz w:val="24"/>
        </w:rPr>
        <w:t> </w:t>
      </w:r>
      <w:r>
        <w:rPr>
          <w:sz w:val="24"/>
        </w:rPr>
        <w:t>FDA’s</w:t>
      </w:r>
      <w:r>
        <w:rPr>
          <w:spacing w:val="-3"/>
          <w:sz w:val="24"/>
        </w:rPr>
        <w:t> </w:t>
      </w:r>
      <w:r>
        <w:rPr>
          <w:sz w:val="24"/>
        </w:rPr>
        <w:t>website</w:t>
      </w:r>
      <w:r>
        <w:rPr>
          <w:spacing w:val="-3"/>
          <w:sz w:val="24"/>
        </w:rPr>
        <w:t> </w:t>
      </w:r>
      <w:r>
        <w:rPr>
          <w:sz w:val="24"/>
        </w:rPr>
        <w:t>listing.</w:t>
      </w:r>
      <w:r>
        <w:rPr>
          <w:spacing w:val="-2"/>
          <w:sz w:val="24"/>
        </w:rPr>
        <w:t> </w:t>
      </w:r>
      <w:r>
        <w:rPr>
          <w:sz w:val="24"/>
        </w:rPr>
        <w:t>As</w:t>
      </w:r>
      <w:r>
        <w:rPr>
          <w:spacing w:val="-2"/>
          <w:sz w:val="24"/>
        </w:rPr>
        <w:t> </w:t>
      </w:r>
      <w:r>
        <w:rPr>
          <w:sz w:val="24"/>
        </w:rPr>
        <w:t>noted</w:t>
      </w:r>
      <w:r>
        <w:rPr>
          <w:spacing w:val="-2"/>
          <w:sz w:val="24"/>
        </w:rPr>
        <w:t> </w:t>
      </w:r>
      <w:r>
        <w:rPr>
          <w:sz w:val="24"/>
        </w:rPr>
        <w:t>above,</w:t>
      </w:r>
      <w:r>
        <w:rPr>
          <w:spacing w:val="-2"/>
          <w:sz w:val="24"/>
        </w:rPr>
        <w:t> </w:t>
      </w:r>
      <w:r>
        <w:rPr>
          <w:sz w:val="24"/>
        </w:rPr>
        <w:t>FDA</w:t>
      </w:r>
      <w:r>
        <w:rPr>
          <w:spacing w:val="-3"/>
          <w:sz w:val="24"/>
        </w:rPr>
        <w:t> </w:t>
      </w:r>
      <w:r>
        <w:rPr>
          <w:sz w:val="24"/>
        </w:rPr>
        <w:t>recommends that manufacturers submit a completed EUA request within 10 business days of the notification to FDA that the assay has been successfully validated, or the date of publication of this guidance, whichever is later.</w:t>
      </w:r>
      <w:hyperlink w:history="true" w:anchor="_bookmark34">
        <w:r>
          <w:rPr>
            <w:sz w:val="24"/>
            <w:vertAlign w:val="superscript"/>
          </w:rPr>
          <w:t>17</w:t>
        </w:r>
      </w:hyperlink>
      <w:r>
        <w:rPr>
          <w:sz w:val="24"/>
          <w:vertAlign w:val="baseline"/>
        </w:rPr>
        <w:t> If an EUA request is not submitted within this timeframe, FDA intends to remove the manufacturer/test from its website listing of notified tests and may take additional actions as appropriate.</w:t>
      </w:r>
    </w:p>
    <w:p>
      <w:pPr>
        <w:pStyle w:val="BodyText"/>
      </w:pPr>
    </w:p>
    <w:p>
      <w:pPr>
        <w:pStyle w:val="BodyText"/>
        <w:ind w:left="880" w:right="447"/>
        <w:jc w:val="both"/>
      </w:pPr>
      <w:r>
        <w:rPr/>
        <w:t>In circumstances where manufacturers use distributor(s) for their test, the manufacturer should</w:t>
      </w:r>
      <w:r>
        <w:rPr>
          <w:spacing w:val="-4"/>
        </w:rPr>
        <w:t> </w:t>
      </w:r>
      <w:r>
        <w:rPr/>
        <w:t>identify</w:t>
      </w:r>
      <w:r>
        <w:rPr>
          <w:spacing w:val="-4"/>
        </w:rPr>
        <w:t> </w:t>
      </w:r>
      <w:r>
        <w:rPr/>
        <w:t>the</w:t>
      </w:r>
      <w:r>
        <w:rPr>
          <w:spacing w:val="-4"/>
        </w:rPr>
        <w:t> </w:t>
      </w:r>
      <w:r>
        <w:rPr/>
        <w:t>names</w:t>
      </w:r>
      <w:r>
        <w:rPr>
          <w:spacing w:val="-4"/>
        </w:rPr>
        <w:t> </w:t>
      </w:r>
      <w:r>
        <w:rPr/>
        <w:t>of</w:t>
      </w:r>
      <w:r>
        <w:rPr>
          <w:spacing w:val="-4"/>
        </w:rPr>
        <w:t> </w:t>
      </w:r>
      <w:r>
        <w:rPr/>
        <w:t>all</w:t>
      </w:r>
      <w:r>
        <w:rPr>
          <w:spacing w:val="-4"/>
        </w:rPr>
        <w:t> </w:t>
      </w:r>
      <w:r>
        <w:rPr/>
        <w:t>distributors</w:t>
      </w:r>
      <w:r>
        <w:rPr>
          <w:spacing w:val="-4"/>
        </w:rPr>
        <w:t> </w:t>
      </w:r>
      <w:r>
        <w:rPr/>
        <w:t>in</w:t>
      </w:r>
      <w:r>
        <w:rPr>
          <w:spacing w:val="-5"/>
        </w:rPr>
        <w:t> </w:t>
      </w:r>
      <w:r>
        <w:rPr/>
        <w:t>their</w:t>
      </w:r>
      <w:r>
        <w:rPr>
          <w:spacing w:val="-4"/>
        </w:rPr>
        <w:t> </w:t>
      </w:r>
      <w:r>
        <w:rPr/>
        <w:t>notification.</w:t>
      </w:r>
      <w:r>
        <w:rPr>
          <w:spacing w:val="-4"/>
        </w:rPr>
        <w:t> </w:t>
      </w:r>
      <w:r>
        <w:rPr/>
        <w:t>Distributors</w:t>
      </w:r>
      <w:r>
        <w:rPr>
          <w:spacing w:val="-4"/>
        </w:rPr>
        <w:t> </w:t>
      </w:r>
      <w:r>
        <w:rPr/>
        <w:t>should</w:t>
      </w:r>
      <w:r>
        <w:rPr>
          <w:spacing w:val="-4"/>
        </w:rPr>
        <w:t> </w:t>
      </w:r>
      <w:r>
        <w:rPr/>
        <w:t>not provide separate notification.</w:t>
      </w:r>
    </w:p>
    <w:p>
      <w:pPr>
        <w:pStyle w:val="BodyText"/>
      </w:pPr>
    </w:p>
    <w:p>
      <w:pPr>
        <w:pStyle w:val="BodyText"/>
        <w:spacing w:before="1"/>
        <w:ind w:left="880" w:right="275"/>
      </w:pPr>
      <w:r>
        <w:rPr/>
        <w:t>It would be helpful to FDA if manufacturers provide information on test production capacity, the number of laboratories in the U.S. with the required platforms installed.</w:t>
      </w:r>
      <w:r>
        <w:rPr>
          <w:spacing w:val="40"/>
        </w:rPr>
        <w:t> </w:t>
      </w:r>
      <w:r>
        <w:rPr/>
        <w:t>This</w:t>
      </w:r>
      <w:r>
        <w:rPr>
          <w:spacing w:val="-3"/>
        </w:rPr>
        <w:t> </w:t>
      </w:r>
      <w:r>
        <w:rPr/>
        <w:t>information</w:t>
      </w:r>
      <w:r>
        <w:rPr>
          <w:spacing w:val="-3"/>
        </w:rPr>
        <w:t> </w:t>
      </w:r>
      <w:r>
        <w:rPr/>
        <w:t>will</w:t>
      </w:r>
      <w:r>
        <w:rPr>
          <w:spacing w:val="-3"/>
        </w:rPr>
        <w:t> </w:t>
      </w:r>
      <w:r>
        <w:rPr/>
        <w:t>help</w:t>
      </w:r>
      <w:r>
        <w:rPr>
          <w:spacing w:val="-3"/>
        </w:rPr>
        <w:t> </w:t>
      </w:r>
      <w:r>
        <w:rPr/>
        <w:t>the</w:t>
      </w:r>
      <w:r>
        <w:rPr>
          <w:spacing w:val="-3"/>
        </w:rPr>
        <w:t> </w:t>
      </w:r>
      <w:r>
        <w:rPr/>
        <w:t>Agency</w:t>
      </w:r>
      <w:r>
        <w:rPr>
          <w:spacing w:val="-3"/>
        </w:rPr>
        <w:t> </w:t>
      </w:r>
      <w:r>
        <w:rPr/>
        <w:t>and</w:t>
      </w:r>
      <w:r>
        <w:rPr>
          <w:spacing w:val="-3"/>
        </w:rPr>
        <w:t> </w:t>
      </w:r>
      <w:r>
        <w:rPr/>
        <w:t>Department</w:t>
      </w:r>
      <w:r>
        <w:rPr>
          <w:spacing w:val="-2"/>
        </w:rPr>
        <w:t> </w:t>
      </w:r>
      <w:r>
        <w:rPr/>
        <w:t>monitor</w:t>
      </w:r>
      <w:r>
        <w:rPr>
          <w:spacing w:val="-3"/>
        </w:rPr>
        <w:t> </w:t>
      </w:r>
      <w:r>
        <w:rPr/>
        <w:t>the</w:t>
      </w:r>
      <w:r>
        <w:rPr>
          <w:spacing w:val="-4"/>
        </w:rPr>
        <w:t> </w:t>
      </w:r>
      <w:r>
        <w:rPr/>
        <w:t>landscape</w:t>
      </w:r>
      <w:r>
        <w:rPr>
          <w:spacing w:val="-3"/>
        </w:rPr>
        <w:t> </w:t>
      </w:r>
      <w:r>
        <w:rPr/>
        <w:t>as</w:t>
      </w:r>
      <w:r>
        <w:rPr>
          <w:spacing w:val="-3"/>
        </w:rPr>
        <w:t> </w:t>
      </w:r>
      <w:r>
        <w:rPr/>
        <w:t>we</w:t>
      </w:r>
      <w:r>
        <w:rPr>
          <w:spacing w:val="-3"/>
        </w:rPr>
        <w:t> </w:t>
      </w:r>
      <w:r>
        <w:rPr/>
        <w:t>work to ensure adequate testing capacity across the country.</w:t>
      </w:r>
    </w:p>
    <w:p>
      <w:pPr>
        <w:pStyle w:val="BodyText"/>
        <w:spacing w:before="4"/>
        <w:rPr>
          <w:sz w:val="38"/>
        </w:rPr>
      </w:pPr>
    </w:p>
    <w:p>
      <w:pPr>
        <w:pStyle w:val="ListParagraph"/>
        <w:numPr>
          <w:ilvl w:val="2"/>
          <w:numId w:val="6"/>
        </w:numPr>
        <w:tabs>
          <w:tab w:pos="2319" w:val="left" w:leader="none"/>
        </w:tabs>
        <w:spacing w:line="240" w:lineRule="auto" w:before="0" w:after="0"/>
        <w:ind w:left="2319" w:right="0" w:hanging="719"/>
        <w:jc w:val="left"/>
        <w:rPr>
          <w:b/>
          <w:sz w:val="32"/>
        </w:rPr>
      </w:pPr>
      <w:r>
        <w:rPr>
          <w:b/>
          <w:sz w:val="32"/>
        </w:rPr>
        <w:t>Labeling</w:t>
      </w:r>
      <w:r>
        <w:rPr>
          <w:b/>
          <w:spacing w:val="-4"/>
          <w:sz w:val="32"/>
        </w:rPr>
        <w:t> </w:t>
      </w:r>
      <w:r>
        <w:rPr>
          <w:b/>
          <w:sz w:val="32"/>
        </w:rPr>
        <w:t>and</w:t>
      </w:r>
      <w:r>
        <w:rPr>
          <w:b/>
          <w:spacing w:val="-4"/>
          <w:sz w:val="32"/>
        </w:rPr>
        <w:t> </w:t>
      </w:r>
      <w:r>
        <w:rPr>
          <w:b/>
          <w:sz w:val="32"/>
        </w:rPr>
        <w:t>Reporting</w:t>
      </w:r>
      <w:r>
        <w:rPr>
          <w:b/>
          <w:spacing w:val="-4"/>
          <w:sz w:val="32"/>
        </w:rPr>
        <w:t> </w:t>
      </w:r>
      <w:r>
        <w:rPr>
          <w:b/>
          <w:sz w:val="32"/>
        </w:rPr>
        <w:t>of</w:t>
      </w:r>
      <w:r>
        <w:rPr>
          <w:b/>
          <w:spacing w:val="-4"/>
          <w:sz w:val="32"/>
        </w:rPr>
        <w:t> </w:t>
      </w:r>
      <w:r>
        <w:rPr>
          <w:b/>
          <w:spacing w:val="-2"/>
          <w:sz w:val="32"/>
        </w:rPr>
        <w:t>Results</w:t>
      </w:r>
    </w:p>
    <w:p>
      <w:pPr>
        <w:pStyle w:val="BodyText"/>
        <w:spacing w:before="119"/>
        <w:ind w:left="160" w:right="278"/>
      </w:pPr>
      <w:r>
        <w:rPr/>
        <w:t>In order to provide important information about the intended use of the test and its limitations, FDA</w:t>
      </w:r>
      <w:r>
        <w:rPr>
          <w:spacing w:val="-4"/>
        </w:rPr>
        <w:t> </w:t>
      </w:r>
      <w:r>
        <w:rPr/>
        <w:t>recommends</w:t>
      </w:r>
      <w:r>
        <w:rPr>
          <w:spacing w:val="-3"/>
        </w:rPr>
        <w:t> </w:t>
      </w:r>
      <w:r>
        <w:rPr/>
        <w:t>that</w:t>
      </w:r>
      <w:r>
        <w:rPr>
          <w:spacing w:val="-3"/>
        </w:rPr>
        <w:t> </w:t>
      </w:r>
      <w:r>
        <w:rPr/>
        <w:t>instructions</w:t>
      </w:r>
      <w:r>
        <w:rPr>
          <w:spacing w:val="-3"/>
        </w:rPr>
        <w:t> </w:t>
      </w:r>
      <w:r>
        <w:rPr/>
        <w:t>for</w:t>
      </w:r>
      <w:r>
        <w:rPr>
          <w:spacing w:val="-3"/>
        </w:rPr>
        <w:t> </w:t>
      </w:r>
      <w:r>
        <w:rPr/>
        <w:t>use</w:t>
      </w:r>
      <w:r>
        <w:rPr>
          <w:spacing w:val="-3"/>
        </w:rPr>
        <w:t> </w:t>
      </w:r>
      <w:r>
        <w:rPr/>
        <w:t>and</w:t>
      </w:r>
      <w:r>
        <w:rPr>
          <w:spacing w:val="-3"/>
        </w:rPr>
        <w:t> </w:t>
      </w:r>
      <w:r>
        <w:rPr/>
        <w:t>patient</w:t>
      </w:r>
      <w:r>
        <w:rPr>
          <w:spacing w:val="-3"/>
        </w:rPr>
        <w:t> </w:t>
      </w:r>
      <w:r>
        <w:rPr/>
        <w:t>test</w:t>
      </w:r>
      <w:r>
        <w:rPr>
          <w:spacing w:val="-3"/>
        </w:rPr>
        <w:t> </w:t>
      </w:r>
      <w:r>
        <w:rPr/>
        <w:t>reports</w:t>
      </w:r>
      <w:r>
        <w:rPr>
          <w:spacing w:val="-3"/>
        </w:rPr>
        <w:t> </w:t>
      </w:r>
      <w:r>
        <w:rPr/>
        <w:t>include</w:t>
      </w:r>
      <w:r>
        <w:rPr>
          <w:spacing w:val="-3"/>
        </w:rPr>
        <w:t> </w:t>
      </w:r>
      <w:r>
        <w:rPr/>
        <w:t>information</w:t>
      </w:r>
      <w:r>
        <w:rPr>
          <w:spacing w:val="-3"/>
        </w:rPr>
        <w:t> </w:t>
      </w:r>
      <w:r>
        <w:rPr/>
        <w:t>that</w:t>
      </w:r>
      <w:r>
        <w:rPr>
          <w:spacing w:val="-3"/>
        </w:rPr>
        <w:t> </w:t>
      </w:r>
      <w:r>
        <w:rPr/>
        <w:t>helps users and patients understand the test results, such as the following:</w:t>
      </w:r>
    </w:p>
    <w:p>
      <w:pPr>
        <w:pStyle w:val="BodyText"/>
        <w:spacing w:before="5"/>
        <w:rPr>
          <w:sz w:val="25"/>
        </w:rPr>
      </w:pPr>
    </w:p>
    <w:p>
      <w:pPr>
        <w:pStyle w:val="ListParagraph"/>
        <w:numPr>
          <w:ilvl w:val="0"/>
          <w:numId w:val="8"/>
        </w:numPr>
        <w:tabs>
          <w:tab w:pos="879" w:val="left" w:leader="none"/>
        </w:tabs>
        <w:spacing w:line="240" w:lineRule="auto" w:before="0" w:after="0"/>
        <w:ind w:left="879" w:right="0" w:hanging="359"/>
        <w:jc w:val="left"/>
        <w:rPr>
          <w:sz w:val="24"/>
        </w:rPr>
      </w:pPr>
      <w:r>
        <w:rPr>
          <w:sz w:val="24"/>
        </w:rPr>
        <w:t>This</w:t>
      </w:r>
      <w:r>
        <w:rPr>
          <w:spacing w:val="-1"/>
          <w:sz w:val="24"/>
        </w:rPr>
        <w:t> </w:t>
      </w:r>
      <w:r>
        <w:rPr>
          <w:sz w:val="24"/>
        </w:rPr>
        <w:t>test</w:t>
      </w:r>
      <w:r>
        <w:rPr>
          <w:spacing w:val="-1"/>
          <w:sz w:val="24"/>
        </w:rPr>
        <w:t> </w:t>
      </w:r>
      <w:r>
        <w:rPr>
          <w:sz w:val="24"/>
        </w:rPr>
        <w:t>has</w:t>
      </w:r>
      <w:r>
        <w:rPr>
          <w:spacing w:val="-2"/>
          <w:sz w:val="24"/>
        </w:rPr>
        <w:t> </w:t>
      </w:r>
      <w:r>
        <w:rPr>
          <w:sz w:val="24"/>
        </w:rPr>
        <w:t>not been</w:t>
      </w:r>
      <w:r>
        <w:rPr>
          <w:spacing w:val="-1"/>
          <w:sz w:val="24"/>
        </w:rPr>
        <w:t> </w:t>
      </w:r>
      <w:r>
        <w:rPr>
          <w:sz w:val="24"/>
        </w:rPr>
        <w:t>reviewed</w:t>
      </w:r>
      <w:r>
        <w:rPr>
          <w:spacing w:val="-1"/>
          <w:sz w:val="24"/>
        </w:rPr>
        <w:t> </w:t>
      </w:r>
      <w:r>
        <w:rPr>
          <w:sz w:val="24"/>
        </w:rPr>
        <w:t>by</w:t>
      </w:r>
      <w:r>
        <w:rPr>
          <w:spacing w:val="-1"/>
          <w:sz w:val="24"/>
        </w:rPr>
        <w:t> </w:t>
      </w:r>
      <w:r>
        <w:rPr>
          <w:sz w:val="24"/>
        </w:rPr>
        <w:t>the </w:t>
      </w:r>
      <w:r>
        <w:rPr>
          <w:spacing w:val="-4"/>
          <w:sz w:val="24"/>
        </w:rPr>
        <w:t>FDA.</w:t>
      </w:r>
    </w:p>
    <w:p>
      <w:pPr>
        <w:pStyle w:val="ListParagraph"/>
        <w:numPr>
          <w:ilvl w:val="0"/>
          <w:numId w:val="8"/>
        </w:numPr>
        <w:tabs>
          <w:tab w:pos="880" w:val="left" w:leader="none"/>
        </w:tabs>
        <w:spacing w:line="240" w:lineRule="auto" w:before="17" w:after="0"/>
        <w:ind w:left="880" w:right="923" w:hanging="360"/>
        <w:jc w:val="left"/>
        <w:rPr>
          <w:sz w:val="24"/>
        </w:rPr>
      </w:pPr>
      <w:r>
        <w:rPr>
          <w:sz w:val="24"/>
        </w:rPr>
        <w:t>Negative</w:t>
      </w:r>
      <w:r>
        <w:rPr>
          <w:spacing w:val="-5"/>
          <w:sz w:val="24"/>
        </w:rPr>
        <w:t> </w:t>
      </w:r>
      <w:r>
        <w:rPr>
          <w:sz w:val="24"/>
        </w:rPr>
        <w:t>results</w:t>
      </w:r>
      <w:r>
        <w:rPr>
          <w:spacing w:val="-4"/>
          <w:sz w:val="24"/>
        </w:rPr>
        <w:t> </w:t>
      </w:r>
      <w:r>
        <w:rPr>
          <w:sz w:val="24"/>
        </w:rPr>
        <w:t>do</w:t>
      </w:r>
      <w:r>
        <w:rPr>
          <w:spacing w:val="-4"/>
          <w:sz w:val="24"/>
        </w:rPr>
        <w:t> </w:t>
      </w:r>
      <w:r>
        <w:rPr>
          <w:sz w:val="24"/>
        </w:rPr>
        <w:t>not</w:t>
      </w:r>
      <w:r>
        <w:rPr>
          <w:spacing w:val="-4"/>
          <w:sz w:val="24"/>
        </w:rPr>
        <w:t> </w:t>
      </w:r>
      <w:r>
        <w:rPr>
          <w:sz w:val="24"/>
        </w:rPr>
        <w:t>preclude</w:t>
      </w:r>
      <w:r>
        <w:rPr>
          <w:spacing w:val="-4"/>
          <w:sz w:val="24"/>
        </w:rPr>
        <w:t> </w:t>
      </w:r>
      <w:r>
        <w:rPr>
          <w:sz w:val="24"/>
        </w:rPr>
        <w:t>acute</w:t>
      </w:r>
      <w:r>
        <w:rPr>
          <w:spacing w:val="-4"/>
          <w:sz w:val="24"/>
        </w:rPr>
        <w:t> </w:t>
      </w:r>
      <w:r>
        <w:rPr>
          <w:sz w:val="24"/>
        </w:rPr>
        <w:t>SARS-CoV-2</w:t>
      </w:r>
      <w:r>
        <w:rPr>
          <w:spacing w:val="-4"/>
          <w:sz w:val="24"/>
        </w:rPr>
        <w:t> </w:t>
      </w:r>
      <w:r>
        <w:rPr>
          <w:sz w:val="24"/>
        </w:rPr>
        <w:t>infection.</w:t>
      </w:r>
      <w:r>
        <w:rPr>
          <w:spacing w:val="-8"/>
          <w:sz w:val="24"/>
        </w:rPr>
        <w:t> </w:t>
      </w:r>
      <w:r>
        <w:rPr>
          <w:sz w:val="24"/>
        </w:rPr>
        <w:t>If</w:t>
      </w:r>
      <w:r>
        <w:rPr>
          <w:spacing w:val="-5"/>
          <w:sz w:val="24"/>
        </w:rPr>
        <w:t> </w:t>
      </w:r>
      <w:r>
        <w:rPr>
          <w:sz w:val="24"/>
        </w:rPr>
        <w:t>acute</w:t>
      </w:r>
      <w:r>
        <w:rPr>
          <w:spacing w:val="-4"/>
          <w:sz w:val="24"/>
        </w:rPr>
        <w:t> </w:t>
      </w:r>
      <w:r>
        <w:rPr>
          <w:sz w:val="24"/>
        </w:rPr>
        <w:t>infection</w:t>
      </w:r>
      <w:r>
        <w:rPr>
          <w:spacing w:val="-4"/>
          <w:sz w:val="24"/>
        </w:rPr>
        <w:t> </w:t>
      </w:r>
      <w:r>
        <w:rPr>
          <w:sz w:val="24"/>
        </w:rPr>
        <w:t>is suspected, direct testing for SARS-CoV-2 is necessary.</w:t>
      </w:r>
    </w:p>
    <w:p>
      <w:pPr>
        <w:pStyle w:val="ListParagraph"/>
        <w:numPr>
          <w:ilvl w:val="0"/>
          <w:numId w:val="8"/>
        </w:numPr>
        <w:tabs>
          <w:tab w:pos="880" w:val="left" w:leader="none"/>
        </w:tabs>
        <w:spacing w:line="240" w:lineRule="auto" w:before="16" w:after="0"/>
        <w:ind w:left="880" w:right="659" w:hanging="360"/>
        <w:jc w:val="left"/>
        <w:rPr>
          <w:sz w:val="24"/>
        </w:rPr>
      </w:pPr>
      <w:r>
        <w:rPr>
          <w:sz w:val="24"/>
        </w:rPr>
        <w:t>Results</w:t>
      </w:r>
      <w:r>
        <w:rPr>
          <w:spacing w:val="-3"/>
          <w:sz w:val="24"/>
        </w:rPr>
        <w:t> </w:t>
      </w:r>
      <w:r>
        <w:rPr>
          <w:sz w:val="24"/>
        </w:rPr>
        <w:t>from</w:t>
      </w:r>
      <w:r>
        <w:rPr>
          <w:spacing w:val="-4"/>
          <w:sz w:val="24"/>
        </w:rPr>
        <w:t> </w:t>
      </w:r>
      <w:r>
        <w:rPr>
          <w:sz w:val="24"/>
        </w:rPr>
        <w:t>antibody</w:t>
      </w:r>
      <w:r>
        <w:rPr>
          <w:spacing w:val="-3"/>
          <w:sz w:val="24"/>
        </w:rPr>
        <w:t> </w:t>
      </w:r>
      <w:r>
        <w:rPr>
          <w:sz w:val="24"/>
        </w:rPr>
        <w:t>testing</w:t>
      </w:r>
      <w:r>
        <w:rPr>
          <w:spacing w:val="-3"/>
          <w:sz w:val="24"/>
        </w:rPr>
        <w:t> </w:t>
      </w:r>
      <w:r>
        <w:rPr>
          <w:sz w:val="24"/>
        </w:rPr>
        <w:t>should</w:t>
      </w:r>
      <w:r>
        <w:rPr>
          <w:spacing w:val="-3"/>
          <w:sz w:val="24"/>
        </w:rPr>
        <w:t> </w:t>
      </w:r>
      <w:r>
        <w:rPr>
          <w:sz w:val="24"/>
        </w:rPr>
        <w:t>not</w:t>
      </w:r>
      <w:r>
        <w:rPr>
          <w:spacing w:val="-3"/>
          <w:sz w:val="24"/>
        </w:rPr>
        <w:t> </w:t>
      </w:r>
      <w:r>
        <w:rPr>
          <w:sz w:val="24"/>
        </w:rPr>
        <w:t>be</w:t>
      </w:r>
      <w:r>
        <w:rPr>
          <w:spacing w:val="-3"/>
          <w:sz w:val="24"/>
        </w:rPr>
        <w:t> </w:t>
      </w:r>
      <w:r>
        <w:rPr>
          <w:sz w:val="24"/>
        </w:rPr>
        <w:t>used</w:t>
      </w:r>
      <w:r>
        <w:rPr>
          <w:spacing w:val="-3"/>
          <w:sz w:val="24"/>
        </w:rPr>
        <w:t> </w:t>
      </w:r>
      <w:r>
        <w:rPr>
          <w:sz w:val="24"/>
        </w:rPr>
        <w:t>to</w:t>
      </w:r>
      <w:r>
        <w:rPr>
          <w:spacing w:val="-3"/>
          <w:sz w:val="24"/>
        </w:rPr>
        <w:t> </w:t>
      </w:r>
      <w:r>
        <w:rPr>
          <w:sz w:val="24"/>
        </w:rPr>
        <w:t>diagnose</w:t>
      </w:r>
      <w:r>
        <w:rPr>
          <w:spacing w:val="-3"/>
          <w:sz w:val="24"/>
        </w:rPr>
        <w:t> </w:t>
      </w:r>
      <w:r>
        <w:rPr>
          <w:sz w:val="24"/>
        </w:rPr>
        <w:t>or</w:t>
      </w:r>
      <w:r>
        <w:rPr>
          <w:spacing w:val="-3"/>
          <w:sz w:val="24"/>
        </w:rPr>
        <w:t> </w:t>
      </w:r>
      <w:r>
        <w:rPr>
          <w:sz w:val="24"/>
        </w:rPr>
        <w:t>exclude</w:t>
      </w:r>
      <w:r>
        <w:rPr>
          <w:spacing w:val="-4"/>
          <w:sz w:val="24"/>
        </w:rPr>
        <w:t> </w:t>
      </w:r>
      <w:r>
        <w:rPr>
          <w:sz w:val="24"/>
        </w:rPr>
        <w:t>acute</w:t>
      </w:r>
      <w:r>
        <w:rPr>
          <w:spacing w:val="-3"/>
          <w:sz w:val="24"/>
        </w:rPr>
        <w:t> </w:t>
      </w:r>
      <w:r>
        <w:rPr>
          <w:sz w:val="24"/>
        </w:rPr>
        <w:t>SARS- CoV-2 infection.</w:t>
      </w:r>
    </w:p>
    <w:p>
      <w:pPr>
        <w:pStyle w:val="ListParagraph"/>
        <w:numPr>
          <w:ilvl w:val="0"/>
          <w:numId w:val="8"/>
        </w:numPr>
        <w:tabs>
          <w:tab w:pos="879" w:val="left" w:leader="none"/>
        </w:tabs>
        <w:spacing w:line="240" w:lineRule="auto" w:before="15" w:after="0"/>
        <w:ind w:left="879" w:right="1314" w:hanging="360"/>
        <w:jc w:val="left"/>
        <w:rPr>
          <w:sz w:val="24"/>
        </w:rPr>
      </w:pPr>
      <w:r>
        <w:rPr>
          <w:sz w:val="24"/>
        </w:rPr>
        <w:t>Positive</w:t>
      </w:r>
      <w:r>
        <w:rPr>
          <w:spacing w:val="-5"/>
          <w:sz w:val="24"/>
        </w:rPr>
        <w:t> </w:t>
      </w:r>
      <w:r>
        <w:rPr>
          <w:sz w:val="24"/>
        </w:rPr>
        <w:t>results</w:t>
      </w:r>
      <w:r>
        <w:rPr>
          <w:spacing w:val="-4"/>
          <w:sz w:val="24"/>
        </w:rPr>
        <w:t> </w:t>
      </w:r>
      <w:r>
        <w:rPr>
          <w:sz w:val="24"/>
        </w:rPr>
        <w:t>may</w:t>
      </w:r>
      <w:r>
        <w:rPr>
          <w:spacing w:val="-4"/>
          <w:sz w:val="24"/>
        </w:rPr>
        <w:t> </w:t>
      </w:r>
      <w:r>
        <w:rPr>
          <w:sz w:val="24"/>
        </w:rPr>
        <w:t>be</w:t>
      </w:r>
      <w:r>
        <w:rPr>
          <w:spacing w:val="-4"/>
          <w:sz w:val="24"/>
        </w:rPr>
        <w:t> </w:t>
      </w:r>
      <w:r>
        <w:rPr>
          <w:sz w:val="24"/>
        </w:rPr>
        <w:t>due</w:t>
      </w:r>
      <w:r>
        <w:rPr>
          <w:spacing w:val="-4"/>
          <w:sz w:val="24"/>
        </w:rPr>
        <w:t> </w:t>
      </w:r>
      <w:r>
        <w:rPr>
          <w:sz w:val="24"/>
        </w:rPr>
        <w:t>to</w:t>
      </w:r>
      <w:r>
        <w:rPr>
          <w:spacing w:val="-4"/>
          <w:sz w:val="24"/>
        </w:rPr>
        <w:t> </w:t>
      </w:r>
      <w:r>
        <w:rPr>
          <w:sz w:val="24"/>
        </w:rPr>
        <w:t>past</w:t>
      </w:r>
      <w:r>
        <w:rPr>
          <w:spacing w:val="-4"/>
          <w:sz w:val="24"/>
        </w:rPr>
        <w:t> </w:t>
      </w:r>
      <w:r>
        <w:rPr>
          <w:sz w:val="24"/>
        </w:rPr>
        <w:t>or</w:t>
      </w:r>
      <w:r>
        <w:rPr>
          <w:spacing w:val="-4"/>
          <w:sz w:val="24"/>
        </w:rPr>
        <w:t> </w:t>
      </w:r>
      <w:r>
        <w:rPr>
          <w:sz w:val="24"/>
        </w:rPr>
        <w:t>present</w:t>
      </w:r>
      <w:r>
        <w:rPr>
          <w:spacing w:val="-4"/>
          <w:sz w:val="24"/>
        </w:rPr>
        <w:t> </w:t>
      </w:r>
      <w:r>
        <w:rPr>
          <w:sz w:val="24"/>
        </w:rPr>
        <w:t>infection</w:t>
      </w:r>
      <w:r>
        <w:rPr>
          <w:spacing w:val="-4"/>
          <w:sz w:val="24"/>
        </w:rPr>
        <w:t> </w:t>
      </w:r>
      <w:r>
        <w:rPr>
          <w:sz w:val="24"/>
        </w:rPr>
        <w:t>with</w:t>
      </w:r>
      <w:r>
        <w:rPr>
          <w:spacing w:val="-6"/>
          <w:sz w:val="24"/>
        </w:rPr>
        <w:t> </w:t>
      </w:r>
      <w:r>
        <w:rPr>
          <w:sz w:val="24"/>
        </w:rPr>
        <w:t>non-SARS-CoV-2 coronavirus strains, such as coronavirus HKU1, NL63, OC43, or 229E.</w:t>
      </w:r>
    </w:p>
    <w:p>
      <w:pPr>
        <w:pStyle w:val="BodyText"/>
        <w:rPr>
          <w:sz w:val="20"/>
        </w:rPr>
      </w:pPr>
    </w:p>
    <w:p>
      <w:pPr>
        <w:pStyle w:val="BodyText"/>
        <w:rPr>
          <w:sz w:val="20"/>
        </w:rPr>
      </w:pPr>
    </w:p>
    <w:p>
      <w:pPr>
        <w:pStyle w:val="BodyText"/>
        <w:spacing w:before="3"/>
        <w:rPr>
          <w:sz w:val="16"/>
        </w:rPr>
      </w:pPr>
      <w:r>
        <w:rPr/>
        <mc:AlternateContent>
          <mc:Choice Requires="wps">
            <w:drawing>
              <wp:anchor distT="0" distB="0" distL="0" distR="0" allowOverlap="1" layoutInCell="1" locked="0" behindDoc="1" simplePos="0" relativeHeight="487593472">
                <wp:simplePos x="0" y="0"/>
                <wp:positionH relativeFrom="page">
                  <wp:posOffset>914400</wp:posOffset>
                </wp:positionH>
                <wp:positionV relativeFrom="paragraph">
                  <wp:posOffset>134126</wp:posOffset>
                </wp:positionV>
                <wp:extent cx="1828800" cy="7620"/>
                <wp:effectExtent l="0" t="0" r="0" b="0"/>
                <wp:wrapTopAndBottom/>
                <wp:docPr id="16" name="Graphic 16"/>
                <wp:cNvGraphicFramePr>
                  <a:graphicFrameLocks/>
                </wp:cNvGraphicFramePr>
                <a:graphic>
                  <a:graphicData uri="http://schemas.microsoft.com/office/word/2010/wordprocessingShape">
                    <wps:wsp>
                      <wps:cNvPr id="16" name="Graphic 16"/>
                      <wps:cNvSpPr/>
                      <wps:spPr>
                        <a:xfrm>
                          <a:off x="0" y="0"/>
                          <a:ext cx="1828800" cy="7620"/>
                        </a:xfrm>
                        <a:custGeom>
                          <a:avLst/>
                          <a:gdLst/>
                          <a:ahLst/>
                          <a:cxnLst/>
                          <a:rect l="l" t="t" r="r" b="b"/>
                          <a:pathLst>
                            <a:path w="1828800" h="7620">
                              <a:moveTo>
                                <a:pt x="1828800" y="0"/>
                              </a:moveTo>
                              <a:lnTo>
                                <a:pt x="0" y="0"/>
                              </a:lnTo>
                              <a:lnTo>
                                <a:pt x="0" y="7619"/>
                              </a:lnTo>
                              <a:lnTo>
                                <a:pt x="1828800" y="7619"/>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10.561152pt;width:144pt;height:.6pt;mso-position-horizontal-relative:page;mso-position-vertical-relative:paragraph;z-index:-15723008;mso-wrap-distance-left:0;mso-wrap-distance-right:0" id="docshape16" filled="true" fillcolor="#000000" stroked="false">
                <v:fill type="solid"/>
                <w10:wrap type="topAndBottom"/>
              </v:rect>
            </w:pict>
          </mc:Fallback>
        </mc:AlternateContent>
      </w:r>
    </w:p>
    <w:p>
      <w:pPr>
        <w:spacing w:before="102"/>
        <w:ind w:left="160" w:right="303" w:firstLine="0"/>
        <w:jc w:val="left"/>
        <w:rPr>
          <w:sz w:val="20"/>
        </w:rPr>
      </w:pPr>
      <w:bookmarkStart w:name="_bookmark34" w:id="53"/>
      <w:bookmarkEnd w:id="53"/>
      <w:r>
        <w:rPr/>
      </w:r>
      <w:r>
        <w:rPr>
          <w:sz w:val="20"/>
          <w:vertAlign w:val="superscript"/>
        </w:rPr>
        <w:t>17</w:t>
      </w:r>
      <w:r>
        <w:rPr>
          <w:sz w:val="20"/>
          <w:vertAlign w:val="baseline"/>
        </w:rPr>
        <w:t> See FDA’s Guidance, Emergency Use Authorization of Medical Products and Related Authorities, available at </w:t>
      </w:r>
      <w:hyperlink r:id="rId16">
        <w:r>
          <w:rPr>
            <w:color w:val="0000FF"/>
            <w:spacing w:val="-2"/>
            <w:sz w:val="20"/>
            <w:u w:val="single" w:color="0000FF"/>
            <w:vertAlign w:val="baseline"/>
          </w:rPr>
          <w:t>https://www.fda.gov/regulatory-information/search-fda-guidance-documents/emergency-use-authorization-medical-</w:t>
        </w:r>
      </w:hyperlink>
      <w:r>
        <w:rPr>
          <w:color w:val="0000FF"/>
          <w:spacing w:val="-2"/>
          <w:sz w:val="20"/>
          <w:vertAlign w:val="baseline"/>
        </w:rPr>
        <w:t> </w:t>
      </w:r>
      <w:hyperlink r:id="rId16">
        <w:r>
          <w:rPr>
            <w:color w:val="0000FF"/>
            <w:spacing w:val="-2"/>
            <w:sz w:val="20"/>
            <w:u w:val="single" w:color="0000FF"/>
            <w:vertAlign w:val="baseline"/>
          </w:rPr>
          <w:t>products-and-related-authorities</w:t>
        </w:r>
        <w:r>
          <w:rPr>
            <w:spacing w:val="-2"/>
            <w:sz w:val="20"/>
            <w:vertAlign w:val="baseline"/>
          </w:rPr>
          <w:t>.</w:t>
        </w:r>
      </w:hyperlink>
    </w:p>
    <w:p>
      <w:pPr>
        <w:spacing w:after="0"/>
        <w:jc w:val="left"/>
        <w:rPr>
          <w:sz w:val="20"/>
        </w:rPr>
        <w:sectPr>
          <w:pgSz w:w="12240" w:h="15840"/>
          <w:pgMar w:header="731" w:footer="785" w:top="1360" w:bottom="980" w:left="1280" w:right="1200"/>
        </w:sectPr>
      </w:pPr>
    </w:p>
    <w:p>
      <w:pPr>
        <w:pStyle w:val="Heading2"/>
        <w:numPr>
          <w:ilvl w:val="2"/>
          <w:numId w:val="6"/>
        </w:numPr>
        <w:tabs>
          <w:tab w:pos="2319" w:val="left" w:leader="none"/>
        </w:tabs>
        <w:spacing w:line="240" w:lineRule="auto" w:before="79" w:after="0"/>
        <w:ind w:left="2319" w:right="0" w:hanging="719"/>
        <w:jc w:val="left"/>
      </w:pPr>
      <w:bookmarkStart w:name="4. EUA Request" w:id="54"/>
      <w:bookmarkEnd w:id="54"/>
      <w:r>
        <w:rPr>
          <w:b w:val="0"/>
        </w:rPr>
      </w:r>
      <w:bookmarkStart w:name="_bookmark35" w:id="55"/>
      <w:bookmarkEnd w:id="55"/>
      <w:r>
        <w:rPr>
          <w:b w:val="0"/>
        </w:rPr>
      </w:r>
      <w:r>
        <w:rPr/>
        <w:t>EUA</w:t>
      </w:r>
      <w:r>
        <w:rPr>
          <w:spacing w:val="-19"/>
        </w:rPr>
        <w:t> </w:t>
      </w:r>
      <w:r>
        <w:rPr>
          <w:spacing w:val="-2"/>
        </w:rPr>
        <w:t>Request</w:t>
      </w:r>
    </w:p>
    <w:p>
      <w:pPr>
        <w:pStyle w:val="BodyText"/>
        <w:spacing w:before="121"/>
        <w:ind w:left="160" w:right="292"/>
      </w:pPr>
      <w:r>
        <w:rPr/>
        <w:t>Templates for commercial manufacturers and laboratories are provided in Appendices A and B to facilitate the preparation, submission, and authorization of an EUA.</w:t>
      </w:r>
      <w:hyperlink w:history="true" w:anchor="_bookmark38">
        <w:r>
          <w:rPr>
            <w:vertAlign w:val="superscript"/>
          </w:rPr>
          <w:t>18</w:t>
        </w:r>
      </w:hyperlink>
      <w:r>
        <w:rPr>
          <w:vertAlign w:val="baseline"/>
        </w:rPr>
        <w:t> Developers can use alternative approaches. Developers who intend to use alternative approaches should consider seeking FDA’s feedback or recommendations to help them through the EUA process. FDA encourages</w:t>
      </w:r>
      <w:r>
        <w:rPr>
          <w:spacing w:val="-5"/>
          <w:vertAlign w:val="baseline"/>
        </w:rPr>
        <w:t> </w:t>
      </w:r>
      <w:r>
        <w:rPr>
          <w:vertAlign w:val="baseline"/>
        </w:rPr>
        <w:t>developers</w:t>
      </w:r>
      <w:r>
        <w:rPr>
          <w:spacing w:val="-4"/>
          <w:vertAlign w:val="baseline"/>
        </w:rPr>
        <w:t> </w:t>
      </w:r>
      <w:r>
        <w:rPr>
          <w:vertAlign w:val="baseline"/>
        </w:rPr>
        <w:t>to</w:t>
      </w:r>
      <w:r>
        <w:rPr>
          <w:spacing w:val="-4"/>
          <w:vertAlign w:val="baseline"/>
        </w:rPr>
        <w:t> </w:t>
      </w:r>
      <w:r>
        <w:rPr>
          <w:vertAlign w:val="baseline"/>
        </w:rPr>
        <w:t>discuss</w:t>
      </w:r>
      <w:r>
        <w:rPr>
          <w:spacing w:val="-4"/>
          <w:vertAlign w:val="baseline"/>
        </w:rPr>
        <w:t> </w:t>
      </w:r>
      <w:r>
        <w:rPr>
          <w:vertAlign w:val="baseline"/>
        </w:rPr>
        <w:t>any</w:t>
      </w:r>
      <w:r>
        <w:rPr>
          <w:spacing w:val="-4"/>
          <w:vertAlign w:val="baseline"/>
        </w:rPr>
        <w:t> </w:t>
      </w:r>
      <w:r>
        <w:rPr>
          <w:vertAlign w:val="baseline"/>
        </w:rPr>
        <w:t>alternative</w:t>
      </w:r>
      <w:r>
        <w:rPr>
          <w:spacing w:val="-5"/>
          <w:vertAlign w:val="baseline"/>
        </w:rPr>
        <w:t> </w:t>
      </w:r>
      <w:r>
        <w:rPr>
          <w:vertAlign w:val="baseline"/>
        </w:rPr>
        <w:t>technological</w:t>
      </w:r>
      <w:r>
        <w:rPr>
          <w:spacing w:val="-4"/>
          <w:vertAlign w:val="baseline"/>
        </w:rPr>
        <w:t> </w:t>
      </w:r>
      <w:r>
        <w:rPr>
          <w:vertAlign w:val="baseline"/>
        </w:rPr>
        <w:t>approaches</w:t>
      </w:r>
      <w:r>
        <w:rPr>
          <w:spacing w:val="-4"/>
          <w:vertAlign w:val="baseline"/>
        </w:rPr>
        <w:t> </w:t>
      </w:r>
      <w:r>
        <w:rPr>
          <w:vertAlign w:val="baseline"/>
        </w:rPr>
        <w:t>to</w:t>
      </w:r>
      <w:r>
        <w:rPr>
          <w:spacing w:val="-4"/>
          <w:vertAlign w:val="baseline"/>
        </w:rPr>
        <w:t> </w:t>
      </w:r>
      <w:r>
        <w:rPr>
          <w:vertAlign w:val="baseline"/>
        </w:rPr>
        <w:t>validating</w:t>
      </w:r>
      <w:r>
        <w:rPr>
          <w:spacing w:val="-4"/>
          <w:vertAlign w:val="baseline"/>
        </w:rPr>
        <w:t> </w:t>
      </w:r>
      <w:r>
        <w:rPr>
          <w:vertAlign w:val="baseline"/>
        </w:rPr>
        <w:t>their</w:t>
      </w:r>
      <w:r>
        <w:rPr>
          <w:spacing w:val="-4"/>
          <w:vertAlign w:val="baseline"/>
        </w:rPr>
        <w:t> </w:t>
      </w:r>
      <w:r>
        <w:rPr>
          <w:vertAlign w:val="baseline"/>
        </w:rPr>
        <w:t>test with FDA through </w:t>
      </w:r>
      <w:hyperlink r:id="rId18">
        <w:r>
          <w:rPr>
            <w:color w:val="0000FF"/>
            <w:u w:val="single" w:color="0000FF"/>
            <w:vertAlign w:val="baseline"/>
          </w:rPr>
          <w:t>CDRH-EUA-Templates@FDA.HHS.GOV</w:t>
        </w:r>
        <w:r>
          <w:rPr>
            <w:vertAlign w:val="baseline"/>
          </w:rPr>
          <w:t>.</w:t>
        </w:r>
      </w:hyperlink>
    </w:p>
    <w:p>
      <w:pPr>
        <w:pStyle w:val="BodyText"/>
        <w:spacing w:before="1"/>
        <w:rPr>
          <w:sz w:val="16"/>
        </w:rPr>
      </w:pPr>
    </w:p>
    <w:p>
      <w:pPr>
        <w:pStyle w:val="BodyText"/>
        <w:spacing w:before="90"/>
        <w:ind w:left="160" w:right="250"/>
      </w:pPr>
      <w:r>
        <w:rPr/>
        <w:t>FDA may leverage data from testing at the National Institutes of Health’s National Cancer Institute</w:t>
      </w:r>
      <w:r>
        <w:rPr>
          <w:spacing w:val="-1"/>
        </w:rPr>
        <w:t> </w:t>
      </w:r>
      <w:r>
        <w:rPr/>
        <w:t>(NIH/NCI),</w:t>
      </w:r>
      <w:r>
        <w:rPr>
          <w:spacing w:val="-1"/>
        </w:rPr>
        <w:t> </w:t>
      </w:r>
      <w:r>
        <w:rPr/>
        <w:t>or</w:t>
      </w:r>
      <w:r>
        <w:rPr>
          <w:spacing w:val="-1"/>
        </w:rPr>
        <w:t> </w:t>
      </w:r>
      <w:r>
        <w:rPr/>
        <w:t>at</w:t>
      </w:r>
      <w:r>
        <w:rPr>
          <w:spacing w:val="-1"/>
        </w:rPr>
        <w:t> </w:t>
      </w:r>
      <w:r>
        <w:rPr/>
        <w:t>another</w:t>
      </w:r>
      <w:r>
        <w:rPr>
          <w:spacing w:val="-1"/>
        </w:rPr>
        <w:t> </w:t>
      </w:r>
      <w:r>
        <w:rPr/>
        <w:t>federal</w:t>
      </w:r>
      <w:r>
        <w:rPr>
          <w:spacing w:val="-1"/>
        </w:rPr>
        <w:t> </w:t>
      </w:r>
      <w:r>
        <w:rPr/>
        <w:t>government</w:t>
      </w:r>
      <w:r>
        <w:rPr>
          <w:spacing w:val="-1"/>
        </w:rPr>
        <w:t> </w:t>
      </w:r>
      <w:r>
        <w:rPr/>
        <w:t>laboratory</w:t>
      </w:r>
      <w:r>
        <w:rPr>
          <w:spacing w:val="-1"/>
        </w:rPr>
        <w:t> </w:t>
      </w:r>
      <w:r>
        <w:rPr/>
        <w:t>designated</w:t>
      </w:r>
      <w:r>
        <w:rPr>
          <w:spacing w:val="-1"/>
        </w:rPr>
        <w:t> </w:t>
      </w:r>
      <w:r>
        <w:rPr/>
        <w:t>by</w:t>
      </w:r>
      <w:r>
        <w:rPr>
          <w:spacing w:val="-1"/>
        </w:rPr>
        <w:t> </w:t>
      </w:r>
      <w:r>
        <w:rPr/>
        <w:t>FDA, to</w:t>
      </w:r>
      <w:r>
        <w:rPr>
          <w:spacing w:val="-1"/>
        </w:rPr>
        <w:t> </w:t>
      </w:r>
      <w:r>
        <w:rPr/>
        <w:t>inform decisions</w:t>
      </w:r>
      <w:r>
        <w:rPr>
          <w:spacing w:val="-3"/>
        </w:rPr>
        <w:t> </w:t>
      </w:r>
      <w:r>
        <w:rPr/>
        <w:t>on</w:t>
      </w:r>
      <w:r>
        <w:rPr>
          <w:spacing w:val="-4"/>
        </w:rPr>
        <w:t> </w:t>
      </w:r>
      <w:r>
        <w:rPr/>
        <w:t>EUA</w:t>
      </w:r>
      <w:r>
        <w:rPr>
          <w:spacing w:val="-3"/>
        </w:rPr>
        <w:t> </w:t>
      </w:r>
      <w:r>
        <w:rPr/>
        <w:t>requests</w:t>
      </w:r>
      <w:r>
        <w:rPr>
          <w:spacing w:val="-3"/>
        </w:rPr>
        <w:t> </w:t>
      </w:r>
      <w:r>
        <w:rPr/>
        <w:t>and</w:t>
      </w:r>
      <w:r>
        <w:rPr>
          <w:spacing w:val="-3"/>
        </w:rPr>
        <w:t> </w:t>
      </w:r>
      <w:r>
        <w:rPr/>
        <w:t>other</w:t>
      </w:r>
      <w:r>
        <w:rPr>
          <w:spacing w:val="-3"/>
        </w:rPr>
        <w:t> </w:t>
      </w:r>
      <w:r>
        <w:rPr/>
        <w:t>actions.</w:t>
      </w:r>
      <w:r>
        <w:rPr>
          <w:spacing w:val="-3"/>
        </w:rPr>
        <w:t> </w:t>
      </w:r>
      <w:r>
        <w:rPr/>
        <w:t>FDA</w:t>
      </w:r>
      <w:r>
        <w:rPr>
          <w:spacing w:val="-3"/>
        </w:rPr>
        <w:t> </w:t>
      </w:r>
      <w:r>
        <w:rPr/>
        <w:t>has</w:t>
      </w:r>
      <w:r>
        <w:rPr>
          <w:spacing w:val="-3"/>
        </w:rPr>
        <w:t> </w:t>
      </w:r>
      <w:r>
        <w:rPr/>
        <w:t>issued</w:t>
      </w:r>
      <w:r>
        <w:rPr>
          <w:spacing w:val="-4"/>
        </w:rPr>
        <w:t> </w:t>
      </w:r>
      <w:r>
        <w:rPr/>
        <w:t>an</w:t>
      </w:r>
      <w:r>
        <w:rPr>
          <w:spacing w:val="-3"/>
        </w:rPr>
        <w:t> </w:t>
      </w:r>
      <w:r>
        <w:rPr/>
        <w:t>EUA</w:t>
      </w:r>
      <w:r>
        <w:rPr>
          <w:spacing w:val="-3"/>
        </w:rPr>
        <w:t> </w:t>
      </w:r>
      <w:r>
        <w:rPr/>
        <w:t>for</w:t>
      </w:r>
      <w:r>
        <w:rPr>
          <w:spacing w:val="-2"/>
        </w:rPr>
        <w:t> </w:t>
      </w:r>
      <w:r>
        <w:rPr/>
        <w:t>certain</w:t>
      </w:r>
      <w:r>
        <w:rPr>
          <w:spacing w:val="-3"/>
        </w:rPr>
        <w:t> </w:t>
      </w:r>
      <w:r>
        <w:rPr/>
        <w:t>serology</w:t>
      </w:r>
      <w:r>
        <w:rPr>
          <w:spacing w:val="-3"/>
        </w:rPr>
        <w:t> </w:t>
      </w:r>
      <w:r>
        <w:rPr/>
        <w:t>tests evaluated in the NIH/NCI independent validation study, or by another government agency designated by FDA, that are confirmed by FDA to meet certain specific performance and other criteria, and added to the EUA.</w:t>
      </w:r>
      <w:hyperlink w:history="true" w:anchor="_bookmark39">
        <w:r>
          <w:rPr>
            <w:vertAlign w:val="superscript"/>
          </w:rPr>
          <w:t>19</w:t>
        </w:r>
      </w:hyperlink>
    </w:p>
    <w:p>
      <w:pPr>
        <w:pStyle w:val="BodyText"/>
      </w:pPr>
    </w:p>
    <w:p>
      <w:pPr>
        <w:pStyle w:val="BodyText"/>
        <w:ind w:left="160" w:right="278"/>
      </w:pPr>
      <w:r>
        <w:rPr/>
        <w:t>FDA will communicate any questions or concerns regarding a pre-EUA or EUA submission to the developer. FDA will also work collaboratively to address any potential concerns or safety considerations</w:t>
      </w:r>
      <w:r>
        <w:rPr>
          <w:spacing w:val="-3"/>
        </w:rPr>
        <w:t> </w:t>
      </w:r>
      <w:r>
        <w:rPr/>
        <w:t>raised</w:t>
      </w:r>
      <w:r>
        <w:rPr>
          <w:spacing w:val="-3"/>
        </w:rPr>
        <w:t> </w:t>
      </w:r>
      <w:r>
        <w:rPr/>
        <w:t>in</w:t>
      </w:r>
      <w:r>
        <w:rPr>
          <w:spacing w:val="-5"/>
        </w:rPr>
        <w:t> </w:t>
      </w:r>
      <w:r>
        <w:rPr/>
        <w:t>the</w:t>
      </w:r>
      <w:r>
        <w:rPr>
          <w:spacing w:val="-3"/>
        </w:rPr>
        <w:t> </w:t>
      </w:r>
      <w:r>
        <w:rPr/>
        <w:t>pre-EUA</w:t>
      </w:r>
      <w:r>
        <w:rPr>
          <w:spacing w:val="-4"/>
        </w:rPr>
        <w:t> </w:t>
      </w:r>
      <w:r>
        <w:rPr/>
        <w:t>submission</w:t>
      </w:r>
      <w:r>
        <w:rPr>
          <w:spacing w:val="-3"/>
        </w:rPr>
        <w:t> </w:t>
      </w:r>
      <w:r>
        <w:rPr/>
        <w:t>or</w:t>
      </w:r>
      <w:r>
        <w:rPr>
          <w:spacing w:val="-3"/>
        </w:rPr>
        <w:t> </w:t>
      </w:r>
      <w:r>
        <w:rPr/>
        <w:t>EUA</w:t>
      </w:r>
      <w:r>
        <w:rPr>
          <w:spacing w:val="-4"/>
        </w:rPr>
        <w:t> </w:t>
      </w:r>
      <w:r>
        <w:rPr/>
        <w:t>request</w:t>
      </w:r>
      <w:r>
        <w:rPr>
          <w:spacing w:val="-3"/>
        </w:rPr>
        <w:t> </w:t>
      </w:r>
      <w:r>
        <w:rPr/>
        <w:t>and</w:t>
      </w:r>
      <w:r>
        <w:rPr>
          <w:spacing w:val="-3"/>
        </w:rPr>
        <w:t> </w:t>
      </w:r>
      <w:r>
        <w:rPr/>
        <w:t>will</w:t>
      </w:r>
      <w:r>
        <w:rPr>
          <w:spacing w:val="-4"/>
        </w:rPr>
        <w:t> </w:t>
      </w:r>
      <w:r>
        <w:rPr/>
        <w:t>contact</w:t>
      </w:r>
      <w:r>
        <w:rPr>
          <w:spacing w:val="-3"/>
        </w:rPr>
        <w:t> </w:t>
      </w:r>
      <w:r>
        <w:rPr/>
        <w:t>the</w:t>
      </w:r>
      <w:r>
        <w:rPr>
          <w:spacing w:val="-4"/>
        </w:rPr>
        <w:t> </w:t>
      </w:r>
      <w:r>
        <w:rPr/>
        <w:t>developer regarding a final determination on the EUA request.</w:t>
      </w:r>
    </w:p>
    <w:p>
      <w:pPr>
        <w:pStyle w:val="BodyText"/>
      </w:pPr>
    </w:p>
    <w:p>
      <w:pPr>
        <w:pStyle w:val="BodyText"/>
        <w:ind w:left="160"/>
      </w:pPr>
      <w:r>
        <w:rPr/>
        <w:t>Issued</w:t>
      </w:r>
      <w:r>
        <w:rPr>
          <w:spacing w:val="-2"/>
        </w:rPr>
        <w:t> </w:t>
      </w:r>
      <w:r>
        <w:rPr/>
        <w:t>EUAs</w:t>
      </w:r>
      <w:r>
        <w:rPr>
          <w:spacing w:val="-1"/>
        </w:rPr>
        <w:t> </w:t>
      </w:r>
      <w:r>
        <w:rPr/>
        <w:t>are</w:t>
      </w:r>
      <w:r>
        <w:rPr>
          <w:spacing w:val="-1"/>
        </w:rPr>
        <w:t> </w:t>
      </w:r>
      <w:r>
        <w:rPr/>
        <w:t>posted</w:t>
      </w:r>
      <w:r>
        <w:rPr>
          <w:spacing w:val="-3"/>
        </w:rPr>
        <w:t> </w:t>
      </w:r>
      <w:r>
        <w:rPr/>
        <w:t>on</w:t>
      </w:r>
      <w:r>
        <w:rPr>
          <w:spacing w:val="-1"/>
        </w:rPr>
        <w:t> </w:t>
      </w:r>
      <w:r>
        <w:rPr/>
        <w:t>FDA’s</w:t>
      </w:r>
      <w:r>
        <w:rPr>
          <w:spacing w:val="-1"/>
        </w:rPr>
        <w:t> </w:t>
      </w:r>
      <w:r>
        <w:rPr>
          <w:spacing w:val="-2"/>
        </w:rPr>
        <w:t>website.</w:t>
      </w:r>
    </w:p>
    <w:p>
      <w:pPr>
        <w:pStyle w:val="BodyText"/>
      </w:pPr>
    </w:p>
    <w:p>
      <w:pPr>
        <w:pStyle w:val="BodyText"/>
        <w:ind w:left="160" w:right="278"/>
      </w:pPr>
      <w:r>
        <w:rPr/>
        <w:t>If FDA is not able to issue an EUA, FDA intends to notify the manufacturer. Where the manufacturer has distributed tests, FDA also would expect the manufacturer to suspend distribution</w:t>
      </w:r>
      <w:r>
        <w:rPr>
          <w:spacing w:val="-5"/>
        </w:rPr>
        <w:t> </w:t>
      </w:r>
      <w:r>
        <w:rPr/>
        <w:t>of</w:t>
      </w:r>
      <w:r>
        <w:rPr>
          <w:spacing w:val="-4"/>
        </w:rPr>
        <w:t> </w:t>
      </w:r>
      <w:r>
        <w:rPr/>
        <w:t>the</w:t>
      </w:r>
      <w:r>
        <w:rPr>
          <w:spacing w:val="-3"/>
        </w:rPr>
        <w:t> </w:t>
      </w:r>
      <w:r>
        <w:rPr/>
        <w:t>test,</w:t>
      </w:r>
      <w:r>
        <w:rPr>
          <w:spacing w:val="-5"/>
        </w:rPr>
        <w:t> </w:t>
      </w:r>
      <w:r>
        <w:rPr/>
        <w:t>which</w:t>
      </w:r>
      <w:r>
        <w:rPr>
          <w:spacing w:val="-3"/>
        </w:rPr>
        <w:t> </w:t>
      </w:r>
      <w:r>
        <w:rPr/>
        <w:t>should</w:t>
      </w:r>
      <w:r>
        <w:rPr>
          <w:spacing w:val="-3"/>
        </w:rPr>
        <w:t> </w:t>
      </w:r>
      <w:r>
        <w:rPr/>
        <w:t>include</w:t>
      </w:r>
      <w:r>
        <w:rPr>
          <w:spacing w:val="-4"/>
        </w:rPr>
        <w:t> </w:t>
      </w:r>
      <w:r>
        <w:rPr/>
        <w:t>a</w:t>
      </w:r>
      <w:r>
        <w:rPr>
          <w:spacing w:val="-4"/>
        </w:rPr>
        <w:t> </w:t>
      </w:r>
      <w:r>
        <w:rPr/>
        <w:t>notification</w:t>
      </w:r>
      <w:r>
        <w:rPr>
          <w:spacing w:val="-4"/>
        </w:rPr>
        <w:t> </w:t>
      </w:r>
      <w:r>
        <w:rPr/>
        <w:t>indicating</w:t>
      </w:r>
      <w:r>
        <w:rPr>
          <w:spacing w:val="-4"/>
        </w:rPr>
        <w:t> </w:t>
      </w:r>
      <w:r>
        <w:rPr/>
        <w:t>that</w:t>
      </w:r>
      <w:r>
        <w:rPr>
          <w:spacing w:val="-3"/>
        </w:rPr>
        <w:t> </w:t>
      </w:r>
      <w:r>
        <w:rPr/>
        <w:t>prior</w:t>
      </w:r>
      <w:r>
        <w:rPr>
          <w:spacing w:val="-3"/>
        </w:rPr>
        <w:t> </w:t>
      </w:r>
      <w:r>
        <w:rPr/>
        <w:t>test</w:t>
      </w:r>
      <w:r>
        <w:rPr>
          <w:spacing w:val="-4"/>
        </w:rPr>
        <w:t> </w:t>
      </w:r>
      <w:r>
        <w:rPr/>
        <w:t>results</w:t>
      </w:r>
      <w:r>
        <w:rPr>
          <w:spacing w:val="-3"/>
        </w:rPr>
        <w:t> </w:t>
      </w:r>
      <w:r>
        <w:rPr/>
        <w:t>may not be accurate. FDA intends to remove the manufacturer/test from the website listing of notifications. FDA may also take other action as may be appropriate in the circumstances.</w:t>
      </w:r>
    </w:p>
    <w:p>
      <w:pPr>
        <w:pStyle w:val="BodyText"/>
        <w:rPr>
          <w:sz w:val="26"/>
        </w:rPr>
      </w:pPr>
    </w:p>
    <w:p>
      <w:pPr>
        <w:pStyle w:val="BodyText"/>
        <w:spacing w:before="3"/>
        <w:rPr>
          <w:sz w:val="29"/>
        </w:rPr>
      </w:pPr>
    </w:p>
    <w:p>
      <w:pPr>
        <w:pStyle w:val="Heading1"/>
        <w:numPr>
          <w:ilvl w:val="0"/>
          <w:numId w:val="6"/>
        </w:numPr>
        <w:tabs>
          <w:tab w:pos="879" w:val="left" w:leader="none"/>
        </w:tabs>
        <w:spacing w:line="240" w:lineRule="auto" w:before="0" w:after="0"/>
        <w:ind w:left="159" w:right="1319" w:firstLine="0"/>
        <w:jc w:val="left"/>
      </w:pPr>
      <w:bookmarkStart w:name="V. Validation Study Recommendations Base" w:id="56"/>
      <w:bookmarkEnd w:id="56"/>
      <w:r>
        <w:rPr>
          <w:b w:val="0"/>
        </w:rPr>
      </w:r>
      <w:bookmarkStart w:name="_bookmark36" w:id="57"/>
      <w:bookmarkEnd w:id="57"/>
      <w:r>
        <w:rPr>
          <w:b w:val="0"/>
        </w:rPr>
      </w:r>
      <w:r>
        <w:rPr/>
        <w:t>Validation</w:t>
      </w:r>
      <w:r>
        <w:rPr>
          <w:spacing w:val="-14"/>
        </w:rPr>
        <w:t> </w:t>
      </w:r>
      <w:r>
        <w:rPr/>
        <w:t>Study</w:t>
      </w:r>
      <w:r>
        <w:rPr>
          <w:spacing w:val="-14"/>
        </w:rPr>
        <w:t> </w:t>
      </w:r>
      <w:r>
        <w:rPr/>
        <w:t>Recommendations</w:t>
      </w:r>
      <w:r>
        <w:rPr>
          <w:spacing w:val="-14"/>
        </w:rPr>
        <w:t> </w:t>
      </w:r>
      <w:r>
        <w:rPr/>
        <w:t>Based</w:t>
      </w:r>
      <w:r>
        <w:rPr>
          <w:spacing w:val="-14"/>
        </w:rPr>
        <w:t> </w:t>
      </w:r>
      <w:r>
        <w:rPr/>
        <w:t>on</w:t>
      </w:r>
      <w:r>
        <w:rPr>
          <w:spacing w:val="-15"/>
        </w:rPr>
        <w:t> </w:t>
      </w:r>
      <w:r>
        <w:rPr/>
        <w:t>the Technological Principles of Tests</w:t>
      </w:r>
    </w:p>
    <w:p>
      <w:pPr>
        <w:pStyle w:val="BodyText"/>
        <w:spacing w:before="121"/>
        <w:ind w:left="159" w:right="278"/>
      </w:pPr>
      <w:r>
        <w:rPr/>
        <w:t>In</w:t>
      </w:r>
      <w:r>
        <w:rPr>
          <w:spacing w:val="-3"/>
        </w:rPr>
        <w:t> </w:t>
      </w:r>
      <w:r>
        <w:rPr/>
        <w:t>this</w:t>
      </w:r>
      <w:r>
        <w:rPr>
          <w:spacing w:val="-4"/>
        </w:rPr>
        <w:t> </w:t>
      </w:r>
      <w:r>
        <w:rPr/>
        <w:t>section,</w:t>
      </w:r>
      <w:r>
        <w:rPr>
          <w:spacing w:val="-3"/>
        </w:rPr>
        <w:t> </w:t>
      </w:r>
      <w:r>
        <w:rPr/>
        <w:t>FDA</w:t>
      </w:r>
      <w:r>
        <w:rPr>
          <w:spacing w:val="-4"/>
        </w:rPr>
        <w:t> </w:t>
      </w:r>
      <w:r>
        <w:rPr/>
        <w:t>provides</w:t>
      </w:r>
      <w:r>
        <w:rPr>
          <w:spacing w:val="-3"/>
        </w:rPr>
        <w:t> </w:t>
      </w:r>
      <w:r>
        <w:rPr/>
        <w:t>recommendations</w:t>
      </w:r>
      <w:r>
        <w:rPr>
          <w:spacing w:val="-3"/>
        </w:rPr>
        <w:t> </w:t>
      </w:r>
      <w:r>
        <w:rPr/>
        <w:t>for</w:t>
      </w:r>
      <w:r>
        <w:rPr>
          <w:spacing w:val="-3"/>
        </w:rPr>
        <w:t> </w:t>
      </w:r>
      <w:r>
        <w:rPr/>
        <w:t>developers</w:t>
      </w:r>
      <w:r>
        <w:rPr>
          <w:spacing w:val="-3"/>
        </w:rPr>
        <w:t> </w:t>
      </w:r>
      <w:r>
        <w:rPr/>
        <w:t>regarding</w:t>
      </w:r>
      <w:r>
        <w:rPr>
          <w:spacing w:val="-5"/>
        </w:rPr>
        <w:t> </w:t>
      </w:r>
      <w:r>
        <w:rPr/>
        <w:t>testing</w:t>
      </w:r>
      <w:r>
        <w:rPr>
          <w:spacing w:val="-3"/>
        </w:rPr>
        <w:t> </w:t>
      </w:r>
      <w:r>
        <w:rPr/>
        <w:t>that</w:t>
      </w:r>
      <w:r>
        <w:rPr>
          <w:spacing w:val="-3"/>
        </w:rPr>
        <w:t> </w:t>
      </w:r>
      <w:r>
        <w:rPr/>
        <w:t>should</w:t>
      </w:r>
      <w:r>
        <w:rPr>
          <w:spacing w:val="-3"/>
        </w:rPr>
        <w:t> </w:t>
      </w:r>
      <w:r>
        <w:rPr/>
        <w:t>be performed to demonstrate that a SARS-CoV-2 test is validated based upon the underlying technological principles of the test. Depending on the characteristics of your test, additional validation studies may be recommended. FDA encourages test developers to discuss any alternative technological approaches to validating their test with FDA through </w:t>
      </w:r>
      <w:hyperlink r:id="rId21">
        <w:r>
          <w:rPr>
            <w:color w:val="0000FF"/>
            <w:u w:val="single" w:color="0000FF"/>
          </w:rPr>
          <w:t>CDRH-EUA-</w:t>
        </w:r>
      </w:hyperlink>
      <w:r>
        <w:rPr>
          <w:color w:val="0000FF"/>
        </w:rPr>
        <w:t> </w:t>
      </w:r>
      <w:hyperlink r:id="rId21">
        <w:r>
          <w:rPr>
            <w:color w:val="0000FF"/>
            <w:spacing w:val="-2"/>
            <w:u w:val="single" w:color="0000FF"/>
          </w:rPr>
          <w:t>templates@FDA.HHS.GOV</w:t>
        </w:r>
        <w:r>
          <w:rPr>
            <w:spacing w:val="-2"/>
          </w:rPr>
          <w:t>.</w:t>
        </w:r>
      </w:hyperlink>
    </w:p>
    <w:p>
      <w:pPr>
        <w:pStyle w:val="BodyText"/>
        <w:spacing w:before="10"/>
        <w:rPr>
          <w:sz w:val="26"/>
        </w:rPr>
      </w:pPr>
    </w:p>
    <w:p>
      <w:pPr>
        <w:pStyle w:val="ListParagraph"/>
        <w:numPr>
          <w:ilvl w:val="1"/>
          <w:numId w:val="6"/>
        </w:numPr>
        <w:tabs>
          <w:tab w:pos="1599" w:val="left" w:leader="none"/>
        </w:tabs>
        <w:spacing w:line="240" w:lineRule="auto" w:before="87" w:after="0"/>
        <w:ind w:left="1599" w:right="0" w:hanging="719"/>
        <w:jc w:val="left"/>
        <w:rPr>
          <w:b/>
          <w:sz w:val="32"/>
        </w:rPr>
      </w:pPr>
      <w:bookmarkStart w:name="A. Molecular Diagnostic Tests" w:id="58"/>
      <w:bookmarkEnd w:id="58"/>
      <w:r>
        <w:rPr/>
      </w:r>
      <w:bookmarkStart w:name="_bookmark37" w:id="59"/>
      <w:bookmarkEnd w:id="59"/>
      <w:r>
        <w:rPr/>
      </w:r>
      <w:r>
        <w:rPr>
          <w:b/>
          <w:sz w:val="32"/>
        </w:rPr>
        <w:t>Molecular</w:t>
      </w:r>
      <w:r>
        <w:rPr>
          <w:b/>
          <w:spacing w:val="-13"/>
          <w:sz w:val="32"/>
        </w:rPr>
        <w:t> </w:t>
      </w:r>
      <w:r>
        <w:rPr>
          <w:b/>
          <w:sz w:val="32"/>
        </w:rPr>
        <w:t>Diagnostic</w:t>
      </w:r>
      <w:r>
        <w:rPr>
          <w:b/>
          <w:spacing w:val="-11"/>
          <w:sz w:val="32"/>
        </w:rPr>
        <w:t> </w:t>
      </w:r>
      <w:r>
        <w:rPr>
          <w:b/>
          <w:spacing w:val="-4"/>
          <w:sz w:val="32"/>
        </w:rPr>
        <w:t>Tests</w:t>
      </w:r>
    </w:p>
    <w:p>
      <w:pPr>
        <w:pStyle w:val="BodyText"/>
        <w:rPr>
          <w:b/>
          <w:sz w:val="20"/>
        </w:rPr>
      </w:pPr>
    </w:p>
    <w:p>
      <w:pPr>
        <w:pStyle w:val="BodyText"/>
        <w:spacing w:before="4"/>
        <w:rPr>
          <w:b/>
          <w:sz w:val="20"/>
        </w:rPr>
      </w:pPr>
      <w:r>
        <w:rPr/>
        <mc:AlternateContent>
          <mc:Choice Requires="wps">
            <w:drawing>
              <wp:anchor distT="0" distB="0" distL="0" distR="0" allowOverlap="1" layoutInCell="1" locked="0" behindDoc="1" simplePos="0" relativeHeight="487593984">
                <wp:simplePos x="0" y="0"/>
                <wp:positionH relativeFrom="page">
                  <wp:posOffset>914400</wp:posOffset>
                </wp:positionH>
                <wp:positionV relativeFrom="paragraph">
                  <wp:posOffset>164427</wp:posOffset>
                </wp:positionV>
                <wp:extent cx="1828800" cy="7620"/>
                <wp:effectExtent l="0" t="0" r="0" b="0"/>
                <wp:wrapTopAndBottom/>
                <wp:docPr id="17" name="Graphic 17"/>
                <wp:cNvGraphicFramePr>
                  <a:graphicFrameLocks/>
                </wp:cNvGraphicFramePr>
                <a:graphic>
                  <a:graphicData uri="http://schemas.microsoft.com/office/word/2010/wordprocessingShape">
                    <wps:wsp>
                      <wps:cNvPr id="17" name="Graphic 17"/>
                      <wps:cNvSpPr/>
                      <wps:spPr>
                        <a:xfrm>
                          <a:off x="0" y="0"/>
                          <a:ext cx="1828800" cy="7620"/>
                        </a:xfrm>
                        <a:custGeom>
                          <a:avLst/>
                          <a:gdLst/>
                          <a:ahLst/>
                          <a:cxnLst/>
                          <a:rect l="l" t="t" r="r" b="b"/>
                          <a:pathLst>
                            <a:path w="1828800" h="7620">
                              <a:moveTo>
                                <a:pt x="1828800" y="0"/>
                              </a:moveTo>
                              <a:lnTo>
                                <a:pt x="0" y="0"/>
                              </a:lnTo>
                              <a:lnTo>
                                <a:pt x="0" y="7620"/>
                              </a:lnTo>
                              <a:lnTo>
                                <a:pt x="1828800" y="7620"/>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12.947041pt;width:144pt;height:.6pt;mso-position-horizontal-relative:page;mso-position-vertical-relative:paragraph;z-index:-15722496;mso-wrap-distance-left:0;mso-wrap-distance-right:0" id="docshape17" filled="true" fillcolor="#000000" stroked="false">
                <v:fill type="solid"/>
                <w10:wrap type="topAndBottom"/>
              </v:rect>
            </w:pict>
          </mc:Fallback>
        </mc:AlternateContent>
      </w:r>
    </w:p>
    <w:p>
      <w:pPr>
        <w:spacing w:before="102"/>
        <w:ind w:left="160" w:right="0" w:firstLine="0"/>
        <w:jc w:val="left"/>
        <w:rPr>
          <w:sz w:val="20"/>
        </w:rPr>
      </w:pPr>
      <w:bookmarkStart w:name="_bookmark38" w:id="60"/>
      <w:bookmarkEnd w:id="60"/>
      <w:r>
        <w:rPr/>
      </w:r>
      <w:r>
        <w:rPr>
          <w:sz w:val="20"/>
          <w:vertAlign w:val="superscript"/>
        </w:rPr>
        <w:t>18</w:t>
      </w:r>
      <w:r>
        <w:rPr>
          <w:spacing w:val="-13"/>
          <w:sz w:val="20"/>
          <w:vertAlign w:val="baseline"/>
        </w:rPr>
        <w:t> </w:t>
      </w:r>
      <w:r>
        <w:rPr>
          <w:sz w:val="20"/>
          <w:vertAlign w:val="baseline"/>
        </w:rPr>
        <w:t>See</w:t>
      </w:r>
      <w:r>
        <w:rPr>
          <w:spacing w:val="-12"/>
          <w:sz w:val="20"/>
          <w:vertAlign w:val="baseline"/>
        </w:rPr>
        <w:t> </w:t>
      </w:r>
      <w:hyperlink r:id="rId19">
        <w:r>
          <w:rPr>
            <w:color w:val="0000FF"/>
            <w:sz w:val="20"/>
            <w:u w:val="single" w:color="0000FF"/>
            <w:vertAlign w:val="baseline"/>
          </w:rPr>
          <w:t>https://www.fda.gov/medical-devices/emergency-situations-medical-devices/emergency-use-</w:t>
        </w:r>
      </w:hyperlink>
      <w:r>
        <w:rPr>
          <w:color w:val="0000FF"/>
          <w:sz w:val="20"/>
          <w:vertAlign w:val="baseline"/>
        </w:rPr>
        <w:t> </w:t>
      </w:r>
      <w:hyperlink r:id="rId19">
        <w:r>
          <w:rPr>
            <w:color w:val="0000FF"/>
            <w:spacing w:val="-2"/>
            <w:sz w:val="20"/>
            <w:u w:val="single" w:color="0000FF"/>
            <w:vertAlign w:val="baseline"/>
          </w:rPr>
          <w:t>authorizations#coronavirus2019</w:t>
        </w:r>
        <w:r>
          <w:rPr>
            <w:spacing w:val="-2"/>
            <w:sz w:val="20"/>
            <w:vertAlign w:val="baseline"/>
          </w:rPr>
          <w:t>.</w:t>
        </w:r>
      </w:hyperlink>
    </w:p>
    <w:p>
      <w:pPr>
        <w:spacing w:line="230" w:lineRule="exact" w:before="0"/>
        <w:ind w:left="160" w:right="0" w:firstLine="0"/>
        <w:jc w:val="left"/>
        <w:rPr>
          <w:sz w:val="20"/>
        </w:rPr>
      </w:pPr>
      <w:bookmarkStart w:name="_bookmark39" w:id="61"/>
      <w:bookmarkEnd w:id="61"/>
      <w:r>
        <w:rPr/>
      </w:r>
      <w:r>
        <w:rPr>
          <w:sz w:val="20"/>
          <w:vertAlign w:val="superscript"/>
        </w:rPr>
        <w:t>19</w:t>
      </w:r>
      <w:r>
        <w:rPr>
          <w:spacing w:val="-2"/>
          <w:sz w:val="20"/>
          <w:vertAlign w:val="baseline"/>
        </w:rPr>
        <w:t> </w:t>
      </w:r>
      <w:r>
        <w:rPr>
          <w:sz w:val="20"/>
          <w:vertAlign w:val="baseline"/>
        </w:rPr>
        <w:t>See</w:t>
      </w:r>
      <w:r>
        <w:rPr>
          <w:spacing w:val="-2"/>
          <w:sz w:val="20"/>
          <w:vertAlign w:val="baseline"/>
        </w:rPr>
        <w:t> </w:t>
      </w:r>
      <w:hyperlink r:id="rId17">
        <w:r>
          <w:rPr>
            <w:color w:val="0000FF"/>
            <w:spacing w:val="-2"/>
            <w:sz w:val="20"/>
            <w:u w:val="single" w:color="0000FF"/>
            <w:vertAlign w:val="baseline"/>
          </w:rPr>
          <w:t>https://www.fda.gov/media/137470/download</w:t>
        </w:r>
        <w:r>
          <w:rPr>
            <w:spacing w:val="-2"/>
            <w:sz w:val="20"/>
            <w:vertAlign w:val="baseline"/>
          </w:rPr>
          <w:t>.</w:t>
        </w:r>
      </w:hyperlink>
    </w:p>
    <w:p>
      <w:pPr>
        <w:spacing w:after="0" w:line="230" w:lineRule="exact"/>
        <w:jc w:val="left"/>
        <w:rPr>
          <w:sz w:val="20"/>
        </w:rPr>
        <w:sectPr>
          <w:pgSz w:w="12240" w:h="15840"/>
          <w:pgMar w:header="731" w:footer="785" w:top="1360" w:bottom="980" w:left="1280" w:right="1200"/>
        </w:sectPr>
      </w:pPr>
    </w:p>
    <w:p>
      <w:pPr>
        <w:pStyle w:val="BodyText"/>
        <w:spacing w:before="80"/>
        <w:ind w:left="159" w:right="278"/>
      </w:pPr>
      <w:r>
        <w:rPr/>
        <w:t>FDA</w:t>
      </w:r>
      <w:r>
        <w:rPr>
          <w:spacing w:val="-5"/>
        </w:rPr>
        <w:t> </w:t>
      </w:r>
      <w:r>
        <w:rPr/>
        <w:t>defines</w:t>
      </w:r>
      <w:r>
        <w:rPr>
          <w:spacing w:val="-4"/>
        </w:rPr>
        <w:t> </w:t>
      </w:r>
      <w:r>
        <w:rPr/>
        <w:t>SARS-CoV-2</w:t>
      </w:r>
      <w:r>
        <w:rPr>
          <w:spacing w:val="-3"/>
        </w:rPr>
        <w:t> </w:t>
      </w:r>
      <w:r>
        <w:rPr/>
        <w:t>molecular</w:t>
      </w:r>
      <w:r>
        <w:rPr>
          <w:spacing w:val="-4"/>
        </w:rPr>
        <w:t> </w:t>
      </w:r>
      <w:r>
        <w:rPr/>
        <w:t>diagnostic</w:t>
      </w:r>
      <w:r>
        <w:rPr>
          <w:spacing w:val="-4"/>
        </w:rPr>
        <w:t> </w:t>
      </w:r>
      <w:r>
        <w:rPr/>
        <w:t>tests</w:t>
      </w:r>
      <w:r>
        <w:rPr>
          <w:spacing w:val="-4"/>
        </w:rPr>
        <w:t> </w:t>
      </w:r>
      <w:r>
        <w:rPr/>
        <w:t>as</w:t>
      </w:r>
      <w:r>
        <w:rPr>
          <w:spacing w:val="-5"/>
        </w:rPr>
        <w:t> </w:t>
      </w:r>
      <w:r>
        <w:rPr/>
        <w:t>tests</w:t>
      </w:r>
      <w:r>
        <w:rPr>
          <w:spacing w:val="-4"/>
        </w:rPr>
        <w:t> </w:t>
      </w:r>
      <w:r>
        <w:rPr/>
        <w:t>that</w:t>
      </w:r>
      <w:r>
        <w:rPr>
          <w:spacing w:val="-4"/>
        </w:rPr>
        <w:t> </w:t>
      </w:r>
      <w:r>
        <w:rPr/>
        <w:t>detect</w:t>
      </w:r>
      <w:r>
        <w:rPr>
          <w:spacing w:val="-5"/>
        </w:rPr>
        <w:t> </w:t>
      </w:r>
      <w:r>
        <w:rPr/>
        <w:t>SARS-CoV-2</w:t>
      </w:r>
      <w:r>
        <w:rPr>
          <w:spacing w:val="-4"/>
        </w:rPr>
        <w:t> </w:t>
      </w:r>
      <w:r>
        <w:rPr/>
        <w:t>nucleic acids from human specimens. FDA recommends that the following validation studies be conducted for molecular SARS-CoV-2 diagnostic tests:</w:t>
      </w:r>
    </w:p>
    <w:p>
      <w:pPr>
        <w:pStyle w:val="BodyText"/>
        <w:spacing w:before="4"/>
        <w:rPr>
          <w:sz w:val="34"/>
        </w:rPr>
      </w:pPr>
    </w:p>
    <w:p>
      <w:pPr>
        <w:pStyle w:val="Heading3"/>
        <w:numPr>
          <w:ilvl w:val="0"/>
          <w:numId w:val="9"/>
        </w:numPr>
        <w:tabs>
          <w:tab w:pos="2147" w:val="left" w:leader="none"/>
        </w:tabs>
        <w:spacing w:line="240" w:lineRule="auto" w:before="0" w:after="0"/>
        <w:ind w:left="2147" w:right="0" w:hanging="547"/>
        <w:jc w:val="left"/>
      </w:pPr>
      <w:bookmarkStart w:name="(1) Limit of Detection" w:id="62"/>
      <w:bookmarkEnd w:id="62"/>
      <w:r>
        <w:rPr>
          <w:b w:val="0"/>
        </w:rPr>
      </w:r>
      <w:bookmarkStart w:name="_bookmark40" w:id="63"/>
      <w:bookmarkEnd w:id="63"/>
      <w:r>
        <w:rPr>
          <w:b w:val="0"/>
        </w:rPr>
      </w:r>
      <w:r>
        <w:rPr/>
        <w:t>Limit</w:t>
      </w:r>
      <w:r>
        <w:rPr>
          <w:spacing w:val="-6"/>
        </w:rPr>
        <w:t> </w:t>
      </w:r>
      <w:r>
        <w:rPr/>
        <w:t>of</w:t>
      </w:r>
      <w:r>
        <w:rPr>
          <w:spacing w:val="-6"/>
        </w:rPr>
        <w:t> </w:t>
      </w:r>
      <w:r>
        <w:rPr>
          <w:spacing w:val="-2"/>
        </w:rPr>
        <w:t>Detection</w:t>
      </w:r>
    </w:p>
    <w:p>
      <w:pPr>
        <w:pStyle w:val="BodyText"/>
        <w:spacing w:before="120"/>
        <w:ind w:left="159" w:right="278"/>
      </w:pPr>
      <w:r>
        <w:rPr/>
        <w:t>FDA recommends that developers document the limit of detection (7) of their SARS-CoV-2 assay. FDA generally does not have concerns with spiking RNA or inactivated virus into artificial</w:t>
      </w:r>
      <w:r>
        <w:rPr>
          <w:spacing w:val="-3"/>
        </w:rPr>
        <w:t> </w:t>
      </w:r>
      <w:r>
        <w:rPr/>
        <w:t>or</w:t>
      </w:r>
      <w:r>
        <w:rPr>
          <w:spacing w:val="-3"/>
        </w:rPr>
        <w:t> </w:t>
      </w:r>
      <w:r>
        <w:rPr/>
        <w:t>real</w:t>
      </w:r>
      <w:r>
        <w:rPr>
          <w:spacing w:val="-3"/>
        </w:rPr>
        <w:t> </w:t>
      </w:r>
      <w:r>
        <w:rPr/>
        <w:t>clinical</w:t>
      </w:r>
      <w:r>
        <w:rPr>
          <w:spacing w:val="-4"/>
        </w:rPr>
        <w:t> </w:t>
      </w:r>
      <w:r>
        <w:rPr/>
        <w:t>matrix</w:t>
      </w:r>
      <w:r>
        <w:rPr>
          <w:spacing w:val="-3"/>
        </w:rPr>
        <w:t> </w:t>
      </w:r>
      <w:r>
        <w:rPr/>
        <w:t>(e.g.,</w:t>
      </w:r>
      <w:r>
        <w:rPr>
          <w:spacing w:val="-5"/>
        </w:rPr>
        <w:t> </w:t>
      </w:r>
      <w:r>
        <w:rPr/>
        <w:t>Bronchoalveolar</w:t>
      </w:r>
      <w:r>
        <w:rPr>
          <w:spacing w:val="-4"/>
        </w:rPr>
        <w:t> </w:t>
      </w:r>
      <w:r>
        <w:rPr/>
        <w:t>lavage</w:t>
      </w:r>
      <w:r>
        <w:rPr>
          <w:spacing w:val="-3"/>
        </w:rPr>
        <w:t> </w:t>
      </w:r>
      <w:r>
        <w:rPr/>
        <w:t>[BAL]</w:t>
      </w:r>
      <w:r>
        <w:rPr>
          <w:spacing w:val="-3"/>
        </w:rPr>
        <w:t> </w:t>
      </w:r>
      <w:r>
        <w:rPr/>
        <w:t>fluid,</w:t>
      </w:r>
      <w:r>
        <w:rPr>
          <w:spacing w:val="-3"/>
        </w:rPr>
        <w:t> </w:t>
      </w:r>
      <w:r>
        <w:rPr/>
        <w:t>sputum,</w:t>
      </w:r>
      <w:r>
        <w:rPr>
          <w:spacing w:val="-3"/>
        </w:rPr>
        <w:t> </w:t>
      </w:r>
      <w:r>
        <w:rPr/>
        <w:t>etc.)</w:t>
      </w:r>
      <w:r>
        <w:rPr>
          <w:spacing w:val="-3"/>
        </w:rPr>
        <w:t> </w:t>
      </w:r>
      <w:r>
        <w:rPr/>
        <w:t>for</w:t>
      </w:r>
      <w:r>
        <w:rPr>
          <w:spacing w:val="-3"/>
        </w:rPr>
        <w:t> </w:t>
      </w:r>
      <w:r>
        <w:rPr/>
        <w:t>LoD </w:t>
      </w:r>
      <w:r>
        <w:rPr>
          <w:spacing w:val="-2"/>
        </w:rPr>
        <w:t>determination.</w:t>
      </w:r>
    </w:p>
    <w:p>
      <w:pPr>
        <w:pStyle w:val="BodyText"/>
      </w:pPr>
    </w:p>
    <w:p>
      <w:pPr>
        <w:pStyle w:val="BodyText"/>
        <w:ind w:left="159" w:right="250"/>
      </w:pPr>
      <w:r>
        <w:rPr/>
        <w:t>FDA</w:t>
      </w:r>
      <w:r>
        <w:rPr>
          <w:spacing w:val="-4"/>
        </w:rPr>
        <w:t> </w:t>
      </w:r>
      <w:r>
        <w:rPr/>
        <w:t>recommends</w:t>
      </w:r>
      <w:r>
        <w:rPr>
          <w:spacing w:val="-3"/>
        </w:rPr>
        <w:t> </w:t>
      </w:r>
      <w:r>
        <w:rPr/>
        <w:t>that</w:t>
      </w:r>
      <w:r>
        <w:rPr>
          <w:spacing w:val="-3"/>
        </w:rPr>
        <w:t> </w:t>
      </w:r>
      <w:r>
        <w:rPr/>
        <w:t>developers</w:t>
      </w:r>
      <w:r>
        <w:rPr>
          <w:spacing w:val="-3"/>
        </w:rPr>
        <w:t> </w:t>
      </w:r>
      <w:r>
        <w:rPr/>
        <w:t>test</w:t>
      </w:r>
      <w:r>
        <w:rPr>
          <w:spacing w:val="-3"/>
        </w:rPr>
        <w:t> </w:t>
      </w:r>
      <w:r>
        <w:rPr/>
        <w:t>a</w:t>
      </w:r>
      <w:r>
        <w:rPr>
          <w:spacing w:val="-3"/>
        </w:rPr>
        <w:t> </w:t>
      </w:r>
      <w:r>
        <w:rPr/>
        <w:t>dilution</w:t>
      </w:r>
      <w:r>
        <w:rPr>
          <w:spacing w:val="-5"/>
        </w:rPr>
        <w:t> </w:t>
      </w:r>
      <w:r>
        <w:rPr/>
        <w:t>series</w:t>
      </w:r>
      <w:r>
        <w:rPr>
          <w:spacing w:val="-3"/>
        </w:rPr>
        <w:t> </w:t>
      </w:r>
      <w:r>
        <w:rPr/>
        <w:t>of</w:t>
      </w:r>
      <w:r>
        <w:rPr>
          <w:spacing w:val="-4"/>
        </w:rPr>
        <w:t> </w:t>
      </w:r>
      <w:r>
        <w:rPr/>
        <w:t>three</w:t>
      </w:r>
      <w:r>
        <w:rPr>
          <w:spacing w:val="-3"/>
        </w:rPr>
        <w:t> </w:t>
      </w:r>
      <w:r>
        <w:rPr/>
        <w:t>replicates</w:t>
      </w:r>
      <w:r>
        <w:rPr>
          <w:spacing w:val="-4"/>
        </w:rPr>
        <w:t> </w:t>
      </w:r>
      <w:r>
        <w:rPr/>
        <w:t>per</w:t>
      </w:r>
      <w:r>
        <w:rPr>
          <w:spacing w:val="-3"/>
        </w:rPr>
        <w:t> </w:t>
      </w:r>
      <w:r>
        <w:rPr/>
        <w:t>concentration</w:t>
      </w:r>
      <w:r>
        <w:rPr>
          <w:spacing w:val="-3"/>
        </w:rPr>
        <w:t> </w:t>
      </w:r>
      <w:r>
        <w:rPr/>
        <w:t>with inactivated virus on actual patient specimen, and then confirm the final concentration with 20 replicates. For this guidance, FDA defines LoD as the lowest concentration at which 19/20 replicates are positive. If multiple clinical matrices are intended for clinical testing, FDA recommends that</w:t>
      </w:r>
      <w:r>
        <w:rPr>
          <w:spacing w:val="-1"/>
        </w:rPr>
        <w:t> </w:t>
      </w:r>
      <w:r>
        <w:rPr/>
        <w:t>developers</w:t>
      </w:r>
      <w:r>
        <w:rPr>
          <w:spacing w:val="-1"/>
        </w:rPr>
        <w:t> </w:t>
      </w:r>
      <w:r>
        <w:rPr/>
        <w:t>submit</w:t>
      </w:r>
      <w:r>
        <w:rPr>
          <w:spacing w:val="-1"/>
        </w:rPr>
        <w:t> </w:t>
      </w:r>
      <w:r>
        <w:rPr/>
        <w:t>in</w:t>
      </w:r>
      <w:r>
        <w:rPr>
          <w:spacing w:val="-1"/>
        </w:rPr>
        <w:t> </w:t>
      </w:r>
      <w:r>
        <w:rPr/>
        <w:t>their</w:t>
      </w:r>
      <w:r>
        <w:rPr>
          <w:spacing w:val="-1"/>
        </w:rPr>
        <w:t> </w:t>
      </w:r>
      <w:r>
        <w:rPr/>
        <w:t>EUA</w:t>
      </w:r>
      <w:r>
        <w:rPr>
          <w:spacing w:val="-2"/>
        </w:rPr>
        <w:t> </w:t>
      </w:r>
      <w:r>
        <w:rPr/>
        <w:t>requests</w:t>
      </w:r>
      <w:r>
        <w:rPr>
          <w:spacing w:val="-2"/>
        </w:rPr>
        <w:t> </w:t>
      </w:r>
      <w:r>
        <w:rPr/>
        <w:t>the</w:t>
      </w:r>
      <w:r>
        <w:rPr>
          <w:spacing w:val="-1"/>
        </w:rPr>
        <w:t> </w:t>
      </w:r>
      <w:r>
        <w:rPr/>
        <w:t>results</w:t>
      </w:r>
      <w:r>
        <w:rPr>
          <w:spacing w:val="-1"/>
        </w:rPr>
        <w:t> </w:t>
      </w:r>
      <w:r>
        <w:rPr/>
        <w:t>from</w:t>
      </w:r>
      <w:r>
        <w:rPr>
          <w:spacing w:val="-3"/>
        </w:rPr>
        <w:t> </w:t>
      </w:r>
      <w:r>
        <w:rPr/>
        <w:t>the</w:t>
      </w:r>
      <w:r>
        <w:rPr>
          <w:spacing w:val="-1"/>
        </w:rPr>
        <w:t> </w:t>
      </w:r>
      <w:r>
        <w:rPr/>
        <w:t>most challenging clinical matrix to FDA. For example, if testing respiratory specimens (e.g., sputum, BAL, nasopharyngeal (NP) swabs, etc.), laboratories should include only results from sputum in their EUA request.</w:t>
      </w:r>
    </w:p>
    <w:p>
      <w:pPr>
        <w:pStyle w:val="BodyText"/>
        <w:spacing w:before="5"/>
        <w:rPr>
          <w:sz w:val="34"/>
        </w:rPr>
      </w:pPr>
    </w:p>
    <w:p>
      <w:pPr>
        <w:pStyle w:val="Heading3"/>
        <w:numPr>
          <w:ilvl w:val="0"/>
          <w:numId w:val="9"/>
        </w:numPr>
        <w:tabs>
          <w:tab w:pos="2147" w:val="left" w:leader="none"/>
        </w:tabs>
        <w:spacing w:line="240" w:lineRule="auto" w:before="0" w:after="0"/>
        <w:ind w:left="2147" w:right="0" w:hanging="547"/>
        <w:jc w:val="left"/>
      </w:pPr>
      <w:bookmarkStart w:name="(2) Clinical Evaluation" w:id="64"/>
      <w:bookmarkEnd w:id="64"/>
      <w:r>
        <w:rPr>
          <w:b w:val="0"/>
        </w:rPr>
      </w:r>
      <w:bookmarkStart w:name="_bookmark41" w:id="65"/>
      <w:bookmarkEnd w:id="65"/>
      <w:r>
        <w:rPr>
          <w:b w:val="0"/>
        </w:rPr>
      </w:r>
      <w:r>
        <w:rPr/>
        <w:t>Clinical</w:t>
      </w:r>
      <w:r>
        <w:rPr>
          <w:spacing w:val="-13"/>
        </w:rPr>
        <w:t> </w:t>
      </w:r>
      <w:r>
        <w:rPr>
          <w:spacing w:val="-2"/>
        </w:rPr>
        <w:t>Evaluation</w:t>
      </w:r>
    </w:p>
    <w:p>
      <w:pPr>
        <w:pStyle w:val="BodyText"/>
        <w:spacing w:before="120"/>
        <w:ind w:left="159" w:right="241"/>
      </w:pPr>
      <w:r>
        <w:rPr/>
        <w:t>The</w:t>
      </w:r>
      <w:r>
        <w:rPr>
          <w:spacing w:val="-3"/>
        </w:rPr>
        <w:t> </w:t>
      </w:r>
      <w:r>
        <w:rPr/>
        <w:t>availability</w:t>
      </w:r>
      <w:r>
        <w:rPr>
          <w:spacing w:val="-3"/>
        </w:rPr>
        <w:t> </w:t>
      </w:r>
      <w:r>
        <w:rPr/>
        <w:t>of</w:t>
      </w:r>
      <w:r>
        <w:rPr>
          <w:spacing w:val="-4"/>
        </w:rPr>
        <w:t> </w:t>
      </w:r>
      <w:r>
        <w:rPr/>
        <w:t>positive</w:t>
      </w:r>
      <w:r>
        <w:rPr>
          <w:spacing w:val="-3"/>
        </w:rPr>
        <w:t> </w:t>
      </w:r>
      <w:r>
        <w:rPr/>
        <w:t>samples</w:t>
      </w:r>
      <w:r>
        <w:rPr>
          <w:spacing w:val="-3"/>
        </w:rPr>
        <w:t> </w:t>
      </w:r>
      <w:r>
        <w:rPr/>
        <w:t>has</w:t>
      </w:r>
      <w:r>
        <w:rPr>
          <w:spacing w:val="-3"/>
        </w:rPr>
        <w:t> </w:t>
      </w:r>
      <w:r>
        <w:rPr/>
        <w:t>increased</w:t>
      </w:r>
      <w:r>
        <w:rPr>
          <w:spacing w:val="-3"/>
        </w:rPr>
        <w:t> </w:t>
      </w:r>
      <w:r>
        <w:rPr/>
        <w:t>as</w:t>
      </w:r>
      <w:r>
        <w:rPr>
          <w:spacing w:val="-3"/>
        </w:rPr>
        <w:t> </w:t>
      </w:r>
      <w:r>
        <w:rPr/>
        <w:t>the</w:t>
      </w:r>
      <w:r>
        <w:rPr>
          <w:spacing w:val="-3"/>
        </w:rPr>
        <w:t> </w:t>
      </w:r>
      <w:r>
        <w:rPr/>
        <w:t>pandemic</w:t>
      </w:r>
      <w:r>
        <w:rPr>
          <w:spacing w:val="-3"/>
        </w:rPr>
        <w:t> </w:t>
      </w:r>
      <w:r>
        <w:rPr/>
        <w:t>has</w:t>
      </w:r>
      <w:r>
        <w:rPr>
          <w:spacing w:val="-3"/>
        </w:rPr>
        <w:t> </w:t>
      </w:r>
      <w:r>
        <w:rPr/>
        <w:t>progressed.</w:t>
      </w:r>
      <w:r>
        <w:rPr>
          <w:spacing w:val="-3"/>
        </w:rPr>
        <w:t> </w:t>
      </w:r>
      <w:r>
        <w:rPr/>
        <w:t>As</w:t>
      </w:r>
      <w:r>
        <w:rPr>
          <w:spacing w:val="-4"/>
        </w:rPr>
        <w:t> </w:t>
      </w:r>
      <w:r>
        <w:rPr/>
        <w:t>such,</w:t>
      </w:r>
      <w:r>
        <w:rPr>
          <w:spacing w:val="-3"/>
        </w:rPr>
        <w:t> </w:t>
      </w:r>
      <w:r>
        <w:rPr/>
        <w:t>FDA now recommends that developers use positive clinical samples for clinical validation. Moreover, due to the increased availability of clinical samples, FDA recommends that developers confirm performance of their assay by testing a minimum of 30 positive specimens and 30 negative specimens as determined by an authorized</w:t>
      </w:r>
      <w:r>
        <w:rPr>
          <w:spacing w:val="-1"/>
        </w:rPr>
        <w:t> </w:t>
      </w:r>
      <w:r>
        <w:rPr/>
        <w:t>assay. If you do not have access to clinical samples as determined by an authorized assay, contrived clinical specimens may be considered.</w:t>
      </w:r>
      <w:r>
        <w:rPr>
          <w:spacing w:val="40"/>
        </w:rPr>
        <w:t> </w:t>
      </w:r>
      <w:r>
        <w:rPr/>
        <w:t>Contrived reactive specimens can be created by spiking RNA or inactivated virus into leftover clinical specimens, of which the majority can be leftover upper respiratory specimens such as NP swabs, or lower respiratory tract specimens such as sputum, etc. If contrived samples are used, FDA recommends that twenty of the contrived clinical specimens be spiked at a concentration of 1x- 2x LoD, with the remainder of specimens spanning the assay testing range. For this guidance, FDA defines the acceptance criteria for the performance as 95% agreement at 1x-2x LoD, and 100% agreement at all other concentrations and for negative specimens.</w:t>
      </w:r>
    </w:p>
    <w:p>
      <w:pPr>
        <w:pStyle w:val="BodyText"/>
        <w:spacing w:before="5"/>
        <w:rPr>
          <w:sz w:val="34"/>
        </w:rPr>
      </w:pPr>
    </w:p>
    <w:p>
      <w:pPr>
        <w:pStyle w:val="Heading3"/>
        <w:numPr>
          <w:ilvl w:val="0"/>
          <w:numId w:val="9"/>
        </w:numPr>
        <w:tabs>
          <w:tab w:pos="2147" w:val="left" w:leader="none"/>
        </w:tabs>
        <w:spacing w:line="240" w:lineRule="auto" w:before="0" w:after="0"/>
        <w:ind w:left="2147" w:right="0" w:hanging="547"/>
        <w:jc w:val="left"/>
      </w:pPr>
      <w:bookmarkStart w:name="(3) Inclusivity" w:id="66"/>
      <w:bookmarkEnd w:id="66"/>
      <w:r>
        <w:rPr>
          <w:b w:val="0"/>
        </w:rPr>
      </w:r>
      <w:bookmarkStart w:name="_bookmark42" w:id="67"/>
      <w:bookmarkEnd w:id="67"/>
      <w:r>
        <w:rPr>
          <w:b w:val="0"/>
        </w:rPr>
      </w:r>
      <w:r>
        <w:rPr>
          <w:spacing w:val="-2"/>
        </w:rPr>
        <w:t>Inclusivity</w:t>
      </w:r>
    </w:p>
    <w:p>
      <w:pPr>
        <w:pStyle w:val="BodyText"/>
        <w:spacing w:before="120"/>
        <w:ind w:left="159"/>
      </w:pPr>
      <w:r>
        <w:rPr/>
        <w:t>developers should document the results of an </w:t>
      </w:r>
      <w:r>
        <w:rPr>
          <w:i/>
        </w:rPr>
        <w:t>in silico </w:t>
      </w:r>
      <w:r>
        <w:rPr/>
        <w:t>analysis indicating the percent identity matches</w:t>
      </w:r>
      <w:r>
        <w:rPr>
          <w:spacing w:val="-3"/>
        </w:rPr>
        <w:t> </w:t>
      </w:r>
      <w:r>
        <w:rPr/>
        <w:t>against</w:t>
      </w:r>
      <w:r>
        <w:rPr>
          <w:spacing w:val="-3"/>
        </w:rPr>
        <w:t> </w:t>
      </w:r>
      <w:r>
        <w:rPr/>
        <w:t>publicly</w:t>
      </w:r>
      <w:r>
        <w:rPr>
          <w:spacing w:val="-5"/>
        </w:rPr>
        <w:t> </w:t>
      </w:r>
      <w:r>
        <w:rPr/>
        <w:t>available</w:t>
      </w:r>
      <w:r>
        <w:rPr>
          <w:spacing w:val="-3"/>
        </w:rPr>
        <w:t> </w:t>
      </w:r>
      <w:r>
        <w:rPr/>
        <w:t>SARS-CoV-2</w:t>
      </w:r>
      <w:r>
        <w:rPr>
          <w:spacing w:val="-2"/>
        </w:rPr>
        <w:t> </w:t>
      </w:r>
      <w:r>
        <w:rPr/>
        <w:t>sequences</w:t>
      </w:r>
      <w:r>
        <w:rPr>
          <w:spacing w:val="-4"/>
        </w:rPr>
        <w:t> </w:t>
      </w:r>
      <w:r>
        <w:rPr/>
        <w:t>that</w:t>
      </w:r>
      <w:r>
        <w:rPr>
          <w:spacing w:val="-3"/>
        </w:rPr>
        <w:t> </w:t>
      </w:r>
      <w:r>
        <w:rPr/>
        <w:t>can</w:t>
      </w:r>
      <w:r>
        <w:rPr>
          <w:spacing w:val="-3"/>
        </w:rPr>
        <w:t> </w:t>
      </w:r>
      <w:r>
        <w:rPr/>
        <w:t>be</w:t>
      </w:r>
      <w:r>
        <w:rPr>
          <w:spacing w:val="-3"/>
        </w:rPr>
        <w:t> </w:t>
      </w:r>
      <w:r>
        <w:rPr/>
        <w:t>detected</w:t>
      </w:r>
      <w:r>
        <w:rPr>
          <w:spacing w:val="-3"/>
        </w:rPr>
        <w:t> </w:t>
      </w:r>
      <w:r>
        <w:rPr/>
        <w:t>by</w:t>
      </w:r>
      <w:r>
        <w:rPr>
          <w:spacing w:val="-3"/>
        </w:rPr>
        <w:t> </w:t>
      </w:r>
      <w:r>
        <w:rPr/>
        <w:t>the</w:t>
      </w:r>
      <w:r>
        <w:rPr>
          <w:spacing w:val="-3"/>
        </w:rPr>
        <w:t> </w:t>
      </w:r>
      <w:r>
        <w:rPr/>
        <w:t>proposed molecular assay. FDA anticipates that 100% of published SARS-CoV-2 sequences will be detectable with the selected primers and probes.</w:t>
      </w:r>
    </w:p>
    <w:p>
      <w:pPr>
        <w:pStyle w:val="BodyText"/>
        <w:spacing w:before="5"/>
        <w:rPr>
          <w:sz w:val="34"/>
        </w:rPr>
      </w:pPr>
    </w:p>
    <w:p>
      <w:pPr>
        <w:pStyle w:val="Heading3"/>
        <w:numPr>
          <w:ilvl w:val="0"/>
          <w:numId w:val="9"/>
        </w:numPr>
        <w:tabs>
          <w:tab w:pos="2147" w:val="left" w:leader="none"/>
        </w:tabs>
        <w:spacing w:line="240" w:lineRule="auto" w:before="0" w:after="0"/>
        <w:ind w:left="2147" w:right="0" w:hanging="547"/>
        <w:jc w:val="left"/>
      </w:pPr>
      <w:bookmarkStart w:name="(4) Cross-reactivity" w:id="68"/>
      <w:bookmarkEnd w:id="68"/>
      <w:r>
        <w:rPr>
          <w:b w:val="0"/>
        </w:rPr>
      </w:r>
      <w:bookmarkStart w:name="_bookmark43" w:id="69"/>
      <w:bookmarkEnd w:id="69"/>
      <w:r>
        <w:rPr>
          <w:b w:val="0"/>
        </w:rPr>
      </w:r>
      <w:r>
        <w:rPr>
          <w:spacing w:val="-2"/>
        </w:rPr>
        <w:t>Cross-reactivity</w:t>
      </w:r>
    </w:p>
    <w:p>
      <w:pPr>
        <w:spacing w:after="0" w:line="240" w:lineRule="auto"/>
        <w:jc w:val="left"/>
        <w:sectPr>
          <w:pgSz w:w="12240" w:h="15840"/>
          <w:pgMar w:header="731" w:footer="785" w:top="1360" w:bottom="980" w:left="1280" w:right="1200"/>
        </w:sectPr>
      </w:pPr>
    </w:p>
    <w:p>
      <w:pPr>
        <w:pStyle w:val="BodyText"/>
        <w:spacing w:before="80"/>
        <w:ind w:left="160" w:right="303"/>
      </w:pPr>
      <w:r>
        <w:rPr/>
        <w:t>FDA recommends cross-reactivity wet testing on common respiratory flora and other viral pathogens at concentrations of 10</w:t>
      </w:r>
      <w:r>
        <w:rPr>
          <w:vertAlign w:val="superscript"/>
        </w:rPr>
        <w:t>6</w:t>
      </w:r>
      <w:r>
        <w:rPr>
          <w:vertAlign w:val="baseline"/>
        </w:rPr>
        <w:t> CFU/ml or higher for bacteria and 10</w:t>
      </w:r>
      <w:r>
        <w:rPr>
          <w:vertAlign w:val="superscript"/>
        </w:rPr>
        <w:t>5</w:t>
      </w:r>
      <w:r>
        <w:rPr>
          <w:vertAlign w:val="baseline"/>
        </w:rPr>
        <w:t> pfu/ml or higher for viruses, except for SARS-Coronavirus and MERS-Coronavirus, which can be accomplished by </w:t>
      </w:r>
      <w:r>
        <w:rPr>
          <w:i/>
          <w:vertAlign w:val="baseline"/>
        </w:rPr>
        <w:t>in silico </w:t>
      </w:r>
      <w:r>
        <w:rPr>
          <w:vertAlign w:val="baseline"/>
        </w:rPr>
        <w:t>analysis. As an alternative, FDA believes an </w:t>
      </w:r>
      <w:r>
        <w:rPr>
          <w:i/>
          <w:vertAlign w:val="baseline"/>
        </w:rPr>
        <w:t>in silico </w:t>
      </w:r>
      <w:r>
        <w:rPr>
          <w:vertAlign w:val="baseline"/>
        </w:rPr>
        <w:t>analysis of the assay primer and probes compared to common respiratory flora and other viral pathogens can be performed. For this</w:t>
      </w:r>
      <w:r>
        <w:rPr>
          <w:spacing w:val="-2"/>
          <w:vertAlign w:val="baseline"/>
        </w:rPr>
        <w:t> </w:t>
      </w:r>
      <w:r>
        <w:rPr>
          <w:vertAlign w:val="baseline"/>
        </w:rPr>
        <w:t>guidance,</w:t>
      </w:r>
      <w:r>
        <w:rPr>
          <w:spacing w:val="-2"/>
          <w:vertAlign w:val="baseline"/>
        </w:rPr>
        <w:t> </w:t>
      </w:r>
      <w:r>
        <w:rPr>
          <w:vertAlign w:val="baseline"/>
        </w:rPr>
        <w:t>FDA</w:t>
      </w:r>
      <w:r>
        <w:rPr>
          <w:spacing w:val="-3"/>
          <w:vertAlign w:val="baseline"/>
        </w:rPr>
        <w:t> </w:t>
      </w:r>
      <w:r>
        <w:rPr>
          <w:vertAlign w:val="baseline"/>
        </w:rPr>
        <w:t>defines</w:t>
      </w:r>
      <w:r>
        <w:rPr>
          <w:spacing w:val="-2"/>
          <w:vertAlign w:val="baseline"/>
        </w:rPr>
        <w:t> </w:t>
      </w:r>
      <w:r>
        <w:rPr>
          <w:i/>
          <w:vertAlign w:val="baseline"/>
        </w:rPr>
        <w:t>in</w:t>
      </w:r>
      <w:r>
        <w:rPr>
          <w:i/>
          <w:spacing w:val="-2"/>
          <w:vertAlign w:val="baseline"/>
        </w:rPr>
        <w:t> </w:t>
      </w:r>
      <w:r>
        <w:rPr>
          <w:i/>
          <w:vertAlign w:val="baseline"/>
        </w:rPr>
        <w:t>silico</w:t>
      </w:r>
      <w:r>
        <w:rPr>
          <w:i/>
          <w:spacing w:val="-3"/>
          <w:vertAlign w:val="baseline"/>
        </w:rPr>
        <w:t> </w:t>
      </w:r>
      <w:r>
        <w:rPr>
          <w:vertAlign w:val="baseline"/>
        </w:rPr>
        <w:t>cross-reactivity</w:t>
      </w:r>
      <w:r>
        <w:rPr>
          <w:spacing w:val="-2"/>
          <w:vertAlign w:val="baseline"/>
        </w:rPr>
        <w:t> </w:t>
      </w:r>
      <w:r>
        <w:rPr>
          <w:vertAlign w:val="baseline"/>
        </w:rPr>
        <w:t>as</w:t>
      </w:r>
      <w:r>
        <w:rPr>
          <w:spacing w:val="-2"/>
          <w:vertAlign w:val="baseline"/>
        </w:rPr>
        <w:t> </w:t>
      </w:r>
      <w:r>
        <w:rPr>
          <w:vertAlign w:val="baseline"/>
        </w:rPr>
        <w:t>greater</w:t>
      </w:r>
      <w:r>
        <w:rPr>
          <w:spacing w:val="-2"/>
          <w:vertAlign w:val="baseline"/>
        </w:rPr>
        <w:t> </w:t>
      </w:r>
      <w:r>
        <w:rPr>
          <w:vertAlign w:val="baseline"/>
        </w:rPr>
        <w:t>than</w:t>
      </w:r>
      <w:r>
        <w:rPr>
          <w:spacing w:val="-2"/>
          <w:vertAlign w:val="baseline"/>
        </w:rPr>
        <w:t> </w:t>
      </w:r>
      <w:r>
        <w:rPr>
          <w:vertAlign w:val="baseline"/>
        </w:rPr>
        <w:t>80%</w:t>
      </w:r>
      <w:r>
        <w:rPr>
          <w:spacing w:val="-3"/>
          <w:vertAlign w:val="baseline"/>
        </w:rPr>
        <w:t> </w:t>
      </w:r>
      <w:r>
        <w:rPr>
          <w:vertAlign w:val="baseline"/>
        </w:rPr>
        <w:t>homology</w:t>
      </w:r>
      <w:r>
        <w:rPr>
          <w:spacing w:val="-2"/>
          <w:vertAlign w:val="baseline"/>
        </w:rPr>
        <w:t> </w:t>
      </w:r>
      <w:r>
        <w:rPr>
          <w:vertAlign w:val="baseline"/>
        </w:rPr>
        <w:t>between</w:t>
      </w:r>
      <w:r>
        <w:rPr>
          <w:spacing w:val="-2"/>
          <w:vertAlign w:val="baseline"/>
        </w:rPr>
        <w:t> </w:t>
      </w:r>
      <w:r>
        <w:rPr>
          <w:vertAlign w:val="baseline"/>
        </w:rPr>
        <w:t>one of</w:t>
      </w:r>
      <w:r>
        <w:rPr>
          <w:spacing w:val="-4"/>
          <w:vertAlign w:val="baseline"/>
        </w:rPr>
        <w:t> </w:t>
      </w:r>
      <w:r>
        <w:rPr>
          <w:vertAlign w:val="baseline"/>
        </w:rPr>
        <w:t>the</w:t>
      </w:r>
      <w:r>
        <w:rPr>
          <w:spacing w:val="-3"/>
          <w:vertAlign w:val="baseline"/>
        </w:rPr>
        <w:t> </w:t>
      </w:r>
      <w:r>
        <w:rPr>
          <w:vertAlign w:val="baseline"/>
        </w:rPr>
        <w:t>primers/probes</w:t>
      </w:r>
      <w:r>
        <w:rPr>
          <w:spacing w:val="-3"/>
          <w:vertAlign w:val="baseline"/>
        </w:rPr>
        <w:t> </w:t>
      </w:r>
      <w:r>
        <w:rPr>
          <w:vertAlign w:val="baseline"/>
        </w:rPr>
        <w:t>and</w:t>
      </w:r>
      <w:r>
        <w:rPr>
          <w:spacing w:val="-3"/>
          <w:vertAlign w:val="baseline"/>
        </w:rPr>
        <w:t> </w:t>
      </w:r>
      <w:r>
        <w:rPr>
          <w:vertAlign w:val="baseline"/>
        </w:rPr>
        <w:t>any</w:t>
      </w:r>
      <w:r>
        <w:rPr>
          <w:spacing w:val="-3"/>
          <w:vertAlign w:val="baseline"/>
        </w:rPr>
        <w:t> </w:t>
      </w:r>
      <w:r>
        <w:rPr>
          <w:vertAlign w:val="baseline"/>
        </w:rPr>
        <w:t>sequence</w:t>
      </w:r>
      <w:r>
        <w:rPr>
          <w:spacing w:val="-3"/>
          <w:vertAlign w:val="baseline"/>
        </w:rPr>
        <w:t> </w:t>
      </w:r>
      <w:r>
        <w:rPr>
          <w:vertAlign w:val="baseline"/>
        </w:rPr>
        <w:t>present</w:t>
      </w:r>
      <w:r>
        <w:rPr>
          <w:spacing w:val="-3"/>
          <w:vertAlign w:val="baseline"/>
        </w:rPr>
        <w:t> </w:t>
      </w:r>
      <w:r>
        <w:rPr>
          <w:vertAlign w:val="baseline"/>
        </w:rPr>
        <w:t>in</w:t>
      </w:r>
      <w:r>
        <w:rPr>
          <w:spacing w:val="-3"/>
          <w:vertAlign w:val="baseline"/>
        </w:rPr>
        <w:t> </w:t>
      </w:r>
      <w:r>
        <w:rPr>
          <w:vertAlign w:val="baseline"/>
        </w:rPr>
        <w:t>the</w:t>
      </w:r>
      <w:r>
        <w:rPr>
          <w:spacing w:val="-3"/>
          <w:vertAlign w:val="baseline"/>
        </w:rPr>
        <w:t> </w:t>
      </w:r>
      <w:r>
        <w:rPr>
          <w:vertAlign w:val="baseline"/>
        </w:rPr>
        <w:t>targeted</w:t>
      </w:r>
      <w:r>
        <w:rPr>
          <w:spacing w:val="-3"/>
          <w:vertAlign w:val="baseline"/>
        </w:rPr>
        <w:t> </w:t>
      </w:r>
      <w:r>
        <w:rPr>
          <w:vertAlign w:val="baseline"/>
        </w:rPr>
        <w:t>microorganism.</w:t>
      </w:r>
      <w:r>
        <w:rPr>
          <w:spacing w:val="-3"/>
          <w:vertAlign w:val="baseline"/>
        </w:rPr>
        <w:t> </w:t>
      </w:r>
      <w:r>
        <w:rPr>
          <w:vertAlign w:val="baseline"/>
        </w:rPr>
        <w:t>In</w:t>
      </w:r>
      <w:r>
        <w:rPr>
          <w:spacing w:val="-3"/>
          <w:vertAlign w:val="baseline"/>
        </w:rPr>
        <w:t> </w:t>
      </w:r>
      <w:r>
        <w:rPr>
          <w:vertAlign w:val="baseline"/>
        </w:rPr>
        <w:t>addition,</w:t>
      </w:r>
      <w:r>
        <w:rPr>
          <w:spacing w:val="-3"/>
          <w:vertAlign w:val="baseline"/>
        </w:rPr>
        <w:t> </w:t>
      </w:r>
      <w:r>
        <w:rPr>
          <w:vertAlign w:val="baseline"/>
        </w:rPr>
        <w:t>FDA recommends that developers follow recognized laboratory procedures in the context of the sample types intended for testing for any additional cross-reactivity testing.</w:t>
      </w:r>
    </w:p>
    <w:p>
      <w:pPr>
        <w:pStyle w:val="BodyText"/>
      </w:pPr>
    </w:p>
    <w:p>
      <w:pPr>
        <w:pStyle w:val="BodyText"/>
        <w:ind w:left="160" w:right="556"/>
      </w:pPr>
      <w:r>
        <w:rPr/>
        <w:t>Additional information for the validation of molecular diagnostics is included in the manufacturer</w:t>
      </w:r>
      <w:r>
        <w:rPr>
          <w:spacing w:val="-4"/>
        </w:rPr>
        <w:t> </w:t>
      </w:r>
      <w:r>
        <w:rPr/>
        <w:t>and</w:t>
      </w:r>
      <w:r>
        <w:rPr>
          <w:spacing w:val="-4"/>
        </w:rPr>
        <w:t> </w:t>
      </w:r>
      <w:r>
        <w:rPr/>
        <w:t>developers</w:t>
      </w:r>
      <w:r>
        <w:rPr>
          <w:spacing w:val="-4"/>
        </w:rPr>
        <w:t> </w:t>
      </w:r>
      <w:r>
        <w:rPr/>
        <w:t>EUA</w:t>
      </w:r>
      <w:r>
        <w:rPr>
          <w:spacing w:val="-5"/>
        </w:rPr>
        <w:t> </w:t>
      </w:r>
      <w:r>
        <w:rPr/>
        <w:t>templates</w:t>
      </w:r>
      <w:r>
        <w:rPr>
          <w:spacing w:val="-4"/>
        </w:rPr>
        <w:t> </w:t>
      </w:r>
      <w:r>
        <w:rPr/>
        <w:t>available</w:t>
      </w:r>
      <w:r>
        <w:rPr>
          <w:spacing w:val="-4"/>
        </w:rPr>
        <w:t> </w:t>
      </w:r>
      <w:r>
        <w:rPr/>
        <w:t>for</w:t>
      </w:r>
      <w:r>
        <w:rPr>
          <w:spacing w:val="-4"/>
        </w:rPr>
        <w:t> </w:t>
      </w:r>
      <w:r>
        <w:rPr/>
        <w:t>download</w:t>
      </w:r>
      <w:r>
        <w:rPr>
          <w:spacing w:val="-4"/>
        </w:rPr>
        <w:t> </w:t>
      </w:r>
      <w:r>
        <w:rPr/>
        <w:t>on</w:t>
      </w:r>
      <w:r>
        <w:rPr>
          <w:spacing w:val="-4"/>
        </w:rPr>
        <w:t> </w:t>
      </w:r>
      <w:r>
        <w:rPr/>
        <w:t>our</w:t>
      </w:r>
      <w:r>
        <w:rPr>
          <w:spacing w:val="-4"/>
        </w:rPr>
        <w:t> </w:t>
      </w:r>
      <w:r>
        <w:rPr/>
        <w:t>website.</w:t>
      </w:r>
    </w:p>
    <w:p>
      <w:pPr>
        <w:pStyle w:val="BodyText"/>
        <w:spacing w:before="4"/>
        <w:rPr>
          <w:sz w:val="34"/>
        </w:rPr>
      </w:pPr>
    </w:p>
    <w:p>
      <w:pPr>
        <w:pStyle w:val="ListParagraph"/>
        <w:numPr>
          <w:ilvl w:val="1"/>
          <w:numId w:val="6"/>
        </w:numPr>
        <w:tabs>
          <w:tab w:pos="1600" w:val="left" w:leader="none"/>
        </w:tabs>
        <w:spacing w:line="240" w:lineRule="auto" w:before="1" w:after="0"/>
        <w:ind w:left="1600" w:right="0" w:hanging="720"/>
        <w:jc w:val="left"/>
        <w:rPr>
          <w:b/>
          <w:sz w:val="32"/>
        </w:rPr>
      </w:pPr>
      <w:bookmarkStart w:name="B. Antigen Detection Tests" w:id="70"/>
      <w:bookmarkEnd w:id="70"/>
      <w:r>
        <w:rPr/>
      </w:r>
      <w:bookmarkStart w:name="_bookmark44" w:id="71"/>
      <w:bookmarkEnd w:id="71"/>
      <w:r>
        <w:rPr/>
      </w:r>
      <w:r>
        <w:rPr>
          <w:b/>
          <w:sz w:val="32"/>
        </w:rPr>
        <w:t>Antigen</w:t>
      </w:r>
      <w:r>
        <w:rPr>
          <w:b/>
          <w:spacing w:val="-7"/>
          <w:sz w:val="32"/>
        </w:rPr>
        <w:t> </w:t>
      </w:r>
      <w:r>
        <w:rPr>
          <w:b/>
          <w:sz w:val="32"/>
        </w:rPr>
        <w:t>Detection</w:t>
      </w:r>
      <w:r>
        <w:rPr>
          <w:b/>
          <w:spacing w:val="-9"/>
          <w:sz w:val="32"/>
        </w:rPr>
        <w:t> </w:t>
      </w:r>
      <w:r>
        <w:rPr>
          <w:b/>
          <w:spacing w:val="-2"/>
          <w:sz w:val="32"/>
        </w:rPr>
        <w:t>Tests</w:t>
      </w:r>
    </w:p>
    <w:p>
      <w:pPr>
        <w:pStyle w:val="BodyText"/>
        <w:spacing w:before="119"/>
        <w:ind w:left="160" w:right="447"/>
      </w:pPr>
      <w:r>
        <w:rPr/>
        <w:t>FDA</w:t>
      </w:r>
      <w:r>
        <w:rPr>
          <w:spacing w:val="-4"/>
        </w:rPr>
        <w:t> </w:t>
      </w:r>
      <w:r>
        <w:rPr/>
        <w:t>defines</w:t>
      </w:r>
      <w:r>
        <w:rPr>
          <w:spacing w:val="-3"/>
        </w:rPr>
        <w:t> </w:t>
      </w:r>
      <w:r>
        <w:rPr/>
        <w:t>SARS-CoV-2</w:t>
      </w:r>
      <w:r>
        <w:rPr>
          <w:spacing w:val="-3"/>
        </w:rPr>
        <w:t> </w:t>
      </w:r>
      <w:r>
        <w:rPr/>
        <w:t>antigen</w:t>
      </w:r>
      <w:r>
        <w:rPr>
          <w:spacing w:val="-5"/>
        </w:rPr>
        <w:t> </w:t>
      </w:r>
      <w:r>
        <w:rPr/>
        <w:t>tests</w:t>
      </w:r>
      <w:r>
        <w:rPr>
          <w:spacing w:val="-4"/>
        </w:rPr>
        <w:t> </w:t>
      </w:r>
      <w:r>
        <w:rPr/>
        <w:t>as</w:t>
      </w:r>
      <w:r>
        <w:rPr>
          <w:spacing w:val="-3"/>
        </w:rPr>
        <w:t> </w:t>
      </w:r>
      <w:r>
        <w:rPr/>
        <w:t>those</w:t>
      </w:r>
      <w:r>
        <w:rPr>
          <w:spacing w:val="-3"/>
        </w:rPr>
        <w:t> </w:t>
      </w:r>
      <w:r>
        <w:rPr/>
        <w:t>that</w:t>
      </w:r>
      <w:r>
        <w:rPr>
          <w:spacing w:val="-3"/>
        </w:rPr>
        <w:t> </w:t>
      </w:r>
      <w:r>
        <w:rPr/>
        <w:t>detect</w:t>
      </w:r>
      <w:r>
        <w:rPr>
          <w:spacing w:val="-4"/>
        </w:rPr>
        <w:t> </w:t>
      </w:r>
      <w:r>
        <w:rPr/>
        <w:t>proteins</w:t>
      </w:r>
      <w:r>
        <w:rPr>
          <w:spacing w:val="-3"/>
        </w:rPr>
        <w:t> </w:t>
      </w:r>
      <w:r>
        <w:rPr/>
        <w:t>that</w:t>
      </w:r>
      <w:r>
        <w:rPr>
          <w:spacing w:val="-4"/>
        </w:rPr>
        <w:t> </w:t>
      </w:r>
      <w:r>
        <w:rPr/>
        <w:t>are</w:t>
      </w:r>
      <w:r>
        <w:rPr>
          <w:spacing w:val="-3"/>
        </w:rPr>
        <w:t> </w:t>
      </w:r>
      <w:r>
        <w:rPr/>
        <w:t>part</w:t>
      </w:r>
      <w:r>
        <w:rPr>
          <w:spacing w:val="-3"/>
        </w:rPr>
        <w:t> </w:t>
      </w:r>
      <w:r>
        <w:rPr/>
        <w:t>of</w:t>
      </w:r>
      <w:r>
        <w:rPr>
          <w:spacing w:val="-4"/>
        </w:rPr>
        <w:t> </w:t>
      </w:r>
      <w:r>
        <w:rPr/>
        <w:t>the</w:t>
      </w:r>
      <w:r>
        <w:rPr>
          <w:spacing w:val="-3"/>
        </w:rPr>
        <w:t> </w:t>
      </w:r>
      <w:r>
        <w:rPr/>
        <w:t>SARS- CoV-2 virus directly from clinical specimens. FDA recommends that the following validation studies be conducted for a SARS-CoV-2 antigen test:</w:t>
      </w:r>
    </w:p>
    <w:p>
      <w:pPr>
        <w:pStyle w:val="BodyText"/>
        <w:spacing w:before="4"/>
        <w:rPr>
          <w:sz w:val="25"/>
        </w:rPr>
      </w:pPr>
    </w:p>
    <w:p>
      <w:pPr>
        <w:pStyle w:val="ListParagraph"/>
        <w:numPr>
          <w:ilvl w:val="0"/>
          <w:numId w:val="10"/>
        </w:numPr>
        <w:tabs>
          <w:tab w:pos="1959" w:val="left" w:leader="none"/>
        </w:tabs>
        <w:spacing w:line="240" w:lineRule="auto" w:before="0" w:after="0"/>
        <w:ind w:left="1959" w:right="0" w:hanging="359"/>
        <w:jc w:val="left"/>
        <w:rPr>
          <w:sz w:val="24"/>
        </w:rPr>
      </w:pPr>
      <w:r>
        <w:rPr>
          <w:sz w:val="24"/>
        </w:rPr>
        <w:t>Limit</w:t>
      </w:r>
      <w:r>
        <w:rPr>
          <w:spacing w:val="-3"/>
          <w:sz w:val="24"/>
        </w:rPr>
        <w:t> </w:t>
      </w:r>
      <w:r>
        <w:rPr>
          <w:sz w:val="24"/>
        </w:rPr>
        <w:t>of</w:t>
      </w:r>
      <w:r>
        <w:rPr>
          <w:spacing w:val="-4"/>
          <w:sz w:val="24"/>
        </w:rPr>
        <w:t> </w:t>
      </w:r>
      <w:r>
        <w:rPr>
          <w:sz w:val="24"/>
        </w:rPr>
        <w:t>Detection/Analytical</w:t>
      </w:r>
      <w:r>
        <w:rPr>
          <w:spacing w:val="-2"/>
          <w:sz w:val="24"/>
        </w:rPr>
        <w:t> Sensitivity</w:t>
      </w:r>
    </w:p>
    <w:p>
      <w:pPr>
        <w:pStyle w:val="ListParagraph"/>
        <w:numPr>
          <w:ilvl w:val="0"/>
          <w:numId w:val="10"/>
        </w:numPr>
        <w:tabs>
          <w:tab w:pos="1959" w:val="left" w:leader="none"/>
        </w:tabs>
        <w:spacing w:line="240" w:lineRule="auto" w:before="17" w:after="0"/>
        <w:ind w:left="1959" w:right="0" w:hanging="359"/>
        <w:jc w:val="left"/>
        <w:rPr>
          <w:sz w:val="24"/>
        </w:rPr>
      </w:pPr>
      <w:r>
        <w:rPr>
          <w:sz w:val="24"/>
        </w:rPr>
        <w:t>Cross-reactivity/Analytical</w:t>
      </w:r>
      <w:r>
        <w:rPr>
          <w:spacing w:val="-7"/>
          <w:sz w:val="24"/>
        </w:rPr>
        <w:t> </w:t>
      </w:r>
      <w:r>
        <w:rPr>
          <w:spacing w:val="-2"/>
          <w:sz w:val="24"/>
        </w:rPr>
        <w:t>Specificity</w:t>
      </w:r>
    </w:p>
    <w:p>
      <w:pPr>
        <w:pStyle w:val="ListParagraph"/>
        <w:numPr>
          <w:ilvl w:val="0"/>
          <w:numId w:val="10"/>
        </w:numPr>
        <w:tabs>
          <w:tab w:pos="1959" w:val="left" w:leader="none"/>
        </w:tabs>
        <w:spacing w:line="240" w:lineRule="auto" w:before="16" w:after="0"/>
        <w:ind w:left="1959" w:right="0" w:hanging="359"/>
        <w:jc w:val="left"/>
        <w:rPr>
          <w:sz w:val="24"/>
        </w:rPr>
      </w:pPr>
      <w:r>
        <w:rPr>
          <w:sz w:val="24"/>
        </w:rPr>
        <w:t>Microbial</w:t>
      </w:r>
      <w:r>
        <w:rPr>
          <w:spacing w:val="-3"/>
          <w:sz w:val="24"/>
        </w:rPr>
        <w:t> </w:t>
      </w:r>
      <w:r>
        <w:rPr>
          <w:spacing w:val="-2"/>
          <w:sz w:val="24"/>
        </w:rPr>
        <w:t>Interference</w:t>
      </w:r>
    </w:p>
    <w:p>
      <w:pPr>
        <w:pStyle w:val="ListParagraph"/>
        <w:numPr>
          <w:ilvl w:val="0"/>
          <w:numId w:val="10"/>
        </w:numPr>
        <w:tabs>
          <w:tab w:pos="1959" w:val="left" w:leader="none"/>
        </w:tabs>
        <w:spacing w:line="240" w:lineRule="auto" w:before="16" w:after="0"/>
        <w:ind w:left="1959" w:right="0" w:hanging="359"/>
        <w:jc w:val="left"/>
        <w:rPr>
          <w:sz w:val="24"/>
        </w:rPr>
      </w:pPr>
      <w:r>
        <w:rPr>
          <w:sz w:val="24"/>
        </w:rPr>
        <w:t>Clinical</w:t>
      </w:r>
      <w:r>
        <w:rPr>
          <w:spacing w:val="-3"/>
          <w:sz w:val="24"/>
        </w:rPr>
        <w:t> </w:t>
      </w:r>
      <w:r>
        <w:rPr>
          <w:sz w:val="24"/>
        </w:rPr>
        <w:t>Agreement</w:t>
      </w:r>
      <w:r>
        <w:rPr>
          <w:spacing w:val="-3"/>
          <w:sz w:val="24"/>
        </w:rPr>
        <w:t> </w:t>
      </w:r>
      <w:r>
        <w:rPr>
          <w:spacing w:val="-2"/>
          <w:sz w:val="24"/>
        </w:rPr>
        <w:t>Study</w:t>
      </w:r>
    </w:p>
    <w:p>
      <w:pPr>
        <w:pStyle w:val="BodyText"/>
        <w:spacing w:before="1"/>
      </w:pPr>
    </w:p>
    <w:p>
      <w:pPr>
        <w:pStyle w:val="BodyText"/>
        <w:ind w:left="160" w:right="614"/>
      </w:pPr>
      <w:r>
        <w:rPr/>
        <w:t>The clinical agreement study is intended to establish the performance characteristics (e.g., sensitivity/PPA, specificity/NPA) of the test. FDA believes that clinical agreement should be established</w:t>
      </w:r>
      <w:r>
        <w:rPr>
          <w:spacing w:val="-5"/>
        </w:rPr>
        <w:t> </w:t>
      </w:r>
      <w:r>
        <w:rPr/>
        <w:t>on</w:t>
      </w:r>
      <w:r>
        <w:rPr>
          <w:spacing w:val="-4"/>
        </w:rPr>
        <w:t> </w:t>
      </w:r>
      <w:r>
        <w:rPr/>
        <w:t>human</w:t>
      </w:r>
      <w:r>
        <w:rPr>
          <w:spacing w:val="-4"/>
        </w:rPr>
        <w:t> </w:t>
      </w:r>
      <w:r>
        <w:rPr/>
        <w:t>specimens,</w:t>
      </w:r>
      <w:r>
        <w:rPr>
          <w:spacing w:val="-4"/>
        </w:rPr>
        <w:t> </w:t>
      </w:r>
      <w:r>
        <w:rPr/>
        <w:t>preferably</w:t>
      </w:r>
      <w:r>
        <w:rPr>
          <w:spacing w:val="-4"/>
        </w:rPr>
        <w:t> </w:t>
      </w:r>
      <w:r>
        <w:rPr/>
        <w:t>leftover</w:t>
      </w:r>
      <w:r>
        <w:rPr>
          <w:spacing w:val="-4"/>
        </w:rPr>
        <w:t> </w:t>
      </w:r>
      <w:r>
        <w:rPr/>
        <w:t>specimens</w:t>
      </w:r>
      <w:r>
        <w:rPr>
          <w:spacing w:val="-4"/>
        </w:rPr>
        <w:t> </w:t>
      </w:r>
      <w:r>
        <w:rPr/>
        <w:t>from</w:t>
      </w:r>
      <w:r>
        <w:rPr>
          <w:spacing w:val="-5"/>
        </w:rPr>
        <w:t> </w:t>
      </w:r>
      <w:r>
        <w:rPr/>
        <w:t>patients</w:t>
      </w:r>
      <w:r>
        <w:rPr>
          <w:spacing w:val="-4"/>
        </w:rPr>
        <w:t> </w:t>
      </w:r>
      <w:r>
        <w:rPr/>
        <w:t>with</w:t>
      </w:r>
      <w:r>
        <w:rPr>
          <w:spacing w:val="-4"/>
        </w:rPr>
        <w:t> </w:t>
      </w:r>
      <w:r>
        <w:rPr/>
        <w:t>or</w:t>
      </w:r>
      <w:r>
        <w:rPr>
          <w:spacing w:val="-5"/>
        </w:rPr>
        <w:t> </w:t>
      </w:r>
      <w:r>
        <w:rPr/>
        <w:t>without SARS-CoV-2 infection.</w:t>
      </w:r>
    </w:p>
    <w:p>
      <w:pPr>
        <w:pStyle w:val="BodyText"/>
        <w:spacing w:before="5"/>
        <w:rPr>
          <w:sz w:val="34"/>
        </w:rPr>
      </w:pPr>
    </w:p>
    <w:p>
      <w:pPr>
        <w:pStyle w:val="Heading2"/>
        <w:numPr>
          <w:ilvl w:val="1"/>
          <w:numId w:val="6"/>
        </w:numPr>
        <w:tabs>
          <w:tab w:pos="1599" w:val="left" w:leader="none"/>
        </w:tabs>
        <w:spacing w:line="240" w:lineRule="auto" w:before="0" w:after="0"/>
        <w:ind w:left="1599" w:right="0" w:hanging="719"/>
        <w:jc w:val="left"/>
      </w:pPr>
      <w:bookmarkStart w:name="C. Serological Tests" w:id="72"/>
      <w:bookmarkEnd w:id="72"/>
      <w:r>
        <w:rPr>
          <w:b w:val="0"/>
        </w:rPr>
      </w:r>
      <w:bookmarkStart w:name="_bookmark45" w:id="73"/>
      <w:bookmarkEnd w:id="73"/>
      <w:r>
        <w:rPr>
          <w:b w:val="0"/>
        </w:rPr>
      </w:r>
      <w:r>
        <w:rPr/>
        <w:t>Serological</w:t>
      </w:r>
      <w:r>
        <w:rPr>
          <w:spacing w:val="-18"/>
        </w:rPr>
        <w:t> </w:t>
      </w:r>
      <w:r>
        <w:rPr>
          <w:spacing w:val="-2"/>
        </w:rPr>
        <w:t>Tests</w:t>
      </w:r>
    </w:p>
    <w:p>
      <w:pPr>
        <w:pStyle w:val="BodyText"/>
        <w:spacing w:before="120"/>
        <w:ind w:left="160" w:right="511"/>
        <w:jc w:val="both"/>
      </w:pPr>
      <w:r>
        <w:rPr/>
        <w:t>FDA</w:t>
      </w:r>
      <w:r>
        <w:rPr>
          <w:spacing w:val="-4"/>
        </w:rPr>
        <w:t> </w:t>
      </w:r>
      <w:r>
        <w:rPr/>
        <w:t>defines</w:t>
      </w:r>
      <w:r>
        <w:rPr>
          <w:spacing w:val="-3"/>
        </w:rPr>
        <w:t> </w:t>
      </w:r>
      <w:r>
        <w:rPr/>
        <w:t>SARS-CoV-2</w:t>
      </w:r>
      <w:r>
        <w:rPr>
          <w:spacing w:val="-3"/>
        </w:rPr>
        <w:t> </w:t>
      </w:r>
      <w:r>
        <w:rPr/>
        <w:t>serological</w:t>
      </w:r>
      <w:r>
        <w:rPr>
          <w:spacing w:val="-3"/>
        </w:rPr>
        <w:t> </w:t>
      </w:r>
      <w:r>
        <w:rPr/>
        <w:t>tests</w:t>
      </w:r>
      <w:r>
        <w:rPr>
          <w:spacing w:val="-4"/>
        </w:rPr>
        <w:t> </w:t>
      </w:r>
      <w:r>
        <w:rPr/>
        <w:t>as</w:t>
      </w:r>
      <w:r>
        <w:rPr>
          <w:spacing w:val="-3"/>
        </w:rPr>
        <w:t> </w:t>
      </w:r>
      <w:r>
        <w:rPr/>
        <w:t>tests</w:t>
      </w:r>
      <w:r>
        <w:rPr>
          <w:spacing w:val="-3"/>
        </w:rPr>
        <w:t> </w:t>
      </w:r>
      <w:r>
        <w:rPr/>
        <w:t>that</w:t>
      </w:r>
      <w:r>
        <w:rPr>
          <w:spacing w:val="-4"/>
        </w:rPr>
        <w:t> </w:t>
      </w:r>
      <w:r>
        <w:rPr/>
        <w:t>identify</w:t>
      </w:r>
      <w:r>
        <w:rPr>
          <w:spacing w:val="-3"/>
        </w:rPr>
        <w:t> </w:t>
      </w:r>
      <w:r>
        <w:rPr/>
        <w:t>antibodies</w:t>
      </w:r>
      <w:r>
        <w:rPr>
          <w:spacing w:val="-3"/>
        </w:rPr>
        <w:t> </w:t>
      </w:r>
      <w:r>
        <w:rPr/>
        <w:t>(e.g.,</w:t>
      </w:r>
      <w:r>
        <w:rPr>
          <w:spacing w:val="-5"/>
        </w:rPr>
        <w:t> </w:t>
      </w:r>
      <w:r>
        <w:rPr/>
        <w:t>IgG,</w:t>
      </w:r>
      <w:r>
        <w:rPr>
          <w:spacing w:val="-3"/>
        </w:rPr>
        <w:t> </w:t>
      </w:r>
      <w:r>
        <w:rPr/>
        <w:t>IgM)</w:t>
      </w:r>
      <w:r>
        <w:rPr>
          <w:spacing w:val="-3"/>
        </w:rPr>
        <w:t> </w:t>
      </w:r>
      <w:r>
        <w:rPr/>
        <w:t>to SARS-CoV-2</w:t>
      </w:r>
      <w:r>
        <w:rPr>
          <w:spacing w:val="-4"/>
        </w:rPr>
        <w:t> </w:t>
      </w:r>
      <w:r>
        <w:rPr/>
        <w:t>from</w:t>
      </w:r>
      <w:r>
        <w:rPr>
          <w:spacing w:val="-6"/>
        </w:rPr>
        <w:t> </w:t>
      </w:r>
      <w:r>
        <w:rPr/>
        <w:t>clinical</w:t>
      </w:r>
      <w:r>
        <w:rPr>
          <w:spacing w:val="-4"/>
        </w:rPr>
        <w:t> </w:t>
      </w:r>
      <w:r>
        <w:rPr/>
        <w:t>specimens.</w:t>
      </w:r>
      <w:r>
        <w:rPr>
          <w:spacing w:val="-4"/>
        </w:rPr>
        <w:t> </w:t>
      </w:r>
      <w:r>
        <w:rPr/>
        <w:t>FDA</w:t>
      </w:r>
      <w:r>
        <w:rPr>
          <w:spacing w:val="-5"/>
        </w:rPr>
        <w:t> </w:t>
      </w:r>
      <w:r>
        <w:rPr/>
        <w:t>recommends</w:t>
      </w:r>
      <w:r>
        <w:rPr>
          <w:spacing w:val="-4"/>
        </w:rPr>
        <w:t> </w:t>
      </w:r>
      <w:r>
        <w:rPr/>
        <w:t>that</w:t>
      </w:r>
      <w:r>
        <w:rPr>
          <w:spacing w:val="-4"/>
        </w:rPr>
        <w:t> </w:t>
      </w:r>
      <w:r>
        <w:rPr/>
        <w:t>the</w:t>
      </w:r>
      <w:r>
        <w:rPr>
          <w:spacing w:val="-4"/>
        </w:rPr>
        <w:t> </w:t>
      </w:r>
      <w:r>
        <w:rPr/>
        <w:t>following</w:t>
      </w:r>
      <w:r>
        <w:rPr>
          <w:spacing w:val="-4"/>
        </w:rPr>
        <w:t> </w:t>
      </w:r>
      <w:r>
        <w:rPr/>
        <w:t>validation</w:t>
      </w:r>
      <w:r>
        <w:rPr>
          <w:spacing w:val="-4"/>
        </w:rPr>
        <w:t> </w:t>
      </w:r>
      <w:r>
        <w:rPr/>
        <w:t>studies be conducted for a SARS-CoV-2 serological assay:</w:t>
      </w:r>
    </w:p>
    <w:p>
      <w:pPr>
        <w:pStyle w:val="BodyText"/>
        <w:spacing w:before="4"/>
        <w:rPr>
          <w:sz w:val="25"/>
        </w:rPr>
      </w:pPr>
    </w:p>
    <w:p>
      <w:pPr>
        <w:pStyle w:val="ListParagraph"/>
        <w:numPr>
          <w:ilvl w:val="0"/>
          <w:numId w:val="11"/>
        </w:numPr>
        <w:tabs>
          <w:tab w:pos="1959" w:val="left" w:leader="none"/>
        </w:tabs>
        <w:spacing w:line="240" w:lineRule="auto" w:before="0" w:after="0"/>
        <w:ind w:left="1959" w:right="0" w:hanging="359"/>
        <w:jc w:val="left"/>
        <w:rPr>
          <w:sz w:val="24"/>
        </w:rPr>
      </w:pPr>
      <w:r>
        <w:rPr>
          <w:sz w:val="24"/>
        </w:rPr>
        <w:t>Cross-reactivity/Analytical</w:t>
      </w:r>
      <w:r>
        <w:rPr>
          <w:spacing w:val="-7"/>
          <w:sz w:val="24"/>
        </w:rPr>
        <w:t> </w:t>
      </w:r>
      <w:r>
        <w:rPr>
          <w:spacing w:val="-2"/>
          <w:sz w:val="24"/>
        </w:rPr>
        <w:t>Specificity</w:t>
      </w:r>
    </w:p>
    <w:p>
      <w:pPr>
        <w:pStyle w:val="ListParagraph"/>
        <w:numPr>
          <w:ilvl w:val="0"/>
          <w:numId w:val="11"/>
        </w:numPr>
        <w:tabs>
          <w:tab w:pos="1959" w:val="left" w:leader="none"/>
        </w:tabs>
        <w:spacing w:line="240" w:lineRule="auto" w:before="16" w:after="0"/>
        <w:ind w:left="1959" w:right="0" w:hanging="359"/>
        <w:jc w:val="left"/>
        <w:rPr>
          <w:sz w:val="24"/>
        </w:rPr>
      </w:pPr>
      <w:r>
        <w:rPr>
          <w:sz w:val="24"/>
        </w:rPr>
        <w:t>Class</w:t>
      </w:r>
      <w:r>
        <w:rPr>
          <w:spacing w:val="-1"/>
          <w:sz w:val="24"/>
        </w:rPr>
        <w:t> </w:t>
      </w:r>
      <w:r>
        <w:rPr>
          <w:spacing w:val="-2"/>
          <w:sz w:val="24"/>
        </w:rPr>
        <w:t>Specificity</w:t>
      </w:r>
    </w:p>
    <w:p>
      <w:pPr>
        <w:pStyle w:val="ListParagraph"/>
        <w:numPr>
          <w:ilvl w:val="0"/>
          <w:numId w:val="11"/>
        </w:numPr>
        <w:tabs>
          <w:tab w:pos="1959" w:val="left" w:leader="none"/>
        </w:tabs>
        <w:spacing w:line="240" w:lineRule="auto" w:before="17" w:after="0"/>
        <w:ind w:left="1959" w:right="0" w:hanging="359"/>
        <w:jc w:val="left"/>
        <w:rPr>
          <w:sz w:val="24"/>
        </w:rPr>
      </w:pPr>
      <w:r>
        <w:rPr>
          <w:sz w:val="24"/>
        </w:rPr>
        <w:t>Clinical</w:t>
      </w:r>
      <w:r>
        <w:rPr>
          <w:spacing w:val="-3"/>
          <w:sz w:val="24"/>
        </w:rPr>
        <w:t> </w:t>
      </w:r>
      <w:r>
        <w:rPr>
          <w:sz w:val="24"/>
        </w:rPr>
        <w:t>Agreement</w:t>
      </w:r>
      <w:r>
        <w:rPr>
          <w:spacing w:val="-3"/>
          <w:sz w:val="24"/>
        </w:rPr>
        <w:t> </w:t>
      </w:r>
      <w:r>
        <w:rPr>
          <w:spacing w:val="-2"/>
          <w:sz w:val="24"/>
        </w:rPr>
        <w:t>Study</w:t>
      </w:r>
    </w:p>
    <w:p>
      <w:pPr>
        <w:pStyle w:val="BodyText"/>
        <w:spacing w:before="11"/>
        <w:rPr>
          <w:sz w:val="23"/>
        </w:rPr>
      </w:pPr>
    </w:p>
    <w:p>
      <w:pPr>
        <w:pStyle w:val="BodyText"/>
        <w:ind w:left="160" w:right="250"/>
      </w:pPr>
      <w:r>
        <w:rPr/>
        <w:t>The clinical agreement study is intended to establish the performance characteristics (e.g., sensitivity/PPA,</w:t>
      </w:r>
      <w:r>
        <w:rPr>
          <w:spacing w:val="-4"/>
        </w:rPr>
        <w:t> </w:t>
      </w:r>
      <w:r>
        <w:rPr/>
        <w:t>specificity/NPA)</w:t>
      </w:r>
      <w:r>
        <w:rPr>
          <w:spacing w:val="-4"/>
        </w:rPr>
        <w:t> </w:t>
      </w:r>
      <w:r>
        <w:rPr/>
        <w:t>of</w:t>
      </w:r>
      <w:r>
        <w:rPr>
          <w:spacing w:val="-4"/>
        </w:rPr>
        <w:t> </w:t>
      </w:r>
      <w:r>
        <w:rPr/>
        <w:t>the</w:t>
      </w:r>
      <w:r>
        <w:rPr>
          <w:spacing w:val="-4"/>
        </w:rPr>
        <w:t> </w:t>
      </w:r>
      <w:r>
        <w:rPr/>
        <w:t>test.</w:t>
      </w:r>
      <w:r>
        <w:rPr>
          <w:spacing w:val="-4"/>
        </w:rPr>
        <w:t> </w:t>
      </w:r>
      <w:r>
        <w:rPr/>
        <w:t>FDA</w:t>
      </w:r>
      <w:r>
        <w:rPr>
          <w:spacing w:val="-4"/>
        </w:rPr>
        <w:t> </w:t>
      </w:r>
      <w:r>
        <w:rPr/>
        <w:t>recommends</w:t>
      </w:r>
      <w:r>
        <w:rPr>
          <w:spacing w:val="-4"/>
        </w:rPr>
        <w:t> </w:t>
      </w:r>
      <w:r>
        <w:rPr/>
        <w:t>that</w:t>
      </w:r>
      <w:r>
        <w:rPr>
          <w:spacing w:val="-4"/>
        </w:rPr>
        <w:t> </w:t>
      </w:r>
      <w:r>
        <w:rPr/>
        <w:t>clinical</w:t>
      </w:r>
      <w:r>
        <w:rPr>
          <w:spacing w:val="-4"/>
        </w:rPr>
        <w:t> </w:t>
      </w:r>
      <w:r>
        <w:rPr/>
        <w:t>accuracy</w:t>
      </w:r>
      <w:r>
        <w:rPr>
          <w:spacing w:val="-4"/>
        </w:rPr>
        <w:t> </w:t>
      </w:r>
      <w:r>
        <w:rPr/>
        <w:t>should</w:t>
      </w:r>
      <w:r>
        <w:rPr>
          <w:spacing w:val="-4"/>
        </w:rPr>
        <w:t> </w:t>
      </w:r>
      <w:r>
        <w:rPr/>
        <w:t>be established on human specimens from patients with microbiologically confirmed COVID-19 </w:t>
      </w:r>
      <w:r>
        <w:rPr>
          <w:spacing w:val="-2"/>
        </w:rPr>
        <w:t>infection.</w:t>
      </w:r>
    </w:p>
    <w:p>
      <w:pPr>
        <w:pStyle w:val="BodyText"/>
      </w:pPr>
    </w:p>
    <w:p>
      <w:pPr>
        <w:pStyle w:val="BodyText"/>
        <w:ind w:left="160" w:right="250"/>
      </w:pPr>
      <w:r>
        <w:rPr/>
        <w:t>EUA</w:t>
      </w:r>
      <w:r>
        <w:rPr>
          <w:spacing w:val="-4"/>
        </w:rPr>
        <w:t> </w:t>
      </w:r>
      <w:r>
        <w:rPr/>
        <w:t>templates</w:t>
      </w:r>
      <w:r>
        <w:rPr>
          <w:spacing w:val="-3"/>
        </w:rPr>
        <w:t> </w:t>
      </w:r>
      <w:r>
        <w:rPr/>
        <w:t>for</w:t>
      </w:r>
      <w:r>
        <w:rPr>
          <w:spacing w:val="-3"/>
        </w:rPr>
        <w:t> </w:t>
      </w:r>
      <w:r>
        <w:rPr/>
        <w:t>serology</w:t>
      </w:r>
      <w:r>
        <w:rPr>
          <w:spacing w:val="-3"/>
        </w:rPr>
        <w:t> </w:t>
      </w:r>
      <w:r>
        <w:rPr/>
        <w:t>tests</w:t>
      </w:r>
      <w:r>
        <w:rPr>
          <w:spacing w:val="-3"/>
        </w:rPr>
        <w:t> </w:t>
      </w:r>
      <w:r>
        <w:rPr/>
        <w:t>for</w:t>
      </w:r>
      <w:r>
        <w:rPr>
          <w:spacing w:val="-3"/>
        </w:rPr>
        <w:t> </w:t>
      </w:r>
      <w:r>
        <w:rPr/>
        <w:t>manufacturers</w:t>
      </w:r>
      <w:r>
        <w:rPr>
          <w:spacing w:val="-3"/>
        </w:rPr>
        <w:t> </w:t>
      </w:r>
      <w:r>
        <w:rPr/>
        <w:t>and</w:t>
      </w:r>
      <w:r>
        <w:rPr>
          <w:spacing w:val="-3"/>
        </w:rPr>
        <w:t> </w:t>
      </w:r>
      <w:r>
        <w:rPr/>
        <w:t>laboratories</w:t>
      </w:r>
      <w:r>
        <w:rPr>
          <w:spacing w:val="-4"/>
        </w:rPr>
        <w:t> </w:t>
      </w:r>
      <w:r>
        <w:rPr/>
        <w:t>are</w:t>
      </w:r>
      <w:r>
        <w:rPr>
          <w:spacing w:val="-4"/>
        </w:rPr>
        <w:t> </w:t>
      </w:r>
      <w:r>
        <w:rPr/>
        <w:t>provided</w:t>
      </w:r>
      <w:r>
        <w:rPr>
          <w:spacing w:val="-5"/>
        </w:rPr>
        <w:t> </w:t>
      </w:r>
      <w:r>
        <w:rPr/>
        <w:t>in</w:t>
      </w:r>
      <w:r>
        <w:rPr>
          <w:spacing w:val="-5"/>
        </w:rPr>
        <w:t> </w:t>
      </w:r>
      <w:r>
        <w:rPr/>
        <w:t>Appendices A and B, respectively, to facilitate pre-EUA/EUA submissions. These templates include further</w:t>
      </w:r>
    </w:p>
    <w:p>
      <w:pPr>
        <w:spacing w:after="0"/>
        <w:sectPr>
          <w:pgSz w:w="12240" w:h="15840"/>
          <w:pgMar w:header="731" w:footer="785" w:top="1360" w:bottom="980" w:left="1280" w:right="1200"/>
        </w:sectPr>
      </w:pPr>
    </w:p>
    <w:p>
      <w:pPr>
        <w:pStyle w:val="BodyText"/>
        <w:spacing w:before="80"/>
        <w:ind w:left="159"/>
      </w:pPr>
      <w:r>
        <w:rPr/>
        <w:t>recommendations</w:t>
      </w:r>
      <w:r>
        <w:rPr>
          <w:spacing w:val="-5"/>
        </w:rPr>
        <w:t> </w:t>
      </w:r>
      <w:r>
        <w:rPr/>
        <w:t>concerning</w:t>
      </w:r>
      <w:r>
        <w:rPr>
          <w:spacing w:val="-5"/>
        </w:rPr>
        <w:t> </w:t>
      </w:r>
      <w:r>
        <w:rPr/>
        <w:t>the</w:t>
      </w:r>
      <w:r>
        <w:rPr>
          <w:spacing w:val="-5"/>
        </w:rPr>
        <w:t> </w:t>
      </w:r>
      <w:r>
        <w:rPr/>
        <w:t>above</w:t>
      </w:r>
      <w:r>
        <w:rPr>
          <w:spacing w:val="-5"/>
        </w:rPr>
        <w:t> </w:t>
      </w:r>
      <w:r>
        <w:rPr/>
        <w:t>validation</w:t>
      </w:r>
      <w:r>
        <w:rPr>
          <w:spacing w:val="-5"/>
        </w:rPr>
        <w:t> </w:t>
      </w:r>
      <w:r>
        <w:rPr/>
        <w:t>studies</w:t>
      </w:r>
      <w:r>
        <w:rPr>
          <w:spacing w:val="-5"/>
        </w:rPr>
        <w:t> </w:t>
      </w:r>
      <w:r>
        <w:rPr/>
        <w:t>and</w:t>
      </w:r>
      <w:r>
        <w:rPr>
          <w:spacing w:val="-4"/>
        </w:rPr>
        <w:t> </w:t>
      </w:r>
      <w:r>
        <w:rPr/>
        <w:t>make</w:t>
      </w:r>
      <w:r>
        <w:rPr>
          <w:spacing w:val="-5"/>
        </w:rPr>
        <w:t> </w:t>
      </w:r>
      <w:r>
        <w:rPr/>
        <w:t>additional</w:t>
      </w:r>
      <w:r>
        <w:rPr>
          <w:spacing w:val="-5"/>
        </w:rPr>
        <w:t> </w:t>
      </w:r>
      <w:r>
        <w:rPr/>
        <w:t>recommendations about</w:t>
      </w:r>
      <w:r>
        <w:rPr>
          <w:spacing w:val="-2"/>
        </w:rPr>
        <w:t> </w:t>
      </w:r>
      <w:r>
        <w:rPr/>
        <w:t>other</w:t>
      </w:r>
      <w:r>
        <w:rPr>
          <w:spacing w:val="-2"/>
        </w:rPr>
        <w:t> </w:t>
      </w:r>
      <w:r>
        <w:rPr/>
        <w:t>information</w:t>
      </w:r>
      <w:r>
        <w:rPr>
          <w:spacing w:val="-2"/>
        </w:rPr>
        <w:t> </w:t>
      </w:r>
      <w:r>
        <w:rPr/>
        <w:t>that</w:t>
      </w:r>
      <w:r>
        <w:rPr>
          <w:spacing w:val="-2"/>
        </w:rPr>
        <w:t> </w:t>
      </w:r>
      <w:r>
        <w:rPr/>
        <w:t>should</w:t>
      </w:r>
      <w:r>
        <w:rPr>
          <w:spacing w:val="-2"/>
        </w:rPr>
        <w:t> </w:t>
      </w:r>
      <w:r>
        <w:rPr/>
        <w:t>be</w:t>
      </w:r>
      <w:r>
        <w:rPr>
          <w:spacing w:val="-2"/>
        </w:rPr>
        <w:t> </w:t>
      </w:r>
      <w:r>
        <w:rPr/>
        <w:t>provided</w:t>
      </w:r>
      <w:r>
        <w:rPr>
          <w:spacing w:val="-4"/>
        </w:rPr>
        <w:t> </w:t>
      </w:r>
      <w:r>
        <w:rPr/>
        <w:t>to</w:t>
      </w:r>
      <w:r>
        <w:rPr>
          <w:spacing w:val="-2"/>
        </w:rPr>
        <w:t> </w:t>
      </w:r>
      <w:r>
        <w:rPr/>
        <w:t>FDA</w:t>
      </w:r>
      <w:r>
        <w:rPr>
          <w:spacing w:val="-3"/>
        </w:rPr>
        <w:t> </w:t>
      </w:r>
      <w:r>
        <w:rPr/>
        <w:t>as</w:t>
      </w:r>
      <w:r>
        <w:rPr>
          <w:spacing w:val="-2"/>
        </w:rPr>
        <w:t> </w:t>
      </w:r>
      <w:r>
        <w:rPr/>
        <w:t>part</w:t>
      </w:r>
      <w:r>
        <w:rPr>
          <w:spacing w:val="-2"/>
        </w:rPr>
        <w:t> </w:t>
      </w:r>
      <w:r>
        <w:rPr/>
        <w:t>of</w:t>
      </w:r>
      <w:r>
        <w:rPr>
          <w:spacing w:val="-3"/>
        </w:rPr>
        <w:t> </w:t>
      </w:r>
      <w:r>
        <w:rPr/>
        <w:t>the</w:t>
      </w:r>
      <w:r>
        <w:rPr>
          <w:spacing w:val="-2"/>
        </w:rPr>
        <w:t> </w:t>
      </w:r>
      <w:r>
        <w:rPr/>
        <w:t>pre-EUA/EUA</w:t>
      </w:r>
      <w:r>
        <w:rPr>
          <w:spacing w:val="-3"/>
        </w:rPr>
        <w:t> </w:t>
      </w:r>
      <w:r>
        <w:rPr/>
        <w:t>submission process. Developers can use alternative approaches. FDA encourages developers to discuss any alternative approaches to validating their test with FDA through </w:t>
      </w:r>
      <w:hyperlink r:id="rId18">
        <w:r>
          <w:rPr>
            <w:color w:val="0000FF"/>
            <w:u w:val="single" w:color="0000FF"/>
          </w:rPr>
          <w:t>CDRH-EUA-</w:t>
        </w:r>
      </w:hyperlink>
      <w:r>
        <w:rPr>
          <w:color w:val="0000FF"/>
        </w:rPr>
        <w:t> </w:t>
      </w:r>
      <w:hyperlink r:id="rId18">
        <w:r>
          <w:rPr>
            <w:color w:val="0000FF"/>
            <w:spacing w:val="-2"/>
            <w:u w:val="single" w:color="0000FF"/>
          </w:rPr>
          <w:t>Templates@FDA.HHS.GOV</w:t>
        </w:r>
        <w:r>
          <w:rPr>
            <w:spacing w:val="-2"/>
          </w:rPr>
          <w:t>.</w:t>
        </w:r>
      </w:hyperlink>
    </w:p>
    <w:p>
      <w:pPr>
        <w:spacing w:after="0"/>
        <w:sectPr>
          <w:pgSz w:w="12240" w:h="15840"/>
          <w:pgMar w:header="731" w:footer="785" w:top="1360" w:bottom="980" w:left="1280" w:right="1200"/>
        </w:sectPr>
      </w:pPr>
    </w:p>
    <w:p>
      <w:pPr>
        <w:pStyle w:val="Heading3"/>
        <w:spacing w:before="79"/>
        <w:ind w:left="160" w:firstLine="0"/>
      </w:pPr>
      <w:r>
        <w:rPr/>
        <w:t>Appendix</w:t>
      </w:r>
      <w:r>
        <w:rPr>
          <w:spacing w:val="-10"/>
        </w:rPr>
        <w:t> </w:t>
      </w:r>
      <w:r>
        <w:rPr/>
        <w:t>A:</w:t>
      </w:r>
      <w:r>
        <w:rPr>
          <w:spacing w:val="-9"/>
        </w:rPr>
        <w:t> </w:t>
      </w:r>
      <w:r>
        <w:rPr/>
        <w:t>Serology</w:t>
      </w:r>
      <w:r>
        <w:rPr>
          <w:spacing w:val="-9"/>
        </w:rPr>
        <w:t> </w:t>
      </w:r>
      <w:r>
        <w:rPr/>
        <w:t>Template</w:t>
      </w:r>
      <w:r>
        <w:rPr>
          <w:spacing w:val="-10"/>
        </w:rPr>
        <w:t> </w:t>
      </w:r>
      <w:r>
        <w:rPr/>
        <w:t>for</w:t>
      </w:r>
      <w:r>
        <w:rPr>
          <w:spacing w:val="-10"/>
        </w:rPr>
        <w:t> </w:t>
      </w:r>
      <w:r>
        <w:rPr>
          <w:spacing w:val="-2"/>
        </w:rPr>
        <w:t>Manufacturers</w:t>
      </w:r>
    </w:p>
    <w:p>
      <w:pPr>
        <w:pStyle w:val="BodyText"/>
        <w:rPr>
          <w:b/>
        </w:rPr>
      </w:pPr>
    </w:p>
    <w:p>
      <w:pPr>
        <w:pStyle w:val="BodyText"/>
        <w:ind w:left="159" w:right="300"/>
      </w:pPr>
      <w:r>
        <w:rPr/>
        <w:t>This template (the “template”) provides FDA’s current recommendations concerning what data and information should be submitted to FDA in support of a pre-EUA/EUA submission for a SARS-CoV-2</w:t>
      </w:r>
      <w:r>
        <w:rPr>
          <w:spacing w:val="-3"/>
        </w:rPr>
        <w:t> </w:t>
      </w:r>
      <w:r>
        <w:rPr/>
        <w:t>antibody</w:t>
      </w:r>
      <w:r>
        <w:rPr>
          <w:spacing w:val="-5"/>
        </w:rPr>
        <w:t> </w:t>
      </w:r>
      <w:r>
        <w:rPr/>
        <w:t>test.</w:t>
      </w:r>
      <w:r>
        <w:rPr>
          <w:spacing w:val="-3"/>
        </w:rPr>
        <w:t> </w:t>
      </w:r>
      <w:r>
        <w:rPr/>
        <w:t>As</w:t>
      </w:r>
      <w:r>
        <w:rPr>
          <w:spacing w:val="-3"/>
        </w:rPr>
        <w:t> </w:t>
      </w:r>
      <w:r>
        <w:rPr/>
        <w:t>outlined</w:t>
      </w:r>
      <w:r>
        <w:rPr>
          <w:spacing w:val="-3"/>
        </w:rPr>
        <w:t> </w:t>
      </w:r>
      <w:r>
        <w:rPr/>
        <w:t>in</w:t>
      </w:r>
      <w:r>
        <w:rPr>
          <w:spacing w:val="-3"/>
        </w:rPr>
        <w:t> </w:t>
      </w:r>
      <w:r>
        <w:rPr/>
        <w:t>Section</w:t>
      </w:r>
      <w:r>
        <w:rPr>
          <w:spacing w:val="-3"/>
        </w:rPr>
        <w:t> </w:t>
      </w:r>
      <w:r>
        <w:rPr/>
        <w:t>V.C.</w:t>
      </w:r>
      <w:r>
        <w:rPr>
          <w:spacing w:val="-3"/>
        </w:rPr>
        <w:t> </w:t>
      </w:r>
      <w:r>
        <w:rPr/>
        <w:t>of</w:t>
      </w:r>
      <w:r>
        <w:rPr>
          <w:spacing w:val="-4"/>
        </w:rPr>
        <w:t> </w:t>
      </w:r>
      <w:r>
        <w:rPr/>
        <w:t>this</w:t>
      </w:r>
      <w:r>
        <w:rPr>
          <w:spacing w:val="-3"/>
        </w:rPr>
        <w:t> </w:t>
      </w:r>
      <w:r>
        <w:rPr/>
        <w:t>guidance,</w:t>
      </w:r>
      <w:r>
        <w:rPr>
          <w:spacing w:val="-3"/>
        </w:rPr>
        <w:t> </w:t>
      </w:r>
      <w:r>
        <w:rPr/>
        <w:t>FDA</w:t>
      </w:r>
      <w:r>
        <w:rPr>
          <w:spacing w:val="-4"/>
        </w:rPr>
        <w:t> </w:t>
      </w:r>
      <w:r>
        <w:rPr/>
        <w:t>recommends</w:t>
      </w:r>
      <w:r>
        <w:rPr>
          <w:spacing w:val="-3"/>
        </w:rPr>
        <w:t> </w:t>
      </w:r>
      <w:r>
        <w:rPr/>
        <w:t>that the following validation studies be conducted for a SARS-CoV-2 serological assay: Cross- reactivity/Analytical</w:t>
      </w:r>
      <w:r>
        <w:rPr>
          <w:spacing w:val="-2"/>
        </w:rPr>
        <w:t> </w:t>
      </w:r>
      <w:r>
        <w:rPr/>
        <w:t>Specificity,</w:t>
      </w:r>
      <w:r>
        <w:rPr>
          <w:spacing w:val="-2"/>
        </w:rPr>
        <w:t> </w:t>
      </w:r>
      <w:r>
        <w:rPr/>
        <w:t>Class</w:t>
      </w:r>
      <w:r>
        <w:rPr>
          <w:spacing w:val="-2"/>
        </w:rPr>
        <w:t> </w:t>
      </w:r>
      <w:r>
        <w:rPr/>
        <w:t>Specificity,</w:t>
      </w:r>
      <w:r>
        <w:rPr>
          <w:spacing w:val="-2"/>
        </w:rPr>
        <w:t> </w:t>
      </w:r>
      <w:r>
        <w:rPr/>
        <w:t>and</w:t>
      </w:r>
      <w:r>
        <w:rPr>
          <w:spacing w:val="-2"/>
        </w:rPr>
        <w:t> </w:t>
      </w:r>
      <w:r>
        <w:rPr/>
        <w:t>Clinical</w:t>
      </w:r>
      <w:r>
        <w:rPr>
          <w:spacing w:val="-2"/>
        </w:rPr>
        <w:t> </w:t>
      </w:r>
      <w:r>
        <w:rPr/>
        <w:t>Agreement</w:t>
      </w:r>
      <w:r>
        <w:rPr>
          <w:spacing w:val="-2"/>
        </w:rPr>
        <w:t> </w:t>
      </w:r>
      <w:r>
        <w:rPr/>
        <w:t>Study.</w:t>
      </w:r>
      <w:r>
        <w:rPr>
          <w:spacing w:val="-2"/>
        </w:rPr>
        <w:t> </w:t>
      </w:r>
      <w:r>
        <w:rPr/>
        <w:t>This</w:t>
      </w:r>
      <w:r>
        <w:rPr>
          <w:spacing w:val="-2"/>
        </w:rPr>
        <w:t> </w:t>
      </w:r>
      <w:r>
        <w:rPr/>
        <w:t>template is intended to help manufacturers provide these validation data and other recommended information to FDA, but alternative approaches can be used. For more information about EUAs in general, please see the FDA Guidance document: </w:t>
      </w:r>
      <w:hyperlink r:id="rId22">
        <w:r>
          <w:rPr>
            <w:i/>
            <w:color w:val="0000FF"/>
            <w:u w:val="single" w:color="0000FF"/>
          </w:rPr>
          <w:t>Emergency Use Authorization of Medical</w:t>
        </w:r>
      </w:hyperlink>
      <w:r>
        <w:rPr>
          <w:i/>
          <w:color w:val="0000FF"/>
        </w:rPr>
        <w:t> </w:t>
      </w:r>
      <w:hyperlink r:id="rId22">
        <w:r>
          <w:rPr>
            <w:i/>
            <w:color w:val="0000FF"/>
            <w:u w:val="single" w:color="0000FF"/>
          </w:rPr>
          <w:t>Products and Related Authorities</w:t>
        </w:r>
      </w:hyperlink>
      <w:r>
        <w:rPr/>
        <w:t>.</w:t>
      </w:r>
    </w:p>
    <w:p>
      <w:pPr>
        <w:pStyle w:val="BodyText"/>
        <w:spacing w:before="2"/>
        <w:rPr>
          <w:sz w:val="16"/>
        </w:rPr>
      </w:pPr>
    </w:p>
    <w:p>
      <w:pPr>
        <w:pStyle w:val="Heading4"/>
        <w:spacing w:before="90"/>
        <w:ind w:left="461" w:right="538" w:firstLine="0"/>
        <w:jc w:val="center"/>
      </w:pPr>
      <w:r>
        <w:rPr/>
        <w:t>GENERAL</w:t>
      </w:r>
      <w:r>
        <w:rPr>
          <w:spacing w:val="-6"/>
        </w:rPr>
        <w:t> </w:t>
      </w:r>
      <w:r>
        <w:rPr/>
        <w:t>INFORMATION</w:t>
      </w:r>
      <w:r>
        <w:rPr>
          <w:spacing w:val="-4"/>
        </w:rPr>
        <w:t> </w:t>
      </w:r>
      <w:r>
        <w:rPr/>
        <w:t>ABOUT</w:t>
      </w:r>
      <w:r>
        <w:rPr>
          <w:spacing w:val="-4"/>
        </w:rPr>
        <w:t> </w:t>
      </w:r>
      <w:r>
        <w:rPr/>
        <w:t>THIS</w:t>
      </w:r>
      <w:r>
        <w:rPr>
          <w:spacing w:val="-3"/>
        </w:rPr>
        <w:t> </w:t>
      </w:r>
      <w:r>
        <w:rPr>
          <w:spacing w:val="-2"/>
        </w:rPr>
        <w:t>TEMPLATE</w:t>
      </w:r>
    </w:p>
    <w:p>
      <w:pPr>
        <w:pStyle w:val="ListParagraph"/>
        <w:numPr>
          <w:ilvl w:val="0"/>
          <w:numId w:val="12"/>
        </w:numPr>
        <w:tabs>
          <w:tab w:pos="520" w:val="left" w:leader="none"/>
        </w:tabs>
        <w:spacing w:line="240" w:lineRule="auto" w:before="136" w:after="0"/>
        <w:ind w:left="520" w:right="365" w:hanging="360"/>
        <w:jc w:val="left"/>
        <w:rPr>
          <w:sz w:val="24"/>
        </w:rPr>
      </w:pPr>
      <w:r>
        <w:rPr>
          <w:sz w:val="24"/>
        </w:rPr>
        <w:t>Text</w:t>
      </w:r>
      <w:r>
        <w:rPr>
          <w:spacing w:val="-3"/>
          <w:sz w:val="24"/>
        </w:rPr>
        <w:t> </w:t>
      </w:r>
      <w:r>
        <w:rPr>
          <w:sz w:val="24"/>
        </w:rPr>
        <w:t>highlighted</w:t>
      </w:r>
      <w:r>
        <w:rPr>
          <w:spacing w:val="-3"/>
          <w:sz w:val="24"/>
        </w:rPr>
        <w:t> </w:t>
      </w:r>
      <w:r>
        <w:rPr>
          <w:sz w:val="24"/>
        </w:rPr>
        <w:t>in</w:t>
      </w:r>
      <w:r>
        <w:rPr>
          <w:spacing w:val="-3"/>
          <w:sz w:val="24"/>
        </w:rPr>
        <w:t> </w:t>
      </w:r>
      <w:r>
        <w:rPr>
          <w:sz w:val="24"/>
        </w:rPr>
        <w:t>yellow</w:t>
      </w:r>
      <w:r>
        <w:rPr>
          <w:spacing w:val="-4"/>
          <w:sz w:val="24"/>
        </w:rPr>
        <w:t> </w:t>
      </w:r>
      <w:r>
        <w:rPr>
          <w:rFonts w:ascii="TimesNewRomanPS-BoldItalicMT" w:hAnsi="TimesNewRomanPS-BoldItalicMT"/>
          <w:b/>
          <w:i/>
          <w:color w:val="000000"/>
          <w:sz w:val="24"/>
          <w:shd w:fill="FFFF00" w:color="auto" w:val="clear"/>
        </w:rPr>
        <w:t>[Text]</w:t>
      </w:r>
      <w:r>
        <w:rPr>
          <w:rFonts w:ascii="TimesNewRomanPS-BoldItalicMT" w:hAnsi="TimesNewRomanPS-BoldItalicMT"/>
          <w:b/>
          <w:i/>
          <w:color w:val="000000"/>
          <w:spacing w:val="-3"/>
          <w:sz w:val="24"/>
        </w:rPr>
        <w:t> </w:t>
      </w:r>
      <w:r>
        <w:rPr>
          <w:color w:val="000000"/>
          <w:sz w:val="24"/>
        </w:rPr>
        <w:t>should</w:t>
      </w:r>
      <w:r>
        <w:rPr>
          <w:color w:val="000000"/>
          <w:spacing w:val="-3"/>
          <w:sz w:val="24"/>
        </w:rPr>
        <w:t> </w:t>
      </w:r>
      <w:r>
        <w:rPr>
          <w:color w:val="000000"/>
          <w:sz w:val="24"/>
        </w:rPr>
        <w:t>be</w:t>
      </w:r>
      <w:r>
        <w:rPr>
          <w:color w:val="000000"/>
          <w:spacing w:val="-3"/>
          <w:sz w:val="24"/>
        </w:rPr>
        <w:t> </w:t>
      </w:r>
      <w:r>
        <w:rPr>
          <w:color w:val="000000"/>
          <w:sz w:val="24"/>
        </w:rPr>
        <w:t>completed</w:t>
      </w:r>
      <w:r>
        <w:rPr>
          <w:color w:val="000000"/>
          <w:spacing w:val="-3"/>
          <w:sz w:val="24"/>
        </w:rPr>
        <w:t> </w:t>
      </w:r>
      <w:r>
        <w:rPr>
          <w:color w:val="000000"/>
          <w:sz w:val="24"/>
        </w:rPr>
        <w:t>by</w:t>
      </w:r>
      <w:r>
        <w:rPr>
          <w:color w:val="000000"/>
          <w:spacing w:val="-5"/>
          <w:sz w:val="24"/>
        </w:rPr>
        <w:t> </w:t>
      </w:r>
      <w:r>
        <w:rPr>
          <w:color w:val="000000"/>
          <w:sz w:val="24"/>
        </w:rPr>
        <w:t>the</w:t>
      </w:r>
      <w:r>
        <w:rPr>
          <w:color w:val="000000"/>
          <w:spacing w:val="-4"/>
          <w:sz w:val="24"/>
        </w:rPr>
        <w:t> </w:t>
      </w:r>
      <w:r>
        <w:rPr>
          <w:color w:val="000000"/>
          <w:sz w:val="24"/>
        </w:rPr>
        <w:t>test</w:t>
      </w:r>
      <w:r>
        <w:rPr>
          <w:color w:val="000000"/>
          <w:spacing w:val="-3"/>
          <w:sz w:val="24"/>
        </w:rPr>
        <w:t> </w:t>
      </w:r>
      <w:r>
        <w:rPr>
          <w:color w:val="000000"/>
          <w:sz w:val="24"/>
        </w:rPr>
        <w:t>manufacturer</w:t>
      </w:r>
      <w:r>
        <w:rPr>
          <w:color w:val="000000"/>
          <w:spacing w:val="-4"/>
          <w:sz w:val="24"/>
        </w:rPr>
        <w:t> </w:t>
      </w:r>
      <w:r>
        <w:rPr>
          <w:color w:val="000000"/>
          <w:sz w:val="24"/>
        </w:rPr>
        <w:t>(sponsor)</w:t>
      </w:r>
      <w:r>
        <w:rPr>
          <w:color w:val="000000"/>
          <w:spacing w:val="-3"/>
          <w:sz w:val="24"/>
        </w:rPr>
        <w:t> </w:t>
      </w:r>
      <w:r>
        <w:rPr>
          <w:color w:val="000000"/>
          <w:sz w:val="24"/>
        </w:rPr>
        <w:t>as applicable to their specific test. Text in </w:t>
      </w:r>
      <w:r>
        <w:rPr>
          <w:b/>
          <w:color w:val="000000"/>
          <w:sz w:val="24"/>
        </w:rPr>
        <w:t>bold </w:t>
      </w:r>
      <w:r>
        <w:rPr>
          <w:color w:val="000000"/>
          <w:sz w:val="24"/>
        </w:rPr>
        <w:t>outlines the Food and Drug Administration’s (FDA) additional recommendations for the sponsors’ consideration when completing the suggested information in each section.</w:t>
      </w:r>
    </w:p>
    <w:p>
      <w:pPr>
        <w:pStyle w:val="ListParagraph"/>
        <w:numPr>
          <w:ilvl w:val="0"/>
          <w:numId w:val="12"/>
        </w:numPr>
        <w:tabs>
          <w:tab w:pos="520" w:val="left" w:leader="none"/>
        </w:tabs>
        <w:spacing w:line="240" w:lineRule="auto" w:before="177" w:after="0"/>
        <w:ind w:left="520" w:right="497" w:hanging="360"/>
        <w:jc w:val="left"/>
        <w:rPr>
          <w:sz w:val="24"/>
        </w:rPr>
      </w:pPr>
      <w:r>
        <w:rPr>
          <w:sz w:val="24"/>
        </w:rPr>
        <w:t>Please</w:t>
      </w:r>
      <w:r>
        <w:rPr>
          <w:spacing w:val="-3"/>
          <w:sz w:val="24"/>
        </w:rPr>
        <w:t> </w:t>
      </w:r>
      <w:r>
        <w:rPr>
          <w:sz w:val="24"/>
        </w:rPr>
        <w:t>be</w:t>
      </w:r>
      <w:r>
        <w:rPr>
          <w:spacing w:val="-4"/>
          <w:sz w:val="24"/>
        </w:rPr>
        <w:t> </w:t>
      </w:r>
      <w:r>
        <w:rPr>
          <w:sz w:val="24"/>
        </w:rPr>
        <w:t>reminded</w:t>
      </w:r>
      <w:r>
        <w:rPr>
          <w:spacing w:val="-3"/>
          <w:sz w:val="24"/>
        </w:rPr>
        <w:t> </w:t>
      </w:r>
      <w:r>
        <w:rPr>
          <w:sz w:val="24"/>
        </w:rPr>
        <w:t>that</w:t>
      </w:r>
      <w:r>
        <w:rPr>
          <w:spacing w:val="-3"/>
          <w:sz w:val="24"/>
        </w:rPr>
        <w:t> </w:t>
      </w:r>
      <w:r>
        <w:rPr>
          <w:sz w:val="24"/>
        </w:rPr>
        <w:t>tests</w:t>
      </w:r>
      <w:r>
        <w:rPr>
          <w:spacing w:val="-3"/>
          <w:sz w:val="24"/>
        </w:rPr>
        <w:t> </w:t>
      </w:r>
      <w:r>
        <w:rPr>
          <w:sz w:val="24"/>
        </w:rPr>
        <w:t>for</w:t>
      </w:r>
      <w:r>
        <w:rPr>
          <w:spacing w:val="-4"/>
          <w:sz w:val="24"/>
        </w:rPr>
        <w:t> </w:t>
      </w:r>
      <w:r>
        <w:rPr>
          <w:sz w:val="24"/>
        </w:rPr>
        <w:t>the</w:t>
      </w:r>
      <w:r>
        <w:rPr>
          <w:spacing w:val="-4"/>
          <w:sz w:val="24"/>
        </w:rPr>
        <w:t> </w:t>
      </w:r>
      <w:r>
        <w:rPr>
          <w:sz w:val="24"/>
        </w:rPr>
        <w:t>detection</w:t>
      </w:r>
      <w:r>
        <w:rPr>
          <w:spacing w:val="-3"/>
          <w:sz w:val="24"/>
        </w:rPr>
        <w:t> </w:t>
      </w:r>
      <w:r>
        <w:rPr>
          <w:sz w:val="24"/>
        </w:rPr>
        <w:t>of</w:t>
      </w:r>
      <w:r>
        <w:rPr>
          <w:spacing w:val="-4"/>
          <w:sz w:val="24"/>
        </w:rPr>
        <w:t> </w:t>
      </w:r>
      <w:r>
        <w:rPr>
          <w:sz w:val="24"/>
        </w:rPr>
        <w:t>antibodies</w:t>
      </w:r>
      <w:r>
        <w:rPr>
          <w:spacing w:val="-3"/>
          <w:sz w:val="24"/>
        </w:rPr>
        <w:t> </w:t>
      </w:r>
      <w:r>
        <w:rPr>
          <w:sz w:val="24"/>
        </w:rPr>
        <w:t>against</w:t>
      </w:r>
      <w:r>
        <w:rPr>
          <w:spacing w:val="-3"/>
          <w:sz w:val="24"/>
        </w:rPr>
        <w:t> </w:t>
      </w:r>
      <w:r>
        <w:rPr>
          <w:sz w:val="24"/>
        </w:rPr>
        <w:t>SARS-CoV-2</w:t>
      </w:r>
      <w:r>
        <w:rPr>
          <w:spacing w:val="-2"/>
          <w:sz w:val="24"/>
        </w:rPr>
        <w:t> </w:t>
      </w:r>
      <w:r>
        <w:rPr>
          <w:sz w:val="24"/>
        </w:rPr>
        <w:t>must</w:t>
      </w:r>
      <w:r>
        <w:rPr>
          <w:spacing w:val="-3"/>
          <w:sz w:val="24"/>
        </w:rPr>
        <w:t> </w:t>
      </w:r>
      <w:r>
        <w:rPr>
          <w:sz w:val="24"/>
        </w:rPr>
        <w:t>not be distributed and/or used for clinical diagnoses.</w:t>
      </w:r>
    </w:p>
    <w:p>
      <w:pPr>
        <w:pStyle w:val="ListParagraph"/>
        <w:numPr>
          <w:ilvl w:val="0"/>
          <w:numId w:val="12"/>
        </w:numPr>
        <w:tabs>
          <w:tab w:pos="520" w:val="left" w:leader="none"/>
        </w:tabs>
        <w:spacing w:line="240" w:lineRule="auto" w:before="175" w:after="0"/>
        <w:ind w:left="520" w:right="392" w:hanging="360"/>
        <w:jc w:val="left"/>
        <w:rPr>
          <w:sz w:val="24"/>
        </w:rPr>
      </w:pPr>
      <w:r>
        <w:rPr>
          <w:sz w:val="24"/>
        </w:rPr>
        <w:t>This</w:t>
      </w:r>
      <w:r>
        <w:rPr>
          <w:spacing w:val="-3"/>
          <w:sz w:val="24"/>
        </w:rPr>
        <w:t> </w:t>
      </w:r>
      <w:r>
        <w:rPr>
          <w:sz w:val="24"/>
        </w:rPr>
        <w:t>is</w:t>
      </w:r>
      <w:r>
        <w:rPr>
          <w:spacing w:val="-3"/>
          <w:sz w:val="24"/>
        </w:rPr>
        <w:t> </w:t>
      </w:r>
      <w:r>
        <w:rPr>
          <w:sz w:val="24"/>
        </w:rPr>
        <w:t>an</w:t>
      </w:r>
      <w:r>
        <w:rPr>
          <w:spacing w:val="-3"/>
          <w:sz w:val="24"/>
        </w:rPr>
        <w:t> </w:t>
      </w:r>
      <w:r>
        <w:rPr>
          <w:sz w:val="24"/>
        </w:rPr>
        <w:t>EUA</w:t>
      </w:r>
      <w:r>
        <w:rPr>
          <w:spacing w:val="-4"/>
          <w:sz w:val="24"/>
        </w:rPr>
        <w:t> </w:t>
      </w:r>
      <w:r>
        <w:rPr>
          <w:sz w:val="24"/>
        </w:rPr>
        <w:t>interactive</w:t>
      </w:r>
      <w:r>
        <w:rPr>
          <w:spacing w:val="-3"/>
          <w:sz w:val="24"/>
        </w:rPr>
        <w:t> </w:t>
      </w:r>
      <w:r>
        <w:rPr>
          <w:sz w:val="24"/>
        </w:rPr>
        <w:t>review</w:t>
      </w:r>
      <w:r>
        <w:rPr>
          <w:spacing w:val="-4"/>
          <w:sz w:val="24"/>
        </w:rPr>
        <w:t> </w:t>
      </w:r>
      <w:r>
        <w:rPr>
          <w:sz w:val="24"/>
        </w:rPr>
        <w:t>template</w:t>
      </w:r>
      <w:r>
        <w:rPr>
          <w:spacing w:val="-3"/>
          <w:sz w:val="24"/>
        </w:rPr>
        <w:t> </w:t>
      </w:r>
      <w:r>
        <w:rPr>
          <w:sz w:val="24"/>
        </w:rPr>
        <w:t>for</w:t>
      </w:r>
      <w:r>
        <w:rPr>
          <w:spacing w:val="-3"/>
          <w:sz w:val="24"/>
        </w:rPr>
        <w:t> </w:t>
      </w:r>
      <w:r>
        <w:rPr>
          <w:sz w:val="24"/>
        </w:rPr>
        <w:t>Pre-EUA/EUA</w:t>
      </w:r>
      <w:r>
        <w:rPr>
          <w:spacing w:val="-4"/>
          <w:sz w:val="24"/>
        </w:rPr>
        <w:t> </w:t>
      </w:r>
      <w:r>
        <w:rPr>
          <w:sz w:val="24"/>
        </w:rPr>
        <w:t>submissions.</w:t>
      </w:r>
      <w:r>
        <w:rPr>
          <w:spacing w:val="-3"/>
          <w:sz w:val="24"/>
        </w:rPr>
        <w:t> </w:t>
      </w:r>
      <w:r>
        <w:rPr>
          <w:sz w:val="24"/>
        </w:rPr>
        <w:t>The</w:t>
      </w:r>
      <w:r>
        <w:rPr>
          <w:spacing w:val="-3"/>
          <w:sz w:val="24"/>
        </w:rPr>
        <w:t> </w:t>
      </w:r>
      <w:r>
        <w:rPr>
          <w:sz w:val="24"/>
        </w:rPr>
        <w:t>template</w:t>
      </w:r>
      <w:r>
        <w:rPr>
          <w:spacing w:val="-4"/>
          <w:sz w:val="24"/>
        </w:rPr>
        <w:t> </w:t>
      </w:r>
      <w:r>
        <w:rPr>
          <w:sz w:val="24"/>
        </w:rPr>
        <w:t>is subject</w:t>
      </w:r>
      <w:r>
        <w:rPr>
          <w:spacing w:val="-1"/>
          <w:sz w:val="24"/>
        </w:rPr>
        <w:t> </w:t>
      </w:r>
      <w:r>
        <w:rPr>
          <w:sz w:val="24"/>
        </w:rPr>
        <w:t>to</w:t>
      </w:r>
      <w:r>
        <w:rPr>
          <w:spacing w:val="-1"/>
          <w:sz w:val="24"/>
        </w:rPr>
        <w:t> </w:t>
      </w:r>
      <w:r>
        <w:rPr>
          <w:sz w:val="24"/>
        </w:rPr>
        <w:t>change</w:t>
      </w:r>
      <w:r>
        <w:rPr>
          <w:spacing w:val="-1"/>
          <w:sz w:val="24"/>
        </w:rPr>
        <w:t> </w:t>
      </w:r>
      <w:r>
        <w:rPr>
          <w:sz w:val="24"/>
        </w:rPr>
        <w:t>as</w:t>
      </w:r>
      <w:r>
        <w:rPr>
          <w:spacing w:val="-1"/>
          <w:sz w:val="24"/>
        </w:rPr>
        <w:t> </w:t>
      </w:r>
      <w:r>
        <w:rPr>
          <w:sz w:val="24"/>
        </w:rPr>
        <w:t>we</w:t>
      </w:r>
      <w:r>
        <w:rPr>
          <w:spacing w:val="-1"/>
          <w:sz w:val="24"/>
        </w:rPr>
        <w:t> </w:t>
      </w:r>
      <w:r>
        <w:rPr>
          <w:sz w:val="24"/>
        </w:rPr>
        <w:t>learn</w:t>
      </w:r>
      <w:r>
        <w:rPr>
          <w:spacing w:val="-1"/>
          <w:sz w:val="24"/>
        </w:rPr>
        <w:t> </w:t>
      </w:r>
      <w:r>
        <w:rPr>
          <w:sz w:val="24"/>
        </w:rPr>
        <w:t>more</w:t>
      </w:r>
      <w:r>
        <w:rPr>
          <w:spacing w:val="-1"/>
          <w:sz w:val="24"/>
        </w:rPr>
        <w:t> </w:t>
      </w:r>
      <w:r>
        <w:rPr>
          <w:sz w:val="24"/>
        </w:rPr>
        <w:t>about</w:t>
      </w:r>
      <w:r>
        <w:rPr>
          <w:spacing w:val="-1"/>
          <w:sz w:val="24"/>
        </w:rPr>
        <w:t> </w:t>
      </w:r>
      <w:r>
        <w:rPr>
          <w:sz w:val="24"/>
        </w:rPr>
        <w:t>the</w:t>
      </w:r>
      <w:r>
        <w:rPr>
          <w:spacing w:val="-1"/>
          <w:sz w:val="24"/>
        </w:rPr>
        <w:t> </w:t>
      </w:r>
      <w:r>
        <w:rPr>
          <w:sz w:val="24"/>
        </w:rPr>
        <w:t>COVID-19</w:t>
      </w:r>
      <w:r>
        <w:rPr>
          <w:spacing w:val="-1"/>
          <w:sz w:val="24"/>
        </w:rPr>
        <w:t> </w:t>
      </w:r>
      <w:r>
        <w:rPr>
          <w:sz w:val="24"/>
        </w:rPr>
        <w:t>disease</w:t>
      </w:r>
      <w:r>
        <w:rPr>
          <w:spacing w:val="-1"/>
          <w:sz w:val="24"/>
        </w:rPr>
        <w:t> </w:t>
      </w:r>
      <w:r>
        <w:rPr>
          <w:sz w:val="24"/>
        </w:rPr>
        <w:t>and</w:t>
      </w:r>
      <w:r>
        <w:rPr>
          <w:spacing w:val="-1"/>
          <w:sz w:val="24"/>
        </w:rPr>
        <w:t> </w:t>
      </w:r>
      <w:r>
        <w:rPr>
          <w:sz w:val="24"/>
        </w:rPr>
        <w:t>its</w:t>
      </w:r>
      <w:r>
        <w:rPr>
          <w:spacing w:val="-1"/>
          <w:sz w:val="24"/>
        </w:rPr>
        <w:t> </w:t>
      </w:r>
      <w:r>
        <w:rPr>
          <w:sz w:val="24"/>
        </w:rPr>
        <w:t>risk-benefit</w:t>
      </w:r>
      <w:r>
        <w:rPr>
          <w:spacing w:val="-1"/>
          <w:sz w:val="24"/>
        </w:rPr>
        <w:t> </w:t>
      </w:r>
      <w:r>
        <w:rPr>
          <w:sz w:val="24"/>
        </w:rPr>
        <w:t>profile.</w:t>
      </w:r>
    </w:p>
    <w:p>
      <w:pPr>
        <w:pStyle w:val="ListParagraph"/>
        <w:numPr>
          <w:ilvl w:val="0"/>
          <w:numId w:val="12"/>
        </w:numPr>
        <w:tabs>
          <w:tab w:pos="519" w:val="left" w:leader="none"/>
        </w:tabs>
        <w:spacing w:line="240" w:lineRule="auto" w:before="177" w:after="0"/>
        <w:ind w:left="519" w:right="573" w:hanging="360"/>
        <w:jc w:val="left"/>
        <w:rPr>
          <w:sz w:val="24"/>
        </w:rPr>
      </w:pPr>
      <w:r>
        <w:rPr>
          <w:sz w:val="24"/>
        </w:rPr>
        <w:t>A</w:t>
      </w:r>
      <w:r>
        <w:rPr>
          <w:spacing w:val="-3"/>
          <w:sz w:val="24"/>
        </w:rPr>
        <w:t> </w:t>
      </w:r>
      <w:r>
        <w:rPr>
          <w:sz w:val="24"/>
        </w:rPr>
        <w:t>test</w:t>
      </w:r>
      <w:r>
        <w:rPr>
          <w:spacing w:val="-2"/>
          <w:sz w:val="24"/>
        </w:rPr>
        <w:t> </w:t>
      </w:r>
      <w:r>
        <w:rPr>
          <w:sz w:val="24"/>
        </w:rPr>
        <w:t>authorized</w:t>
      </w:r>
      <w:r>
        <w:rPr>
          <w:spacing w:val="-2"/>
          <w:sz w:val="24"/>
        </w:rPr>
        <w:t> </w:t>
      </w:r>
      <w:r>
        <w:rPr>
          <w:sz w:val="24"/>
        </w:rPr>
        <w:t>under</w:t>
      </w:r>
      <w:r>
        <w:rPr>
          <w:spacing w:val="-3"/>
          <w:sz w:val="24"/>
        </w:rPr>
        <w:t> </w:t>
      </w:r>
      <w:r>
        <w:rPr>
          <w:sz w:val="24"/>
        </w:rPr>
        <w:t>an</w:t>
      </w:r>
      <w:r>
        <w:rPr>
          <w:spacing w:val="-3"/>
          <w:sz w:val="24"/>
        </w:rPr>
        <w:t> </w:t>
      </w:r>
      <w:r>
        <w:rPr>
          <w:sz w:val="24"/>
        </w:rPr>
        <w:t>EUA</w:t>
      </w:r>
      <w:r>
        <w:rPr>
          <w:spacing w:val="-3"/>
          <w:sz w:val="24"/>
        </w:rPr>
        <w:t> </w:t>
      </w:r>
      <w:r>
        <w:rPr>
          <w:sz w:val="24"/>
        </w:rPr>
        <w:t>is</w:t>
      </w:r>
      <w:r>
        <w:rPr>
          <w:spacing w:val="-2"/>
          <w:sz w:val="24"/>
        </w:rPr>
        <w:t> </w:t>
      </w:r>
      <w:r>
        <w:rPr>
          <w:sz w:val="24"/>
        </w:rPr>
        <w:t>only</w:t>
      </w:r>
      <w:r>
        <w:rPr>
          <w:spacing w:val="-2"/>
          <w:sz w:val="24"/>
        </w:rPr>
        <w:t> </w:t>
      </w:r>
      <w:r>
        <w:rPr>
          <w:sz w:val="24"/>
        </w:rPr>
        <w:t>authorized</w:t>
      </w:r>
      <w:r>
        <w:rPr>
          <w:spacing w:val="-2"/>
          <w:sz w:val="24"/>
        </w:rPr>
        <w:t> </w:t>
      </w:r>
      <w:r>
        <w:rPr>
          <w:sz w:val="24"/>
        </w:rPr>
        <w:t>for</w:t>
      </w:r>
      <w:r>
        <w:rPr>
          <w:spacing w:val="-2"/>
          <w:sz w:val="24"/>
        </w:rPr>
        <w:t> </w:t>
      </w:r>
      <w:r>
        <w:rPr>
          <w:sz w:val="24"/>
        </w:rPr>
        <w:t>emergency</w:t>
      </w:r>
      <w:r>
        <w:rPr>
          <w:spacing w:val="-2"/>
          <w:sz w:val="24"/>
        </w:rPr>
        <w:t> </w:t>
      </w:r>
      <w:r>
        <w:rPr>
          <w:sz w:val="24"/>
        </w:rPr>
        <w:t>use</w:t>
      </w:r>
      <w:r>
        <w:rPr>
          <w:spacing w:val="-2"/>
          <w:sz w:val="24"/>
        </w:rPr>
        <w:t> </w:t>
      </w:r>
      <w:r>
        <w:rPr>
          <w:sz w:val="24"/>
        </w:rPr>
        <w:t>while</w:t>
      </w:r>
      <w:r>
        <w:rPr>
          <w:spacing w:val="-3"/>
          <w:sz w:val="24"/>
        </w:rPr>
        <w:t> </w:t>
      </w:r>
      <w:r>
        <w:rPr>
          <w:sz w:val="24"/>
        </w:rPr>
        <w:t>the</w:t>
      </w:r>
      <w:r>
        <w:rPr>
          <w:spacing w:val="-2"/>
          <w:sz w:val="24"/>
        </w:rPr>
        <w:t> </w:t>
      </w:r>
      <w:r>
        <w:rPr>
          <w:sz w:val="24"/>
        </w:rPr>
        <w:t>EUA</w:t>
      </w:r>
      <w:r>
        <w:rPr>
          <w:spacing w:val="-3"/>
          <w:sz w:val="24"/>
        </w:rPr>
        <w:t> </w:t>
      </w:r>
      <w:r>
        <w:rPr>
          <w:sz w:val="24"/>
        </w:rPr>
        <w:t>is</w:t>
      </w:r>
      <w:r>
        <w:rPr>
          <w:spacing w:val="-2"/>
          <w:sz w:val="24"/>
        </w:rPr>
        <w:t> </w:t>
      </w:r>
      <w:r>
        <w:rPr>
          <w:sz w:val="24"/>
        </w:rPr>
        <w:t>in </w:t>
      </w:r>
      <w:r>
        <w:rPr>
          <w:spacing w:val="-2"/>
          <w:sz w:val="24"/>
        </w:rPr>
        <w:t>effect.</w:t>
      </w:r>
    </w:p>
    <w:p>
      <w:pPr>
        <w:pStyle w:val="ListParagraph"/>
        <w:numPr>
          <w:ilvl w:val="0"/>
          <w:numId w:val="12"/>
        </w:numPr>
        <w:tabs>
          <w:tab w:pos="519" w:val="left" w:leader="none"/>
        </w:tabs>
        <w:spacing w:line="240" w:lineRule="auto" w:before="176" w:after="0"/>
        <w:ind w:left="519" w:right="369" w:hanging="360"/>
        <w:jc w:val="left"/>
        <w:rPr>
          <w:sz w:val="24"/>
        </w:rPr>
      </w:pPr>
      <w:r>
        <w:rPr>
          <w:sz w:val="24"/>
        </w:rPr>
        <w:t>The EUA is not a pathway to permanent marketing of your device. Therefore, we strongly recommend</w:t>
      </w:r>
      <w:r>
        <w:rPr>
          <w:spacing w:val="-2"/>
          <w:sz w:val="24"/>
        </w:rPr>
        <w:t> </w:t>
      </w:r>
      <w:r>
        <w:rPr>
          <w:sz w:val="24"/>
        </w:rPr>
        <w:t>that</w:t>
      </w:r>
      <w:r>
        <w:rPr>
          <w:spacing w:val="-3"/>
          <w:sz w:val="24"/>
        </w:rPr>
        <w:t> </w:t>
      </w:r>
      <w:r>
        <w:rPr>
          <w:sz w:val="24"/>
        </w:rPr>
        <w:t>you</w:t>
      </w:r>
      <w:r>
        <w:rPr>
          <w:spacing w:val="-3"/>
          <w:sz w:val="24"/>
        </w:rPr>
        <w:t> </w:t>
      </w:r>
      <w:r>
        <w:rPr>
          <w:sz w:val="24"/>
        </w:rPr>
        <w:t>consider,</w:t>
      </w:r>
      <w:r>
        <w:rPr>
          <w:spacing w:val="-5"/>
          <w:sz w:val="24"/>
        </w:rPr>
        <w:t> </w:t>
      </w:r>
      <w:r>
        <w:rPr>
          <w:sz w:val="24"/>
        </w:rPr>
        <w:t>in</w:t>
      </w:r>
      <w:r>
        <w:rPr>
          <w:spacing w:val="-3"/>
          <w:sz w:val="24"/>
        </w:rPr>
        <w:t> </w:t>
      </w:r>
      <w:r>
        <w:rPr>
          <w:sz w:val="24"/>
        </w:rPr>
        <w:t>addition</w:t>
      </w:r>
      <w:r>
        <w:rPr>
          <w:spacing w:val="-5"/>
          <w:sz w:val="24"/>
        </w:rPr>
        <w:t> </w:t>
      </w:r>
      <w:r>
        <w:rPr>
          <w:sz w:val="24"/>
        </w:rPr>
        <w:t>to</w:t>
      </w:r>
      <w:r>
        <w:rPr>
          <w:spacing w:val="-3"/>
          <w:sz w:val="24"/>
        </w:rPr>
        <w:t> </w:t>
      </w:r>
      <w:r>
        <w:rPr>
          <w:sz w:val="24"/>
        </w:rPr>
        <w:t>an</w:t>
      </w:r>
      <w:r>
        <w:rPr>
          <w:spacing w:val="-3"/>
          <w:sz w:val="24"/>
        </w:rPr>
        <w:t> </w:t>
      </w:r>
      <w:r>
        <w:rPr>
          <w:sz w:val="24"/>
        </w:rPr>
        <w:t>EUA,</w:t>
      </w:r>
      <w:r>
        <w:rPr>
          <w:spacing w:val="-3"/>
          <w:sz w:val="24"/>
        </w:rPr>
        <w:t> </w:t>
      </w:r>
      <w:r>
        <w:rPr>
          <w:sz w:val="24"/>
        </w:rPr>
        <w:t>a</w:t>
      </w:r>
      <w:r>
        <w:rPr>
          <w:spacing w:val="-3"/>
          <w:sz w:val="24"/>
        </w:rPr>
        <w:t> </w:t>
      </w:r>
      <w:r>
        <w:rPr>
          <w:sz w:val="24"/>
        </w:rPr>
        <w:t>traditional</w:t>
      </w:r>
      <w:r>
        <w:rPr>
          <w:spacing w:val="-3"/>
          <w:sz w:val="24"/>
        </w:rPr>
        <w:t> </w:t>
      </w:r>
      <w:r>
        <w:rPr>
          <w:sz w:val="24"/>
        </w:rPr>
        <w:t>premarket</w:t>
      </w:r>
      <w:r>
        <w:rPr>
          <w:spacing w:val="-3"/>
          <w:sz w:val="24"/>
        </w:rPr>
        <w:t> </w:t>
      </w:r>
      <w:r>
        <w:rPr>
          <w:sz w:val="24"/>
        </w:rPr>
        <w:t>submission</w:t>
      </w:r>
      <w:r>
        <w:rPr>
          <w:spacing w:val="-3"/>
          <w:sz w:val="24"/>
        </w:rPr>
        <w:t> </w:t>
      </w:r>
      <w:r>
        <w:rPr>
          <w:sz w:val="24"/>
        </w:rPr>
        <w:t>for your IVD so that your device can still be legally marketed after termination of the public health emergency declaration. We recommend that you identify as soon as possible in the Pre-EUA review process any consideration of moving your product forward towards De Novo/510(k) clearance.</w:t>
      </w:r>
    </w:p>
    <w:p>
      <w:pPr>
        <w:pStyle w:val="BodyText"/>
      </w:pPr>
    </w:p>
    <w:p>
      <w:pPr>
        <w:pStyle w:val="Heading4"/>
        <w:spacing w:before="1"/>
        <w:ind w:left="458" w:right="538" w:firstLine="0"/>
        <w:jc w:val="center"/>
      </w:pPr>
      <w:r>
        <w:rPr/>
        <w:t>EXAMPLE</w:t>
      </w:r>
      <w:r>
        <w:rPr>
          <w:spacing w:val="-6"/>
        </w:rPr>
        <w:t> </w:t>
      </w:r>
      <w:r>
        <w:rPr>
          <w:spacing w:val="-2"/>
        </w:rPr>
        <w:t>TEMPLATE:</w:t>
      </w:r>
    </w:p>
    <w:p>
      <w:pPr>
        <w:pStyle w:val="BodyText"/>
        <w:spacing w:before="9"/>
        <w:rPr>
          <w:b/>
          <w:sz w:val="20"/>
        </w:rPr>
      </w:pPr>
    </w:p>
    <w:p>
      <w:pPr>
        <w:pStyle w:val="Heading4"/>
        <w:numPr>
          <w:ilvl w:val="0"/>
          <w:numId w:val="13"/>
        </w:numPr>
        <w:tabs>
          <w:tab w:pos="519" w:val="left" w:leader="none"/>
        </w:tabs>
        <w:spacing w:line="240" w:lineRule="auto" w:before="1" w:after="0"/>
        <w:ind w:left="519" w:right="0" w:hanging="359"/>
        <w:jc w:val="left"/>
      </w:pPr>
      <w:bookmarkStart w:name="A. PURPOSE FOR SUBMISSION" w:id="74"/>
      <w:bookmarkEnd w:id="74"/>
      <w:r>
        <w:rPr>
          <w:b w:val="0"/>
        </w:rPr>
      </w:r>
      <w:r>
        <w:rPr/>
        <w:t>PURPOSE</w:t>
      </w:r>
      <w:r>
        <w:rPr>
          <w:spacing w:val="-4"/>
        </w:rPr>
        <w:t> </w:t>
      </w:r>
      <w:r>
        <w:rPr/>
        <w:t>FOR</w:t>
      </w:r>
      <w:r>
        <w:rPr>
          <w:spacing w:val="-3"/>
        </w:rPr>
        <w:t> </w:t>
      </w:r>
      <w:r>
        <w:rPr>
          <w:spacing w:val="-2"/>
        </w:rPr>
        <w:t>SUBMISSION</w:t>
      </w:r>
    </w:p>
    <w:p>
      <w:pPr>
        <w:spacing w:before="120"/>
        <w:ind w:left="520" w:right="250" w:firstLine="0"/>
        <w:jc w:val="left"/>
        <w:rPr>
          <w:sz w:val="24"/>
        </w:rPr>
      </w:pPr>
      <w:r>
        <w:rPr>
          <w:sz w:val="24"/>
        </w:rPr>
        <w:t>Emergency</w:t>
      </w:r>
      <w:r>
        <w:rPr>
          <w:spacing w:val="-3"/>
          <w:sz w:val="24"/>
        </w:rPr>
        <w:t> </w:t>
      </w:r>
      <w:r>
        <w:rPr>
          <w:sz w:val="24"/>
        </w:rPr>
        <w:t>Use</w:t>
      </w:r>
      <w:r>
        <w:rPr>
          <w:spacing w:val="-3"/>
          <w:sz w:val="24"/>
        </w:rPr>
        <w:t> </w:t>
      </w:r>
      <w:r>
        <w:rPr>
          <w:sz w:val="24"/>
        </w:rPr>
        <w:t>Authorization</w:t>
      </w:r>
      <w:r>
        <w:rPr>
          <w:spacing w:val="-5"/>
          <w:sz w:val="24"/>
        </w:rPr>
        <w:t> </w:t>
      </w:r>
      <w:r>
        <w:rPr>
          <w:sz w:val="24"/>
        </w:rPr>
        <w:t>(EUA)</w:t>
      </w:r>
      <w:r>
        <w:rPr>
          <w:spacing w:val="-3"/>
          <w:sz w:val="24"/>
        </w:rPr>
        <w:t> </w:t>
      </w:r>
      <w:r>
        <w:rPr>
          <w:sz w:val="24"/>
        </w:rPr>
        <w:t>request</w:t>
      </w:r>
      <w:r>
        <w:rPr>
          <w:spacing w:val="-3"/>
          <w:sz w:val="24"/>
        </w:rPr>
        <w:t> </w:t>
      </w:r>
      <w:r>
        <w:rPr>
          <w:sz w:val="24"/>
        </w:rPr>
        <w:t>for</w:t>
      </w:r>
      <w:r>
        <w:rPr>
          <w:spacing w:val="-4"/>
          <w:sz w:val="24"/>
        </w:rPr>
        <w:t> </w:t>
      </w:r>
      <w:r>
        <w:rPr>
          <w:sz w:val="24"/>
        </w:rPr>
        <w:t>distribution</w:t>
      </w:r>
      <w:r>
        <w:rPr>
          <w:spacing w:val="-5"/>
          <w:sz w:val="24"/>
        </w:rPr>
        <w:t> </w:t>
      </w:r>
      <w:r>
        <w:rPr>
          <w:sz w:val="24"/>
        </w:rPr>
        <w:t>of</w:t>
      </w:r>
      <w:r>
        <w:rPr>
          <w:spacing w:val="-4"/>
          <w:sz w:val="24"/>
        </w:rPr>
        <w:t> </w:t>
      </w:r>
      <w:r>
        <w:rPr>
          <w:sz w:val="24"/>
        </w:rPr>
        <w:t>the</w:t>
      </w:r>
      <w:r>
        <w:rPr>
          <w:spacing w:val="-3"/>
          <w:sz w:val="24"/>
        </w:rPr>
        <w:t> </w:t>
      </w:r>
      <w:r>
        <w:rPr>
          <w:rFonts w:ascii="TimesNewRomanPS-BoldItalicMT" w:hAnsi="TimesNewRomanPS-BoldItalicMT"/>
          <w:b/>
          <w:i/>
          <w:color w:val="000000"/>
          <w:sz w:val="24"/>
          <w:shd w:fill="FFFF00" w:color="auto" w:val="clear"/>
        </w:rPr>
        <w:t>[test</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name]</w:t>
      </w:r>
      <w:r>
        <w:rPr>
          <w:rFonts w:ascii="TimesNewRomanPS-BoldItalicMT" w:hAnsi="TimesNewRomanPS-BoldItalicMT"/>
          <w:b/>
          <w:i/>
          <w:color w:val="000000"/>
          <w:spacing w:val="-4"/>
          <w:sz w:val="24"/>
        </w:rPr>
        <w:t> </w:t>
      </w:r>
      <w:r>
        <w:rPr>
          <w:color w:val="000000"/>
          <w:sz w:val="24"/>
        </w:rPr>
        <w:t>in</w:t>
      </w:r>
      <w:r>
        <w:rPr>
          <w:color w:val="000000"/>
          <w:spacing w:val="-3"/>
          <w:sz w:val="24"/>
        </w:rPr>
        <w:t> </w:t>
      </w:r>
      <w:r>
        <w:rPr>
          <w:rFonts w:ascii="TimesNewRomanPS-BoldItalicMT" w:hAnsi="TimesNewRomanPS-BoldItalicMT"/>
          <w:b/>
          <w:i/>
          <w:color w:val="000000"/>
          <w:sz w:val="24"/>
          <w:shd w:fill="FFFF00" w:color="auto" w:val="clear"/>
        </w:rPr>
        <w:t>[indicate</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labs e.g., U.S. laboratories certified under the Clinical Laboratory Improvement</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Amendments</w:t>
      </w:r>
      <w:r>
        <w:rPr>
          <w:rFonts w:ascii="TimesNewRomanPS-BoldItalicMT" w:hAnsi="TimesNewRomanPS-BoldItalicMT"/>
          <w:b/>
          <w:i/>
          <w:color w:val="000000"/>
          <w:spacing w:val="-2"/>
          <w:sz w:val="24"/>
          <w:shd w:fill="FFFF00" w:color="auto" w:val="clear"/>
        </w:rPr>
        <w:t> </w:t>
      </w:r>
      <w:r>
        <w:rPr>
          <w:rFonts w:ascii="TimesNewRomanPS-BoldItalicMT" w:hAnsi="TimesNewRomanPS-BoldItalicMT"/>
          <w:b/>
          <w:i/>
          <w:color w:val="000000"/>
          <w:sz w:val="24"/>
          <w:shd w:fill="FFFF00" w:color="auto" w:val="clear"/>
        </w:rPr>
        <w:t>of</w:t>
      </w:r>
      <w:r>
        <w:rPr>
          <w:rFonts w:ascii="TimesNewRomanPS-BoldItalicMT" w:hAnsi="TimesNewRomanPS-BoldItalicMT"/>
          <w:b/>
          <w:i/>
          <w:color w:val="000000"/>
          <w:spacing w:val="-2"/>
          <w:sz w:val="24"/>
          <w:shd w:fill="FFFF00" w:color="auto" w:val="clear"/>
        </w:rPr>
        <w:t> </w:t>
      </w:r>
      <w:r>
        <w:rPr>
          <w:rFonts w:ascii="TimesNewRomanPS-BoldItalicMT" w:hAnsi="TimesNewRomanPS-BoldItalicMT"/>
          <w:b/>
          <w:i/>
          <w:color w:val="000000"/>
          <w:sz w:val="24"/>
          <w:shd w:fill="FFFF00" w:color="auto" w:val="clear"/>
        </w:rPr>
        <w:t>1988</w:t>
      </w:r>
      <w:r>
        <w:rPr>
          <w:rFonts w:ascii="TimesNewRomanPS-BoldItalicMT" w:hAnsi="TimesNewRomanPS-BoldItalicMT"/>
          <w:b/>
          <w:i/>
          <w:color w:val="000000"/>
          <w:spacing w:val="-2"/>
          <w:sz w:val="24"/>
          <w:shd w:fill="FFFF00" w:color="auto" w:val="clear"/>
        </w:rPr>
        <w:t> </w:t>
      </w:r>
      <w:r>
        <w:rPr>
          <w:rFonts w:ascii="TimesNewRomanPS-BoldItalicMT" w:hAnsi="TimesNewRomanPS-BoldItalicMT"/>
          <w:b/>
          <w:i/>
          <w:color w:val="000000"/>
          <w:sz w:val="24"/>
          <w:shd w:fill="FFFF00" w:color="auto" w:val="clear"/>
        </w:rPr>
        <w:t>(CLIA),</w:t>
      </w:r>
      <w:r>
        <w:rPr>
          <w:rFonts w:ascii="TimesNewRomanPS-BoldItalicMT" w:hAnsi="TimesNewRomanPS-BoldItalicMT"/>
          <w:b/>
          <w:i/>
          <w:color w:val="000000"/>
          <w:spacing w:val="-2"/>
          <w:sz w:val="24"/>
          <w:shd w:fill="FFFF00" w:color="auto" w:val="clear"/>
        </w:rPr>
        <w:t> </w:t>
      </w:r>
      <w:r>
        <w:rPr>
          <w:rFonts w:ascii="TimesNewRomanPS-BoldItalicMT" w:hAnsi="TimesNewRomanPS-BoldItalicMT"/>
          <w:b/>
          <w:i/>
          <w:color w:val="000000"/>
          <w:sz w:val="24"/>
          <w:shd w:fill="FFFF00" w:color="auto" w:val="clear"/>
        </w:rPr>
        <w:t>42</w:t>
      </w:r>
      <w:r>
        <w:rPr>
          <w:rFonts w:ascii="TimesNewRomanPS-BoldItalicMT" w:hAnsi="TimesNewRomanPS-BoldItalicMT"/>
          <w:b/>
          <w:i/>
          <w:color w:val="000000"/>
          <w:spacing w:val="-2"/>
          <w:sz w:val="24"/>
          <w:shd w:fill="FFFF00" w:color="auto" w:val="clear"/>
        </w:rPr>
        <w:t> </w:t>
      </w:r>
      <w:r>
        <w:rPr>
          <w:rFonts w:ascii="TimesNewRomanPS-BoldItalicMT" w:hAnsi="TimesNewRomanPS-BoldItalicMT"/>
          <w:b/>
          <w:i/>
          <w:color w:val="000000"/>
          <w:sz w:val="24"/>
          <w:shd w:fill="FFFF00" w:color="auto" w:val="clear"/>
        </w:rPr>
        <w:t>U.S.C.</w:t>
      </w:r>
      <w:r>
        <w:rPr>
          <w:rFonts w:ascii="TimesNewRomanPS-BoldItalicMT" w:hAnsi="TimesNewRomanPS-BoldItalicMT"/>
          <w:b/>
          <w:i/>
          <w:color w:val="000000"/>
          <w:spacing w:val="-2"/>
          <w:sz w:val="24"/>
          <w:shd w:fill="FFFF00" w:color="auto" w:val="clear"/>
        </w:rPr>
        <w:t> </w:t>
      </w:r>
      <w:r>
        <w:rPr>
          <w:rFonts w:ascii="TimesNewRomanPS-BoldItalicMT" w:hAnsi="TimesNewRomanPS-BoldItalicMT"/>
          <w:b/>
          <w:i/>
          <w:color w:val="000000"/>
          <w:sz w:val="24"/>
          <w:shd w:fill="FFFF00" w:color="auto" w:val="clear"/>
        </w:rPr>
        <w:t>§263a,</w:t>
      </w:r>
      <w:r>
        <w:rPr>
          <w:rFonts w:ascii="TimesNewRomanPS-BoldItalicMT" w:hAnsi="TimesNewRomanPS-BoldItalicMT"/>
          <w:b/>
          <w:i/>
          <w:color w:val="000000"/>
          <w:spacing w:val="-1"/>
          <w:sz w:val="24"/>
          <w:shd w:fill="FFFF00" w:color="auto" w:val="clear"/>
        </w:rPr>
        <w:t> </w:t>
      </w:r>
      <w:r>
        <w:rPr>
          <w:rFonts w:ascii="TimesNewRomanPS-BoldItalicMT" w:hAnsi="TimesNewRomanPS-BoldItalicMT"/>
          <w:b/>
          <w:i/>
          <w:color w:val="000000"/>
          <w:sz w:val="24"/>
          <w:shd w:fill="FFFF00" w:color="auto" w:val="clear"/>
        </w:rPr>
        <w:t>to</w:t>
      </w:r>
      <w:r>
        <w:rPr>
          <w:rFonts w:ascii="TimesNewRomanPS-BoldItalicMT" w:hAnsi="TimesNewRomanPS-BoldItalicMT"/>
          <w:b/>
          <w:i/>
          <w:color w:val="000000"/>
          <w:spacing w:val="-2"/>
          <w:sz w:val="24"/>
          <w:shd w:fill="FFFF00" w:color="auto" w:val="clear"/>
        </w:rPr>
        <w:t> </w:t>
      </w:r>
      <w:r>
        <w:rPr>
          <w:rFonts w:ascii="TimesNewRomanPS-BoldItalicMT" w:hAnsi="TimesNewRomanPS-BoldItalicMT"/>
          <w:b/>
          <w:i/>
          <w:color w:val="000000"/>
          <w:sz w:val="24"/>
          <w:shd w:fill="FFFF00" w:color="auto" w:val="clear"/>
        </w:rPr>
        <w:t>perform</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moderate</w:t>
      </w:r>
      <w:r>
        <w:rPr>
          <w:rFonts w:ascii="TimesNewRomanPS-BoldItalicMT" w:hAnsi="TimesNewRomanPS-BoldItalicMT"/>
          <w:b/>
          <w:i/>
          <w:color w:val="000000"/>
          <w:spacing w:val="-2"/>
          <w:sz w:val="24"/>
          <w:shd w:fill="FFFF00" w:color="auto" w:val="clear"/>
        </w:rPr>
        <w:t> </w:t>
      </w:r>
      <w:r>
        <w:rPr>
          <w:rFonts w:ascii="TimesNewRomanPS-BoldItalicMT" w:hAnsi="TimesNewRomanPS-BoldItalicMT"/>
          <w:b/>
          <w:i/>
          <w:color w:val="000000"/>
          <w:sz w:val="24"/>
          <w:shd w:fill="FFFF00" w:color="auto" w:val="clear"/>
        </w:rPr>
        <w:t>complexity</w:t>
      </w:r>
      <w:r>
        <w:rPr>
          <w:rFonts w:ascii="TimesNewRomanPS-BoldItalicMT" w:hAnsi="TimesNewRomanPS-BoldItalicMT"/>
          <w:b/>
          <w:i/>
          <w:color w:val="000000"/>
          <w:spacing w:val="-2"/>
          <w:sz w:val="24"/>
          <w:shd w:fill="FFFF00" w:color="auto" w:val="clear"/>
        </w:rPr>
        <w:t> </w:t>
      </w:r>
      <w:r>
        <w:rPr>
          <w:rFonts w:ascii="TimesNewRomanPS-BoldItalicMT" w:hAnsi="TimesNewRomanPS-BoldItalicMT"/>
          <w:b/>
          <w:i/>
          <w:color w:val="000000"/>
          <w:sz w:val="24"/>
          <w:shd w:fill="FFFF00" w:color="auto" w:val="clear"/>
        </w:rPr>
        <w:t>and</w:t>
      </w:r>
      <w:r>
        <w:rPr>
          <w:rFonts w:ascii="TimesNewRomanPS-BoldItalicMT" w:hAnsi="TimesNewRomanPS-BoldItalicMT"/>
          <w:b/>
          <w:i/>
          <w:color w:val="000000"/>
          <w:spacing w:val="-2"/>
          <w:sz w:val="24"/>
          <w:shd w:fill="FFFF00" w:color="auto" w:val="clear"/>
        </w:rPr>
        <w:t> </w:t>
      </w:r>
      <w:r>
        <w:rPr>
          <w:rFonts w:ascii="TimesNewRomanPS-BoldItalicMT" w:hAnsi="TimesNewRomanPS-BoldItalicMT"/>
          <w:b/>
          <w:i/>
          <w:color w:val="000000"/>
          <w:sz w:val="24"/>
          <w:shd w:fill="FFFF00" w:color="auto" w:val="clear"/>
        </w:rPr>
        <w:t>high</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complexity tests, and U.S. laboratories certified under CLIA to perform high complexity</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tests, and as applicable, for near patient testing, or point of care use]</w:t>
      </w:r>
      <w:r>
        <w:rPr>
          <w:color w:val="000000"/>
          <w:sz w:val="24"/>
          <w:shd w:fill="FFFF00" w:color="auto" w:val="clear"/>
        </w:rPr>
        <w:t>,</w:t>
      </w:r>
      <w:r>
        <w:rPr>
          <w:color w:val="000000"/>
          <w:sz w:val="24"/>
        </w:rPr>
        <w:t> for the detection of </w:t>
      </w:r>
      <w:r>
        <w:rPr>
          <w:rFonts w:ascii="TimesNewRomanPS-BoldItalicMT" w:hAnsi="TimesNewRomanPS-BoldItalicMT"/>
          <w:b/>
          <w:i/>
          <w:color w:val="000000"/>
          <w:sz w:val="24"/>
          <w:shd w:fill="FFFF00" w:color="auto" w:val="clear"/>
        </w:rPr>
        <w:t>[specify types of antibodies e.g., IgM, IgG, total]</w:t>
      </w:r>
      <w:r>
        <w:rPr>
          <w:rFonts w:ascii="TimesNewRomanPS-BoldItalicMT" w:hAnsi="TimesNewRomanPS-BoldItalicMT"/>
          <w:b/>
          <w:i/>
          <w:color w:val="000000"/>
          <w:sz w:val="24"/>
        </w:rPr>
        <w:t> </w:t>
      </w:r>
      <w:r>
        <w:rPr>
          <w:color w:val="000000"/>
          <w:sz w:val="24"/>
        </w:rPr>
        <w:t>antibodies to SARS-CoV-2 in </w:t>
      </w:r>
      <w:r>
        <w:rPr>
          <w:rFonts w:ascii="TimesNewRomanPS-BoldItalicMT" w:hAnsi="TimesNewRomanPS-BoldItalicMT"/>
          <w:b/>
          <w:i/>
          <w:color w:val="000000"/>
          <w:sz w:val="24"/>
          <w:shd w:fill="FFFF00" w:color="auto" w:val="clear"/>
        </w:rPr>
        <w:t>[specify</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matrices]</w:t>
      </w:r>
      <w:r>
        <w:rPr>
          <w:rFonts w:ascii="TimesNewRomanPS-BoldItalicMT" w:hAnsi="TimesNewRomanPS-BoldItalicMT"/>
          <w:b/>
          <w:i/>
          <w:color w:val="000000"/>
          <w:sz w:val="24"/>
        </w:rPr>
        <w:t> </w:t>
      </w:r>
      <w:r>
        <w:rPr>
          <w:color w:val="000000"/>
          <w:sz w:val="24"/>
        </w:rPr>
        <w:t>from individuals with current or prior COVID-19 infection.</w:t>
      </w:r>
    </w:p>
    <w:p>
      <w:pPr>
        <w:spacing w:after="0"/>
        <w:jc w:val="left"/>
        <w:rPr>
          <w:sz w:val="24"/>
        </w:rPr>
        <w:sectPr>
          <w:pgSz w:w="12240" w:h="15840"/>
          <w:pgMar w:header="731" w:footer="785" w:top="1360" w:bottom="980" w:left="1280" w:right="1200"/>
        </w:sectPr>
      </w:pPr>
    </w:p>
    <w:p>
      <w:pPr>
        <w:pStyle w:val="Heading4"/>
        <w:numPr>
          <w:ilvl w:val="0"/>
          <w:numId w:val="13"/>
        </w:numPr>
        <w:tabs>
          <w:tab w:pos="519" w:val="left" w:leader="none"/>
        </w:tabs>
        <w:spacing w:line="240" w:lineRule="auto" w:before="80" w:after="0"/>
        <w:ind w:left="519" w:right="0" w:hanging="359"/>
        <w:jc w:val="left"/>
      </w:pPr>
      <w:bookmarkStart w:name="B. MEASURAND" w:id="75"/>
      <w:bookmarkEnd w:id="75"/>
      <w:r>
        <w:rPr>
          <w:b w:val="0"/>
        </w:rPr>
      </w:r>
      <w:r>
        <w:rPr>
          <w:spacing w:val="-2"/>
        </w:rPr>
        <w:t>MEASURAND</w:t>
      </w:r>
    </w:p>
    <w:p>
      <w:pPr>
        <w:pStyle w:val="Heading6"/>
        <w:spacing w:before="120"/>
        <w:ind w:left="520"/>
      </w:pPr>
      <w:r>
        <w:rPr>
          <w:color w:val="000000"/>
          <w:shd w:fill="FFFF00" w:color="auto" w:val="clear"/>
        </w:rPr>
        <w:t>[Specify</w:t>
      </w:r>
      <w:r>
        <w:rPr>
          <w:color w:val="000000"/>
          <w:spacing w:val="-2"/>
          <w:shd w:fill="FFFF00" w:color="auto" w:val="clear"/>
        </w:rPr>
        <w:t> </w:t>
      </w:r>
      <w:r>
        <w:rPr>
          <w:color w:val="000000"/>
          <w:shd w:fill="FFFF00" w:color="auto" w:val="clear"/>
        </w:rPr>
        <w:t>what</w:t>
      </w:r>
      <w:r>
        <w:rPr>
          <w:color w:val="000000"/>
          <w:spacing w:val="-2"/>
          <w:shd w:fill="FFFF00" w:color="auto" w:val="clear"/>
        </w:rPr>
        <w:t> </w:t>
      </w:r>
      <w:r>
        <w:rPr>
          <w:color w:val="000000"/>
          <w:shd w:fill="FFFF00" w:color="auto" w:val="clear"/>
        </w:rPr>
        <w:t>the</w:t>
      </w:r>
      <w:r>
        <w:rPr>
          <w:color w:val="000000"/>
          <w:spacing w:val="-2"/>
          <w:shd w:fill="FFFF00" w:color="auto" w:val="clear"/>
        </w:rPr>
        <w:t> </w:t>
      </w:r>
      <w:r>
        <w:rPr>
          <w:color w:val="000000"/>
          <w:shd w:fill="FFFF00" w:color="auto" w:val="clear"/>
        </w:rPr>
        <w:t>test</w:t>
      </w:r>
      <w:r>
        <w:rPr>
          <w:color w:val="000000"/>
          <w:spacing w:val="-2"/>
          <w:shd w:fill="FFFF00" w:color="auto" w:val="clear"/>
        </w:rPr>
        <w:t> </w:t>
      </w:r>
      <w:r>
        <w:rPr>
          <w:color w:val="000000"/>
          <w:shd w:fill="FFFF00" w:color="auto" w:val="clear"/>
        </w:rPr>
        <w:t>detects</w:t>
      </w:r>
      <w:r>
        <w:rPr>
          <w:color w:val="000000"/>
          <w:spacing w:val="-2"/>
          <w:shd w:fill="FFFF00" w:color="auto" w:val="clear"/>
        </w:rPr>
        <w:t> </w:t>
      </w:r>
      <w:r>
        <w:rPr>
          <w:color w:val="000000"/>
          <w:shd w:fill="FFFF00" w:color="auto" w:val="clear"/>
        </w:rPr>
        <w:t>and</w:t>
      </w:r>
      <w:r>
        <w:rPr>
          <w:color w:val="000000"/>
          <w:spacing w:val="-2"/>
          <w:shd w:fill="FFFF00" w:color="auto" w:val="clear"/>
        </w:rPr>
        <w:t> </w:t>
      </w:r>
      <w:r>
        <w:rPr>
          <w:color w:val="000000"/>
          <w:shd w:fill="FFFF00" w:color="auto" w:val="clear"/>
        </w:rPr>
        <w:t>whether</w:t>
      </w:r>
      <w:r>
        <w:rPr>
          <w:color w:val="000000"/>
          <w:spacing w:val="-2"/>
          <w:shd w:fill="FFFF00" w:color="auto" w:val="clear"/>
        </w:rPr>
        <w:t> </w:t>
      </w:r>
      <w:r>
        <w:rPr>
          <w:color w:val="000000"/>
          <w:shd w:fill="FFFF00" w:color="auto" w:val="clear"/>
        </w:rPr>
        <w:t>it</w:t>
      </w:r>
      <w:r>
        <w:rPr>
          <w:color w:val="000000"/>
          <w:spacing w:val="-3"/>
          <w:shd w:fill="FFFF00" w:color="auto" w:val="clear"/>
        </w:rPr>
        <w:t> </w:t>
      </w:r>
      <w:r>
        <w:rPr>
          <w:color w:val="000000"/>
          <w:shd w:fill="FFFF00" w:color="auto" w:val="clear"/>
        </w:rPr>
        <w:t>can</w:t>
      </w:r>
      <w:r>
        <w:rPr>
          <w:color w:val="000000"/>
          <w:spacing w:val="-3"/>
          <w:shd w:fill="FFFF00" w:color="auto" w:val="clear"/>
        </w:rPr>
        <w:t> </w:t>
      </w:r>
      <w:r>
        <w:rPr>
          <w:color w:val="000000"/>
          <w:shd w:fill="FFFF00" w:color="auto" w:val="clear"/>
        </w:rPr>
        <w:t>differentiate</w:t>
      </w:r>
      <w:r>
        <w:rPr>
          <w:color w:val="000000"/>
          <w:spacing w:val="-2"/>
          <w:shd w:fill="FFFF00" w:color="auto" w:val="clear"/>
        </w:rPr>
        <w:t> </w:t>
      </w:r>
      <w:r>
        <w:rPr>
          <w:color w:val="000000"/>
          <w:shd w:fill="FFFF00" w:color="auto" w:val="clear"/>
        </w:rPr>
        <w:t>between</w:t>
      </w:r>
      <w:r>
        <w:rPr>
          <w:color w:val="000000"/>
          <w:spacing w:val="-4"/>
          <w:shd w:fill="FFFF00" w:color="auto" w:val="clear"/>
        </w:rPr>
        <w:t> </w:t>
      </w:r>
      <w:r>
        <w:rPr>
          <w:color w:val="000000"/>
          <w:shd w:fill="FFFF00" w:color="auto" w:val="clear"/>
        </w:rPr>
        <w:t>IgM</w:t>
      </w:r>
      <w:r>
        <w:rPr>
          <w:color w:val="000000"/>
          <w:spacing w:val="-2"/>
          <w:shd w:fill="FFFF00" w:color="auto" w:val="clear"/>
        </w:rPr>
        <w:t> </w:t>
      </w:r>
      <w:r>
        <w:rPr>
          <w:color w:val="000000"/>
          <w:shd w:fill="FFFF00" w:color="auto" w:val="clear"/>
        </w:rPr>
        <w:t>and</w:t>
      </w:r>
      <w:r>
        <w:rPr>
          <w:color w:val="000000"/>
          <w:spacing w:val="-2"/>
          <w:shd w:fill="FFFF00" w:color="auto" w:val="clear"/>
        </w:rPr>
        <w:t> </w:t>
      </w:r>
      <w:r>
        <w:rPr>
          <w:color w:val="000000"/>
          <w:shd w:fill="FFFF00" w:color="auto" w:val="clear"/>
        </w:rPr>
        <w:t>IgG</w:t>
      </w:r>
      <w:r>
        <w:rPr>
          <w:color w:val="000000"/>
          <w:spacing w:val="-3"/>
          <w:shd w:fill="FFFF00" w:color="auto" w:val="clear"/>
        </w:rPr>
        <w:t> </w:t>
      </w:r>
      <w:r>
        <w:rPr>
          <w:color w:val="000000"/>
          <w:shd w:fill="FFFF00" w:color="auto" w:val="clear"/>
        </w:rPr>
        <w:t>or</w:t>
      </w:r>
      <w:r>
        <w:rPr>
          <w:color w:val="000000"/>
          <w:spacing w:val="-2"/>
          <w:shd w:fill="FFFF00" w:color="auto" w:val="clear"/>
        </w:rPr>
        <w:t> </w:t>
      </w:r>
      <w:r>
        <w:rPr>
          <w:color w:val="000000"/>
          <w:shd w:fill="FFFF00" w:color="auto" w:val="clear"/>
        </w:rPr>
        <w:t>if</w:t>
      </w:r>
      <w:r>
        <w:rPr>
          <w:color w:val="000000"/>
          <w:spacing w:val="-2"/>
          <w:shd w:fill="FFFF00" w:color="auto" w:val="clear"/>
        </w:rPr>
        <w:t> </w:t>
      </w:r>
      <w:r>
        <w:rPr>
          <w:color w:val="000000"/>
          <w:shd w:fill="FFFF00" w:color="auto" w:val="clear"/>
        </w:rPr>
        <w:t>it</w:t>
      </w:r>
      <w:r>
        <w:rPr>
          <w:color w:val="000000"/>
        </w:rPr>
        <w:t> </w:t>
      </w:r>
      <w:bookmarkStart w:name="C. APPLICANT" w:id="76"/>
      <w:bookmarkEnd w:id="76"/>
      <w:r>
        <w:rPr>
          <w:color w:val="000000"/>
        </w:rPr>
      </w:r>
      <w:r>
        <w:rPr>
          <w:color w:val="000000"/>
          <w:shd w:fill="FFFF00" w:color="auto" w:val="clear"/>
        </w:rPr>
        <w:t>detects total antibody without differentiation.]</w:t>
      </w:r>
    </w:p>
    <w:p>
      <w:pPr>
        <w:pStyle w:val="BodyText"/>
        <w:spacing w:before="9"/>
        <w:rPr>
          <w:rFonts w:ascii="TimesNewRomanPS-BoldItalicMT"/>
          <w:b/>
          <w:i/>
          <w:sz w:val="20"/>
        </w:rPr>
      </w:pPr>
    </w:p>
    <w:p>
      <w:pPr>
        <w:pStyle w:val="Heading4"/>
        <w:numPr>
          <w:ilvl w:val="0"/>
          <w:numId w:val="13"/>
        </w:numPr>
        <w:tabs>
          <w:tab w:pos="519" w:val="left" w:leader="none"/>
        </w:tabs>
        <w:spacing w:line="240" w:lineRule="auto" w:before="1" w:after="0"/>
        <w:ind w:left="519" w:right="0" w:hanging="359"/>
        <w:jc w:val="left"/>
      </w:pPr>
      <w:r>
        <w:rPr>
          <w:spacing w:val="-2"/>
        </w:rPr>
        <w:t>APPLICANT</w:t>
      </w:r>
    </w:p>
    <w:p>
      <w:pPr>
        <w:pStyle w:val="Heading6"/>
        <w:spacing w:before="120"/>
        <w:ind w:left="520"/>
      </w:pPr>
      <w:bookmarkStart w:name="D. PROPRIETARY AND ESTABLISHED NAMES" w:id="77"/>
      <w:bookmarkEnd w:id="77"/>
      <w:r>
        <w:rPr>
          <w:b w:val="0"/>
          <w:i w:val="0"/>
        </w:rPr>
      </w:r>
      <w:r>
        <w:rPr>
          <w:rFonts w:ascii="Times New Roman"/>
          <w:i w:val="0"/>
          <w:color w:val="000000"/>
          <w:shd w:fill="FFFF00" w:color="auto" w:val="clear"/>
        </w:rPr>
        <w:t>[</w:t>
      </w:r>
      <w:r>
        <w:rPr>
          <w:color w:val="000000"/>
          <w:shd w:fill="FFFF00" w:color="auto" w:val="clear"/>
        </w:rPr>
        <w:t>Official</w:t>
      </w:r>
      <w:r>
        <w:rPr>
          <w:color w:val="000000"/>
          <w:spacing w:val="-2"/>
          <w:shd w:fill="FFFF00" w:color="auto" w:val="clear"/>
        </w:rPr>
        <w:t> </w:t>
      </w:r>
      <w:r>
        <w:rPr>
          <w:color w:val="000000"/>
          <w:shd w:fill="FFFF00" w:color="auto" w:val="clear"/>
        </w:rPr>
        <w:t>name,</w:t>
      </w:r>
      <w:r>
        <w:rPr>
          <w:color w:val="000000"/>
          <w:spacing w:val="-1"/>
          <w:shd w:fill="FFFF00" w:color="auto" w:val="clear"/>
        </w:rPr>
        <w:t> </w:t>
      </w:r>
      <w:r>
        <w:rPr>
          <w:color w:val="000000"/>
          <w:shd w:fill="FFFF00" w:color="auto" w:val="clear"/>
        </w:rPr>
        <w:t>address</w:t>
      </w:r>
      <w:r>
        <w:rPr>
          <w:color w:val="000000"/>
          <w:spacing w:val="-3"/>
          <w:shd w:fill="FFFF00" w:color="auto" w:val="clear"/>
        </w:rPr>
        <w:t> </w:t>
      </w:r>
      <w:r>
        <w:rPr>
          <w:color w:val="000000"/>
          <w:shd w:fill="FFFF00" w:color="auto" w:val="clear"/>
        </w:rPr>
        <w:t>and</w:t>
      </w:r>
      <w:r>
        <w:rPr>
          <w:color w:val="000000"/>
          <w:spacing w:val="-1"/>
          <w:shd w:fill="FFFF00" w:color="auto" w:val="clear"/>
        </w:rPr>
        <w:t> </w:t>
      </w:r>
      <w:r>
        <w:rPr>
          <w:color w:val="000000"/>
          <w:shd w:fill="FFFF00" w:color="auto" w:val="clear"/>
        </w:rPr>
        <w:t>contact</w:t>
      </w:r>
      <w:r>
        <w:rPr>
          <w:color w:val="000000"/>
          <w:spacing w:val="-3"/>
          <w:shd w:fill="FFFF00" w:color="auto" w:val="clear"/>
        </w:rPr>
        <w:t> </w:t>
      </w:r>
      <w:r>
        <w:rPr>
          <w:color w:val="000000"/>
          <w:shd w:fill="FFFF00" w:color="auto" w:val="clear"/>
        </w:rPr>
        <w:t>information</w:t>
      </w:r>
      <w:r>
        <w:rPr>
          <w:color w:val="000000"/>
          <w:spacing w:val="-3"/>
          <w:shd w:fill="FFFF00" w:color="auto" w:val="clear"/>
        </w:rPr>
        <w:t> </w:t>
      </w:r>
      <w:r>
        <w:rPr>
          <w:color w:val="000000"/>
          <w:shd w:fill="FFFF00" w:color="auto" w:val="clear"/>
        </w:rPr>
        <w:t>of</w:t>
      </w:r>
      <w:r>
        <w:rPr>
          <w:color w:val="000000"/>
          <w:spacing w:val="-1"/>
          <w:shd w:fill="FFFF00" w:color="auto" w:val="clear"/>
        </w:rPr>
        <w:t> </w:t>
      </w:r>
      <w:r>
        <w:rPr>
          <w:color w:val="000000"/>
          <w:spacing w:val="-2"/>
          <w:shd w:fill="FFFF00" w:color="auto" w:val="clear"/>
        </w:rPr>
        <w:t>applicant]</w:t>
      </w:r>
    </w:p>
    <w:p>
      <w:pPr>
        <w:pStyle w:val="BodyText"/>
        <w:spacing w:before="9"/>
        <w:rPr>
          <w:rFonts w:ascii="TimesNewRomanPS-BoldItalicMT"/>
          <w:b/>
          <w:i/>
          <w:sz w:val="20"/>
        </w:rPr>
      </w:pPr>
    </w:p>
    <w:p>
      <w:pPr>
        <w:pStyle w:val="Heading4"/>
        <w:numPr>
          <w:ilvl w:val="0"/>
          <w:numId w:val="13"/>
        </w:numPr>
        <w:tabs>
          <w:tab w:pos="519" w:val="left" w:leader="none"/>
        </w:tabs>
        <w:spacing w:line="240" w:lineRule="auto" w:before="1" w:after="0"/>
        <w:ind w:left="519" w:right="0" w:hanging="359"/>
        <w:jc w:val="left"/>
      </w:pPr>
      <w:r>
        <w:rPr/>
        <w:t>PROPRIETARY</w:t>
      </w:r>
      <w:r>
        <w:rPr>
          <w:spacing w:val="-7"/>
        </w:rPr>
        <w:t> </w:t>
      </w:r>
      <w:r>
        <w:rPr/>
        <w:t>AND</w:t>
      </w:r>
      <w:r>
        <w:rPr>
          <w:spacing w:val="-5"/>
        </w:rPr>
        <w:t> </w:t>
      </w:r>
      <w:r>
        <w:rPr/>
        <w:t>ESTABLISHED</w:t>
      </w:r>
      <w:r>
        <w:rPr>
          <w:spacing w:val="-4"/>
        </w:rPr>
        <w:t> </w:t>
      </w:r>
      <w:r>
        <w:rPr>
          <w:spacing w:val="-2"/>
        </w:rPr>
        <w:t>NAMES</w:t>
      </w:r>
    </w:p>
    <w:p>
      <w:pPr>
        <w:spacing w:before="120"/>
        <w:ind w:left="520" w:right="0" w:firstLine="0"/>
        <w:jc w:val="left"/>
        <w:rPr>
          <w:rFonts w:ascii="TimesNewRomanPS-BoldItalicMT"/>
          <w:b/>
          <w:i/>
          <w:sz w:val="24"/>
        </w:rPr>
      </w:pPr>
      <w:r>
        <w:rPr>
          <w:sz w:val="24"/>
        </w:rPr>
        <w:t>Proprietary</w:t>
      </w:r>
      <w:r>
        <w:rPr>
          <w:spacing w:val="-4"/>
          <w:sz w:val="24"/>
        </w:rPr>
        <w:t> </w:t>
      </w:r>
      <w:r>
        <w:rPr>
          <w:sz w:val="24"/>
        </w:rPr>
        <w:t>Name:</w:t>
      </w:r>
      <w:r>
        <w:rPr>
          <w:spacing w:val="-2"/>
          <w:sz w:val="24"/>
        </w:rPr>
        <w:t> </w:t>
      </w:r>
      <w:r>
        <w:rPr>
          <w:rFonts w:ascii="TimesNewRomanPS-BoldItalicMT"/>
          <w:b/>
          <w:i/>
          <w:color w:val="000000"/>
          <w:sz w:val="24"/>
          <w:shd w:fill="FFFF00" w:color="auto" w:val="clear"/>
        </w:rPr>
        <w:t>[test</w:t>
      </w:r>
      <w:r>
        <w:rPr>
          <w:rFonts w:ascii="TimesNewRomanPS-BoldItalicMT"/>
          <w:b/>
          <w:i/>
          <w:color w:val="000000"/>
          <w:spacing w:val="-2"/>
          <w:sz w:val="24"/>
          <w:shd w:fill="FFFF00" w:color="auto" w:val="clear"/>
        </w:rPr>
        <w:t> </w:t>
      </w:r>
      <w:r>
        <w:rPr>
          <w:rFonts w:ascii="TimesNewRomanPS-BoldItalicMT"/>
          <w:b/>
          <w:i/>
          <w:color w:val="000000"/>
          <w:spacing w:val="-4"/>
          <w:sz w:val="24"/>
          <w:shd w:fill="FFFF00" w:color="auto" w:val="clear"/>
        </w:rPr>
        <w:t>name]</w:t>
      </w:r>
    </w:p>
    <w:p>
      <w:pPr>
        <w:spacing w:before="0"/>
        <w:ind w:left="520" w:right="0" w:firstLine="0"/>
        <w:jc w:val="left"/>
        <w:rPr>
          <w:rFonts w:ascii="TimesNewRomanPS-BoldItalicMT"/>
          <w:b/>
          <w:i/>
          <w:sz w:val="24"/>
        </w:rPr>
      </w:pPr>
      <w:bookmarkStart w:name="E. REGULATORY INFORMATION" w:id="78"/>
      <w:bookmarkEnd w:id="78"/>
      <w:r>
        <w:rPr/>
      </w:r>
      <w:r>
        <w:rPr>
          <w:sz w:val="24"/>
        </w:rPr>
        <w:t>Established</w:t>
      </w:r>
      <w:r>
        <w:rPr>
          <w:spacing w:val="-4"/>
          <w:sz w:val="24"/>
        </w:rPr>
        <w:t> </w:t>
      </w:r>
      <w:r>
        <w:rPr>
          <w:sz w:val="24"/>
        </w:rPr>
        <w:t>Name</w:t>
      </w:r>
      <w:r>
        <w:rPr>
          <w:spacing w:val="-1"/>
          <w:sz w:val="24"/>
        </w:rPr>
        <w:t> </w:t>
      </w:r>
      <w:r>
        <w:rPr>
          <w:sz w:val="24"/>
        </w:rPr>
        <w:t>-</w:t>
      </w:r>
      <w:r>
        <w:rPr>
          <w:spacing w:val="-1"/>
          <w:sz w:val="24"/>
        </w:rPr>
        <w:t> </w:t>
      </w:r>
      <w:r>
        <w:rPr>
          <w:rFonts w:ascii="TimesNewRomanPS-BoldItalicMT"/>
          <w:b/>
          <w:i/>
          <w:color w:val="000000"/>
          <w:sz w:val="24"/>
          <w:shd w:fill="FFFF00" w:color="auto" w:val="clear"/>
        </w:rPr>
        <w:t>[test</w:t>
      </w:r>
      <w:r>
        <w:rPr>
          <w:rFonts w:ascii="TimesNewRomanPS-BoldItalicMT"/>
          <w:b/>
          <w:i/>
          <w:color w:val="000000"/>
          <w:spacing w:val="-2"/>
          <w:sz w:val="24"/>
          <w:shd w:fill="FFFF00" w:color="auto" w:val="clear"/>
        </w:rPr>
        <w:t> name]</w:t>
      </w:r>
    </w:p>
    <w:p>
      <w:pPr>
        <w:pStyle w:val="BodyText"/>
        <w:spacing w:before="10"/>
        <w:rPr>
          <w:rFonts w:ascii="TimesNewRomanPS-BoldItalicMT"/>
          <w:b/>
          <w:i/>
          <w:sz w:val="20"/>
        </w:rPr>
      </w:pPr>
    </w:p>
    <w:p>
      <w:pPr>
        <w:pStyle w:val="Heading4"/>
        <w:numPr>
          <w:ilvl w:val="0"/>
          <w:numId w:val="13"/>
        </w:numPr>
        <w:tabs>
          <w:tab w:pos="519" w:val="left" w:leader="none"/>
        </w:tabs>
        <w:spacing w:line="240" w:lineRule="auto" w:before="0" w:after="0"/>
        <w:ind w:left="519" w:right="0" w:hanging="359"/>
        <w:jc w:val="left"/>
      </w:pPr>
      <w:r>
        <w:rPr/>
        <w:t>REGULATORY</w:t>
      </w:r>
      <w:r>
        <w:rPr>
          <w:spacing w:val="-6"/>
        </w:rPr>
        <w:t> </w:t>
      </w:r>
      <w:r>
        <w:rPr>
          <w:spacing w:val="-2"/>
        </w:rPr>
        <w:t>INFORMATION</w:t>
      </w:r>
    </w:p>
    <w:p>
      <w:pPr>
        <w:pStyle w:val="Heading6"/>
        <w:spacing w:before="120"/>
        <w:ind w:left="520"/>
      </w:pPr>
      <w:bookmarkStart w:name="Approval/Clearance Status:" w:id="79"/>
      <w:bookmarkEnd w:id="79"/>
      <w:r>
        <w:rPr>
          <w:b w:val="0"/>
          <w:i w:val="0"/>
        </w:rPr>
      </w:r>
      <w:r>
        <w:rPr/>
        <w:t>Approval/Clearance</w:t>
      </w:r>
      <w:r>
        <w:rPr>
          <w:spacing w:val="-5"/>
        </w:rPr>
        <w:t> </w:t>
      </w:r>
      <w:r>
        <w:rPr>
          <w:spacing w:val="-2"/>
        </w:rPr>
        <w:t>Status:</w:t>
      </w:r>
    </w:p>
    <w:p>
      <w:pPr>
        <w:pStyle w:val="BodyText"/>
        <w:ind w:left="520" w:right="278"/>
      </w:pPr>
      <w:r>
        <w:rPr/>
        <w:t>The</w:t>
      </w:r>
      <w:r>
        <w:rPr>
          <w:spacing w:val="-3"/>
        </w:rPr>
        <w:t> </w:t>
      </w:r>
      <w:r>
        <w:rPr>
          <w:rFonts w:ascii="TimesNewRomanPS-BoldItalicMT"/>
          <w:b/>
          <w:i/>
          <w:color w:val="000000"/>
          <w:shd w:fill="FFFF00" w:color="auto" w:val="clear"/>
        </w:rPr>
        <w:t>[test</w:t>
      </w:r>
      <w:r>
        <w:rPr>
          <w:rFonts w:ascii="TimesNewRomanPS-BoldItalicMT"/>
          <w:b/>
          <w:i/>
          <w:color w:val="000000"/>
          <w:spacing w:val="-3"/>
          <w:shd w:fill="FFFF00" w:color="auto" w:val="clear"/>
        </w:rPr>
        <w:t> </w:t>
      </w:r>
      <w:r>
        <w:rPr>
          <w:rFonts w:ascii="TimesNewRomanPS-BoldItalicMT"/>
          <w:b/>
          <w:i/>
          <w:color w:val="000000"/>
          <w:shd w:fill="FFFF00" w:color="auto" w:val="clear"/>
        </w:rPr>
        <w:t>name</w:t>
      </w:r>
      <w:r>
        <w:rPr>
          <w:rFonts w:ascii="TimesNewRomanPS-BoldItalicMT"/>
          <w:b/>
          <w:i/>
          <w:color w:val="000000"/>
        </w:rPr>
        <w:t>]</w:t>
      </w:r>
      <w:r>
        <w:rPr>
          <w:rFonts w:ascii="TimesNewRomanPS-BoldItalicMT"/>
          <w:b/>
          <w:i/>
          <w:color w:val="000000"/>
          <w:spacing w:val="-4"/>
        </w:rPr>
        <w:t> </w:t>
      </w:r>
      <w:r>
        <w:rPr>
          <w:color w:val="000000"/>
        </w:rPr>
        <w:t>is</w:t>
      </w:r>
      <w:r>
        <w:rPr>
          <w:color w:val="000000"/>
          <w:spacing w:val="-3"/>
        </w:rPr>
        <w:t> </w:t>
      </w:r>
      <w:r>
        <w:rPr>
          <w:color w:val="000000"/>
        </w:rPr>
        <w:t>not</w:t>
      </w:r>
      <w:r>
        <w:rPr>
          <w:color w:val="000000"/>
          <w:spacing w:val="-3"/>
        </w:rPr>
        <w:t> </w:t>
      </w:r>
      <w:r>
        <w:rPr>
          <w:color w:val="000000"/>
        </w:rPr>
        <w:t>cleared,</w:t>
      </w:r>
      <w:r>
        <w:rPr>
          <w:color w:val="000000"/>
          <w:spacing w:val="-3"/>
        </w:rPr>
        <w:t> </w:t>
      </w:r>
      <w:r>
        <w:rPr>
          <w:color w:val="000000"/>
        </w:rPr>
        <w:t>CLIA</w:t>
      </w:r>
      <w:r>
        <w:rPr>
          <w:color w:val="000000"/>
          <w:spacing w:val="-5"/>
        </w:rPr>
        <w:t> </w:t>
      </w:r>
      <w:r>
        <w:rPr>
          <w:color w:val="000000"/>
        </w:rPr>
        <w:t>waived,</w:t>
      </w:r>
      <w:r>
        <w:rPr>
          <w:color w:val="000000"/>
          <w:spacing w:val="-3"/>
        </w:rPr>
        <w:t> </w:t>
      </w:r>
      <w:r>
        <w:rPr>
          <w:color w:val="000000"/>
        </w:rPr>
        <w:t>approved,</w:t>
      </w:r>
      <w:r>
        <w:rPr>
          <w:color w:val="000000"/>
          <w:spacing w:val="-3"/>
        </w:rPr>
        <w:t> </w:t>
      </w:r>
      <w:r>
        <w:rPr>
          <w:color w:val="000000"/>
        </w:rPr>
        <w:t>or</w:t>
      </w:r>
      <w:r>
        <w:rPr>
          <w:color w:val="000000"/>
          <w:spacing w:val="-3"/>
        </w:rPr>
        <w:t> </w:t>
      </w:r>
      <w:r>
        <w:rPr>
          <w:color w:val="000000"/>
        </w:rPr>
        <w:t>subject</w:t>
      </w:r>
      <w:r>
        <w:rPr>
          <w:color w:val="000000"/>
          <w:spacing w:val="-4"/>
        </w:rPr>
        <w:t> </w:t>
      </w:r>
      <w:r>
        <w:rPr>
          <w:color w:val="000000"/>
        </w:rPr>
        <w:t>to</w:t>
      </w:r>
      <w:r>
        <w:rPr>
          <w:color w:val="000000"/>
          <w:spacing w:val="-3"/>
        </w:rPr>
        <w:t> </w:t>
      </w:r>
      <w:r>
        <w:rPr>
          <w:color w:val="000000"/>
        </w:rPr>
        <w:t>an</w:t>
      </w:r>
      <w:r>
        <w:rPr>
          <w:color w:val="000000"/>
          <w:spacing w:val="-3"/>
        </w:rPr>
        <w:t> </w:t>
      </w:r>
      <w:r>
        <w:rPr>
          <w:color w:val="000000"/>
        </w:rPr>
        <w:t>approved investigational device exemption.</w:t>
      </w:r>
    </w:p>
    <w:p>
      <w:pPr>
        <w:pStyle w:val="BodyText"/>
        <w:spacing w:before="10"/>
        <w:rPr>
          <w:sz w:val="20"/>
        </w:rPr>
      </w:pPr>
    </w:p>
    <w:p>
      <w:pPr>
        <w:pStyle w:val="Heading6"/>
        <w:spacing w:before="0"/>
        <w:ind w:left="520"/>
      </w:pPr>
      <w:bookmarkStart w:name="Product Code:" w:id="80"/>
      <w:bookmarkEnd w:id="80"/>
      <w:r>
        <w:rPr>
          <w:b w:val="0"/>
          <w:i w:val="0"/>
        </w:rPr>
      </w:r>
      <w:r>
        <w:rPr/>
        <w:t>Product</w:t>
      </w:r>
      <w:r>
        <w:rPr>
          <w:spacing w:val="-2"/>
        </w:rPr>
        <w:t> Code:</w:t>
      </w:r>
    </w:p>
    <w:p>
      <w:pPr>
        <w:pStyle w:val="BodyText"/>
        <w:spacing w:before="60"/>
        <w:ind w:left="519"/>
      </w:pPr>
      <w:bookmarkStart w:name="F. PROPOSED INTENDED USE" w:id="81"/>
      <w:bookmarkEnd w:id="81"/>
      <w:r>
        <w:rPr/>
      </w:r>
      <w:r>
        <w:rPr>
          <w:spacing w:val="-5"/>
        </w:rPr>
        <w:t>QKO</w:t>
      </w:r>
    </w:p>
    <w:p>
      <w:pPr>
        <w:pStyle w:val="BodyText"/>
        <w:spacing w:before="10"/>
        <w:rPr>
          <w:sz w:val="20"/>
        </w:rPr>
      </w:pPr>
    </w:p>
    <w:p>
      <w:pPr>
        <w:pStyle w:val="Heading4"/>
        <w:numPr>
          <w:ilvl w:val="0"/>
          <w:numId w:val="13"/>
        </w:numPr>
        <w:tabs>
          <w:tab w:pos="517" w:val="left" w:leader="none"/>
        </w:tabs>
        <w:spacing w:line="240" w:lineRule="auto" w:before="0" w:after="0"/>
        <w:ind w:left="517" w:right="0" w:hanging="358"/>
        <w:jc w:val="left"/>
      </w:pPr>
      <w:r>
        <w:rPr/>
        <w:t>PROPOSED</w:t>
      </w:r>
      <w:r>
        <w:rPr>
          <w:spacing w:val="-6"/>
        </w:rPr>
        <w:t> </w:t>
      </w:r>
      <w:r>
        <w:rPr/>
        <w:t>INTENDED</w:t>
      </w:r>
      <w:r>
        <w:rPr>
          <w:spacing w:val="-5"/>
        </w:rPr>
        <w:t> USE</w:t>
      </w:r>
    </w:p>
    <w:p>
      <w:pPr>
        <w:pStyle w:val="Heading6"/>
        <w:numPr>
          <w:ilvl w:val="1"/>
          <w:numId w:val="13"/>
        </w:numPr>
        <w:tabs>
          <w:tab w:pos="879" w:val="left" w:leader="none"/>
        </w:tabs>
        <w:spacing w:line="240" w:lineRule="auto" w:before="120" w:after="0"/>
        <w:ind w:left="879" w:right="0" w:hanging="359"/>
        <w:jc w:val="left"/>
      </w:pPr>
      <w:bookmarkStart w:name="1) Intended Use:" w:id="82"/>
      <w:bookmarkEnd w:id="82"/>
      <w:r>
        <w:rPr>
          <w:b w:val="0"/>
          <w:i w:val="0"/>
        </w:rPr>
      </w:r>
      <w:r>
        <w:rPr>
          <w:u w:val="thick"/>
        </w:rPr>
        <w:t>Intended</w:t>
      </w:r>
      <w:r>
        <w:rPr>
          <w:spacing w:val="-5"/>
          <w:u w:val="thick"/>
        </w:rPr>
        <w:t> </w:t>
      </w:r>
      <w:r>
        <w:rPr>
          <w:spacing w:val="-4"/>
          <w:u w:val="thick"/>
        </w:rPr>
        <w:t>Use:</w:t>
      </w:r>
    </w:p>
    <w:p>
      <w:pPr>
        <w:pStyle w:val="Heading5"/>
        <w:spacing w:before="60"/>
      </w:pPr>
      <w:r>
        <w:rPr/>
        <w:t>The</w:t>
      </w:r>
      <w:r>
        <w:rPr>
          <w:spacing w:val="-3"/>
        </w:rPr>
        <w:t> </w:t>
      </w:r>
      <w:r>
        <w:rPr/>
        <w:t>proposed</w:t>
      </w:r>
      <w:r>
        <w:rPr>
          <w:spacing w:val="-4"/>
        </w:rPr>
        <w:t> </w:t>
      </w:r>
      <w:r>
        <w:rPr/>
        <w:t>IU</w:t>
      </w:r>
      <w:r>
        <w:rPr>
          <w:spacing w:val="-3"/>
        </w:rPr>
        <w:t> </w:t>
      </w:r>
      <w:r>
        <w:rPr/>
        <w:t>will</w:t>
      </w:r>
      <w:r>
        <w:rPr>
          <w:spacing w:val="-3"/>
        </w:rPr>
        <w:t> </w:t>
      </w:r>
      <w:r>
        <w:rPr/>
        <w:t>be</w:t>
      </w:r>
      <w:r>
        <w:rPr>
          <w:spacing w:val="-3"/>
        </w:rPr>
        <w:t> </w:t>
      </w:r>
      <w:r>
        <w:rPr/>
        <w:t>finalized</w:t>
      </w:r>
      <w:r>
        <w:rPr>
          <w:spacing w:val="-3"/>
        </w:rPr>
        <w:t> </w:t>
      </w:r>
      <w:r>
        <w:rPr/>
        <w:t>based</w:t>
      </w:r>
      <w:r>
        <w:rPr>
          <w:spacing w:val="-4"/>
        </w:rPr>
        <w:t> </w:t>
      </w:r>
      <w:r>
        <w:rPr/>
        <w:t>on</w:t>
      </w:r>
      <w:r>
        <w:rPr>
          <w:spacing w:val="-4"/>
        </w:rPr>
        <w:t> </w:t>
      </w:r>
      <w:r>
        <w:rPr/>
        <w:t>the</w:t>
      </w:r>
      <w:r>
        <w:rPr>
          <w:spacing w:val="-3"/>
        </w:rPr>
        <w:t> </w:t>
      </w:r>
      <w:r>
        <w:rPr/>
        <w:t>data</w:t>
      </w:r>
      <w:r>
        <w:rPr>
          <w:spacing w:val="-3"/>
        </w:rPr>
        <w:t> </w:t>
      </w:r>
      <w:r>
        <w:rPr/>
        <w:t>provided</w:t>
      </w:r>
      <w:r>
        <w:rPr>
          <w:spacing w:val="-4"/>
        </w:rPr>
        <w:t> </w:t>
      </w:r>
      <w:r>
        <w:rPr/>
        <w:t>at</w:t>
      </w:r>
      <w:r>
        <w:rPr>
          <w:spacing w:val="-3"/>
        </w:rPr>
        <w:t> </w:t>
      </w:r>
      <w:r>
        <w:rPr/>
        <w:t>the</w:t>
      </w:r>
      <w:r>
        <w:rPr>
          <w:spacing w:val="-3"/>
        </w:rPr>
        <w:t> </w:t>
      </w:r>
      <w:r>
        <w:rPr/>
        <w:t>time</w:t>
      </w:r>
      <w:r>
        <w:rPr>
          <w:spacing w:val="-3"/>
        </w:rPr>
        <w:t> </w:t>
      </w:r>
      <w:r>
        <w:rPr/>
        <w:t>of </w:t>
      </w:r>
      <w:r>
        <w:rPr>
          <w:spacing w:val="-2"/>
        </w:rPr>
        <w:t>authorization.</w:t>
      </w:r>
    </w:p>
    <w:p>
      <w:pPr>
        <w:pStyle w:val="BodyText"/>
        <w:spacing w:before="2"/>
        <w:rPr>
          <w:b/>
          <w:sz w:val="16"/>
        </w:rPr>
      </w:pPr>
    </w:p>
    <w:p>
      <w:pPr>
        <w:spacing w:before="90"/>
        <w:ind w:left="880" w:right="278" w:firstLine="0"/>
        <w:jc w:val="left"/>
        <w:rPr>
          <w:rFonts w:ascii="TimesNewRomanPS-BoldItalicMT"/>
          <w:b/>
          <w:i/>
          <w:sz w:val="24"/>
        </w:rPr>
      </w:pPr>
      <w:r>
        <w:rPr>
          <w:sz w:val="24"/>
        </w:rPr>
        <w:t>The </w:t>
      </w:r>
      <w:r>
        <w:rPr>
          <w:rFonts w:ascii="TimesNewRomanPS-BoldItalicMT"/>
          <w:b/>
          <w:i/>
          <w:color w:val="000000"/>
          <w:sz w:val="24"/>
          <w:shd w:fill="FFFF00" w:color="auto" w:val="clear"/>
        </w:rPr>
        <w:t>[test name]</w:t>
      </w:r>
      <w:r>
        <w:rPr>
          <w:rFonts w:ascii="TimesNewRomanPS-BoldItalicMT"/>
          <w:b/>
          <w:i/>
          <w:color w:val="000000"/>
          <w:sz w:val="24"/>
        </w:rPr>
        <w:t> </w:t>
      </w:r>
      <w:r>
        <w:rPr>
          <w:color w:val="000000"/>
          <w:sz w:val="24"/>
        </w:rPr>
        <w:t>is a </w:t>
      </w:r>
      <w:r>
        <w:rPr>
          <w:rFonts w:ascii="TimesNewRomanPS-BoldItalicMT"/>
          <w:b/>
          <w:i/>
          <w:color w:val="000000"/>
          <w:sz w:val="24"/>
          <w:shd w:fill="FFFF00" w:color="auto" w:val="clear"/>
        </w:rPr>
        <w:t>[specify technology e.g., Enzyme-Linked Immunosorbent Assay</w:t>
      </w:r>
      <w:r>
        <w:rPr>
          <w:rFonts w:ascii="TimesNewRomanPS-BoldItalicMT"/>
          <w:b/>
          <w:i/>
          <w:color w:val="000000"/>
          <w:sz w:val="24"/>
        </w:rPr>
        <w:t> </w:t>
      </w:r>
      <w:r>
        <w:rPr>
          <w:rFonts w:ascii="TimesNewRomanPS-BoldItalicMT"/>
          <w:b/>
          <w:i/>
          <w:color w:val="000000"/>
          <w:sz w:val="24"/>
          <w:shd w:fill="FFFF00" w:color="auto" w:val="clear"/>
        </w:rPr>
        <w:t>(ELISA)]</w:t>
      </w:r>
      <w:r>
        <w:rPr>
          <w:rFonts w:ascii="TimesNewRomanPS-BoldItalicMT"/>
          <w:b/>
          <w:i/>
          <w:color w:val="000000"/>
          <w:sz w:val="24"/>
        </w:rPr>
        <w:t> </w:t>
      </w:r>
      <w:r>
        <w:rPr>
          <w:color w:val="000000"/>
          <w:sz w:val="24"/>
        </w:rPr>
        <w:t>intended for qualitative </w:t>
      </w:r>
      <w:r>
        <w:rPr>
          <w:rFonts w:ascii="TimesNewRomanPS-BoldItalicMT"/>
          <w:b/>
          <w:i/>
          <w:color w:val="000000"/>
          <w:sz w:val="24"/>
          <w:shd w:fill="FFFF00" w:color="auto" w:val="clear"/>
        </w:rPr>
        <w:t>[or semi-quantitative or quantitative tests, if</w:t>
      </w:r>
      <w:r>
        <w:rPr>
          <w:rFonts w:ascii="TimesNewRomanPS-BoldItalicMT"/>
          <w:b/>
          <w:i/>
          <w:color w:val="000000"/>
          <w:sz w:val="24"/>
        </w:rPr>
        <w:t> </w:t>
      </w:r>
      <w:r>
        <w:rPr>
          <w:rFonts w:ascii="TimesNewRomanPS-BoldItalicMT"/>
          <w:b/>
          <w:i/>
          <w:color w:val="000000"/>
          <w:sz w:val="24"/>
          <w:shd w:fill="FFFF00" w:color="auto" w:val="clear"/>
        </w:rPr>
        <w:t>appropriate validation data is provided. Performance evaluations beyond what is</w:t>
      </w:r>
      <w:r>
        <w:rPr>
          <w:rFonts w:ascii="TimesNewRomanPS-BoldItalicMT"/>
          <w:b/>
          <w:i/>
          <w:color w:val="000000"/>
          <w:sz w:val="24"/>
        </w:rPr>
        <w:t> </w:t>
      </w:r>
      <w:r>
        <w:rPr>
          <w:rFonts w:ascii="TimesNewRomanPS-BoldItalicMT"/>
          <w:b/>
          <w:i/>
          <w:color w:val="000000"/>
          <w:sz w:val="24"/>
          <w:shd w:fill="FFFF00" w:color="auto" w:val="clear"/>
        </w:rPr>
        <w:t>currently</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described</w:t>
      </w:r>
      <w:r>
        <w:rPr>
          <w:rFonts w:ascii="TimesNewRomanPS-BoldItalicMT"/>
          <w:b/>
          <w:i/>
          <w:color w:val="000000"/>
          <w:spacing w:val="-5"/>
          <w:sz w:val="24"/>
          <w:shd w:fill="FFFF00" w:color="auto" w:val="clear"/>
        </w:rPr>
        <w:t> </w:t>
      </w:r>
      <w:r>
        <w:rPr>
          <w:rFonts w:ascii="TimesNewRomanPS-BoldItalicMT"/>
          <w:b/>
          <w:i/>
          <w:color w:val="000000"/>
          <w:sz w:val="24"/>
          <w:shd w:fill="FFFF00" w:color="auto" w:val="clear"/>
        </w:rPr>
        <w:t>in</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the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template</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may</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be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necessary]</w:t>
      </w:r>
      <w:r>
        <w:rPr>
          <w:rFonts w:ascii="TimesNewRomanPS-BoldItalicMT"/>
          <w:b/>
          <w:i/>
          <w:color w:val="000000"/>
          <w:spacing w:val="-3"/>
          <w:sz w:val="24"/>
        </w:rPr>
        <w:t> </w:t>
      </w:r>
      <w:r>
        <w:rPr>
          <w:color w:val="000000"/>
          <w:sz w:val="24"/>
        </w:rPr>
        <w:t>detection</w:t>
      </w:r>
      <w:r>
        <w:rPr>
          <w:color w:val="000000"/>
          <w:spacing w:val="-3"/>
          <w:sz w:val="24"/>
        </w:rPr>
        <w:t> </w:t>
      </w:r>
      <w:r>
        <w:rPr>
          <w:color w:val="000000"/>
          <w:sz w:val="24"/>
        </w:rPr>
        <w:t>of</w:t>
      </w:r>
      <w:r>
        <w:rPr>
          <w:color w:val="000000"/>
          <w:spacing w:val="-4"/>
          <w:sz w:val="24"/>
        </w:rPr>
        <w:t> </w:t>
      </w:r>
      <w:r>
        <w:rPr>
          <w:rFonts w:ascii="TimesNewRomanPS-BoldItalicMT"/>
          <w:b/>
          <w:i/>
          <w:color w:val="000000"/>
          <w:sz w:val="24"/>
          <w:shd w:fill="FFFF00" w:color="auto" w:val="clear"/>
        </w:rPr>
        <w:t>[specify</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the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antibody</w:t>
      </w:r>
      <w:r>
        <w:rPr>
          <w:rFonts w:ascii="TimesNewRomanPS-BoldItalicMT"/>
          <w:b/>
          <w:i/>
          <w:color w:val="000000"/>
          <w:sz w:val="24"/>
        </w:rPr>
        <w:t> </w:t>
      </w:r>
      <w:r>
        <w:rPr>
          <w:rFonts w:ascii="TimesNewRomanPS-BoldItalicMT"/>
          <w:b/>
          <w:i/>
          <w:color w:val="000000"/>
          <w:sz w:val="24"/>
          <w:shd w:fill="FFFF00" w:color="auto" w:val="clear"/>
        </w:rPr>
        <w:t>class or classes that are being detected, or indicate whether the test only detects total</w:t>
      </w:r>
      <w:r>
        <w:rPr>
          <w:rFonts w:ascii="TimesNewRomanPS-BoldItalicMT"/>
          <w:b/>
          <w:i/>
          <w:color w:val="000000"/>
          <w:sz w:val="24"/>
        </w:rPr>
        <w:t> </w:t>
      </w:r>
      <w:r>
        <w:rPr>
          <w:rFonts w:ascii="TimesNewRomanPS-BoldItalicMT"/>
          <w:b/>
          <w:i/>
          <w:color w:val="000000"/>
          <w:sz w:val="24"/>
          <w:shd w:fill="FFFF00" w:color="auto" w:val="clear"/>
        </w:rPr>
        <w:t>antibodies]</w:t>
      </w:r>
      <w:r>
        <w:rPr>
          <w:rFonts w:ascii="TimesNewRomanPS-BoldItalicMT"/>
          <w:b/>
          <w:i/>
          <w:color w:val="000000"/>
          <w:sz w:val="24"/>
        </w:rPr>
        <w:t> </w:t>
      </w:r>
      <w:r>
        <w:rPr>
          <w:color w:val="000000"/>
          <w:sz w:val="24"/>
        </w:rPr>
        <w:t>antibodies to SARS-CoV-2 in human </w:t>
      </w:r>
      <w:r>
        <w:rPr>
          <w:rFonts w:ascii="TimesNewRomanPS-BoldItalicMT"/>
          <w:b/>
          <w:i/>
          <w:color w:val="000000"/>
          <w:sz w:val="24"/>
          <w:shd w:fill="FFFF00" w:color="auto" w:val="clear"/>
        </w:rPr>
        <w:t>[specify matrices including</w:t>
      </w:r>
      <w:r>
        <w:rPr>
          <w:rFonts w:ascii="TimesNewRomanPS-BoldItalicMT"/>
          <w:b/>
          <w:i/>
          <w:color w:val="000000"/>
          <w:sz w:val="24"/>
        </w:rPr>
        <w:t> </w:t>
      </w:r>
      <w:r>
        <w:rPr>
          <w:rFonts w:ascii="TimesNewRomanPS-BoldItalicMT"/>
          <w:b/>
          <w:i/>
          <w:color w:val="000000"/>
          <w:sz w:val="24"/>
          <w:shd w:fill="FFFF00" w:color="auto" w:val="clear"/>
        </w:rPr>
        <w:t>anticoagulants]</w:t>
      </w:r>
      <w:r>
        <w:rPr>
          <w:color w:val="000000"/>
          <w:sz w:val="24"/>
        </w:rPr>
        <w:t>. The </w:t>
      </w:r>
      <w:r>
        <w:rPr>
          <w:rFonts w:ascii="TimesNewRomanPS-BoldItalicMT"/>
          <w:b/>
          <w:i/>
          <w:color w:val="000000"/>
          <w:sz w:val="24"/>
          <w:shd w:fill="FFFF00" w:color="auto" w:val="clear"/>
        </w:rPr>
        <w:t>[test name]</w:t>
      </w:r>
      <w:r>
        <w:rPr>
          <w:rFonts w:ascii="TimesNewRomanPS-BoldItalicMT"/>
          <w:b/>
          <w:i/>
          <w:color w:val="000000"/>
          <w:sz w:val="24"/>
        </w:rPr>
        <w:t> </w:t>
      </w:r>
      <w:r>
        <w:rPr>
          <w:color w:val="000000"/>
          <w:sz w:val="24"/>
        </w:rPr>
        <w:t>is intended for use as an aid in identifying individuals with an adaptive immune response to SARS-CoV-2, indicating recent or prior infection. At this time, it is unknown for how long antibodies persist following infection and if the presence of antibodies confers protective immunity. Testing is limited to </w:t>
      </w:r>
      <w:r>
        <w:rPr>
          <w:rFonts w:ascii="TimesNewRomanPS-BoldItalicMT"/>
          <w:b/>
          <w:i/>
          <w:color w:val="000000"/>
          <w:sz w:val="24"/>
          <w:shd w:fill="FFFF00" w:color="auto" w:val="clear"/>
        </w:rPr>
        <w:t>[laboratories</w:t>
      </w:r>
      <w:r>
        <w:rPr>
          <w:rFonts w:ascii="TimesNewRomanPS-BoldItalicMT"/>
          <w:b/>
          <w:i/>
          <w:color w:val="000000"/>
          <w:sz w:val="24"/>
        </w:rPr>
        <w:t> </w:t>
      </w:r>
      <w:r>
        <w:rPr>
          <w:rFonts w:ascii="TimesNewRomanPS-BoldItalicMT"/>
          <w:b/>
          <w:i/>
          <w:color w:val="000000"/>
          <w:sz w:val="24"/>
          <w:shd w:fill="FFFF00" w:color="auto" w:val="clear"/>
        </w:rPr>
        <w:t>certified under the Clinical Laboratory Improvement Amendments of 1988 (CLIA), 42</w:t>
      </w:r>
    </w:p>
    <w:p>
      <w:pPr>
        <w:pStyle w:val="Heading6"/>
        <w:spacing w:before="0"/>
        <w:ind w:right="278"/>
      </w:pPr>
      <w:r>
        <w:rPr>
          <w:color w:val="000000"/>
          <w:shd w:fill="FFFF00" w:color="auto" w:val="clear"/>
        </w:rPr>
        <w:t>U.S.C</w:t>
      </w:r>
      <w:r>
        <w:rPr>
          <w:color w:val="000000"/>
          <w:spacing w:val="-4"/>
          <w:shd w:fill="FFFF00" w:color="auto" w:val="clear"/>
        </w:rPr>
        <w:t> </w:t>
      </w:r>
      <w:r>
        <w:rPr>
          <w:color w:val="000000"/>
          <w:shd w:fill="FFFF00" w:color="auto" w:val="clear"/>
        </w:rPr>
        <w:t>263a,</w:t>
      </w:r>
      <w:r>
        <w:rPr>
          <w:color w:val="000000"/>
          <w:spacing w:val="-2"/>
          <w:shd w:fill="FFFF00" w:color="auto" w:val="clear"/>
        </w:rPr>
        <w:t> </w:t>
      </w:r>
      <w:r>
        <w:rPr>
          <w:color w:val="000000"/>
          <w:shd w:fill="FFFF00" w:color="auto" w:val="clear"/>
        </w:rPr>
        <w:t>to</w:t>
      </w:r>
      <w:r>
        <w:rPr>
          <w:color w:val="000000"/>
          <w:spacing w:val="-3"/>
          <w:shd w:fill="FFFF00" w:color="auto" w:val="clear"/>
        </w:rPr>
        <w:t> </w:t>
      </w:r>
      <w:r>
        <w:rPr>
          <w:color w:val="000000"/>
          <w:shd w:fill="FFFF00" w:color="auto" w:val="clear"/>
        </w:rPr>
        <w:t>perform</w:t>
      </w:r>
      <w:r>
        <w:rPr>
          <w:color w:val="000000"/>
          <w:spacing w:val="-4"/>
          <w:shd w:fill="FFFF00" w:color="auto" w:val="clear"/>
        </w:rPr>
        <w:t> </w:t>
      </w:r>
      <w:r>
        <w:rPr>
          <w:color w:val="000000"/>
          <w:shd w:fill="FFFF00" w:color="auto" w:val="clear"/>
        </w:rPr>
        <w:t>moderate</w:t>
      </w:r>
      <w:r>
        <w:rPr>
          <w:color w:val="000000"/>
          <w:spacing w:val="-3"/>
          <w:shd w:fill="FFFF00" w:color="auto" w:val="clear"/>
        </w:rPr>
        <w:t> </w:t>
      </w:r>
      <w:r>
        <w:rPr>
          <w:color w:val="000000"/>
          <w:shd w:fill="FFFF00" w:color="auto" w:val="clear"/>
        </w:rPr>
        <w:t>or</w:t>
      </w:r>
      <w:r>
        <w:rPr>
          <w:color w:val="000000"/>
          <w:spacing w:val="-4"/>
          <w:shd w:fill="FFFF00" w:color="auto" w:val="clear"/>
        </w:rPr>
        <w:t> </w:t>
      </w:r>
      <w:r>
        <w:rPr>
          <w:color w:val="000000"/>
          <w:shd w:fill="FFFF00" w:color="auto" w:val="clear"/>
        </w:rPr>
        <w:t>high</w:t>
      </w:r>
      <w:r>
        <w:rPr>
          <w:color w:val="000000"/>
          <w:spacing w:val="-4"/>
          <w:shd w:fill="FFFF00" w:color="auto" w:val="clear"/>
        </w:rPr>
        <w:t> </w:t>
      </w:r>
      <w:r>
        <w:rPr>
          <w:color w:val="000000"/>
          <w:shd w:fill="FFFF00" w:color="auto" w:val="clear"/>
        </w:rPr>
        <w:t>complexity</w:t>
      </w:r>
      <w:r>
        <w:rPr>
          <w:color w:val="000000"/>
          <w:spacing w:val="-4"/>
          <w:shd w:fill="FFFF00" w:color="auto" w:val="clear"/>
        </w:rPr>
        <w:t> </w:t>
      </w:r>
      <w:r>
        <w:rPr>
          <w:color w:val="000000"/>
          <w:shd w:fill="FFFF00" w:color="auto" w:val="clear"/>
        </w:rPr>
        <w:t>tests</w:t>
      </w:r>
      <w:r>
        <w:rPr>
          <w:color w:val="000000"/>
          <w:spacing w:val="-3"/>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as</w:t>
      </w:r>
      <w:r>
        <w:rPr>
          <w:color w:val="000000"/>
          <w:spacing w:val="-3"/>
          <w:shd w:fill="FFFF00" w:color="auto" w:val="clear"/>
        </w:rPr>
        <w:t> </w:t>
      </w:r>
      <w:r>
        <w:rPr>
          <w:color w:val="000000"/>
          <w:shd w:fill="FFFF00" w:color="auto" w:val="clear"/>
        </w:rPr>
        <w:t>applicable,</w:t>
      </w:r>
      <w:r>
        <w:rPr>
          <w:color w:val="000000"/>
          <w:spacing w:val="-3"/>
          <w:shd w:fill="FFFF00" w:color="auto" w:val="clear"/>
        </w:rPr>
        <w:t> </w:t>
      </w:r>
      <w:r>
        <w:rPr>
          <w:color w:val="000000"/>
          <w:shd w:fill="FFFF00" w:color="auto" w:val="clear"/>
        </w:rPr>
        <w:t>Point</w:t>
      </w:r>
      <w:r>
        <w:rPr>
          <w:color w:val="000000"/>
          <w:spacing w:val="-4"/>
          <w:shd w:fill="FFFF00" w:color="auto" w:val="clear"/>
        </w:rPr>
        <w:t> </w:t>
      </w:r>
      <w:r>
        <w:rPr>
          <w:color w:val="000000"/>
          <w:shd w:fill="FFFF00" w:color="auto" w:val="clear"/>
        </w:rPr>
        <w:t>of</w:t>
      </w:r>
      <w:r>
        <w:rPr>
          <w:color w:val="000000"/>
        </w:rPr>
        <w:t> </w:t>
      </w:r>
      <w:r>
        <w:rPr>
          <w:color w:val="000000"/>
          <w:shd w:fill="FFFF00" w:color="auto" w:val="clear"/>
        </w:rPr>
        <w:t>Care (POC) testing].</w:t>
      </w:r>
    </w:p>
    <w:p>
      <w:pPr>
        <w:pStyle w:val="BodyText"/>
        <w:spacing w:before="1"/>
        <w:rPr>
          <w:rFonts w:ascii="TimesNewRomanPS-BoldItalicMT"/>
          <w:b/>
          <w:i/>
          <w:sz w:val="16"/>
        </w:rPr>
      </w:pPr>
    </w:p>
    <w:p>
      <w:pPr>
        <w:pStyle w:val="BodyText"/>
        <w:spacing w:before="90"/>
        <w:ind w:left="879"/>
      </w:pPr>
      <w:r>
        <w:rPr/>
        <w:t>Results are for the detection of SARS CoV-2 antibodies.</w:t>
      </w:r>
      <w:r>
        <w:rPr>
          <w:rFonts w:ascii="TimesNewRomanPS-BoldItalicMT"/>
          <w:b/>
          <w:i/>
          <w:color w:val="000000"/>
          <w:shd w:fill="FFFF00" w:color="auto" w:val="clear"/>
        </w:rPr>
        <w:t> [Specify antibodies detected]</w:t>
      </w:r>
      <w:r>
        <w:rPr>
          <w:rFonts w:ascii="TimesNewRomanPS-BoldItalicMT"/>
          <w:b/>
          <w:i/>
          <w:color w:val="000000"/>
        </w:rPr>
        <w:t> </w:t>
      </w:r>
      <w:r>
        <w:rPr>
          <w:color w:val="000000"/>
        </w:rPr>
        <w:t>antibodies to SARS-CoV-2 are generally detectable in blood several days after initial infection, although the duration of time antibodies are present post-infection is not well characterized.</w:t>
      </w:r>
      <w:r>
        <w:rPr>
          <w:color w:val="000000"/>
          <w:spacing w:val="-4"/>
        </w:rPr>
        <w:t> </w:t>
      </w:r>
      <w:r>
        <w:rPr>
          <w:color w:val="000000"/>
        </w:rPr>
        <w:t>Individuals</w:t>
      </w:r>
      <w:r>
        <w:rPr>
          <w:color w:val="000000"/>
          <w:spacing w:val="-4"/>
        </w:rPr>
        <w:t> </w:t>
      </w:r>
      <w:r>
        <w:rPr>
          <w:color w:val="000000"/>
        </w:rPr>
        <w:t>may</w:t>
      </w:r>
      <w:r>
        <w:rPr>
          <w:color w:val="000000"/>
          <w:spacing w:val="-4"/>
        </w:rPr>
        <w:t> </w:t>
      </w:r>
      <w:r>
        <w:rPr>
          <w:color w:val="000000"/>
        </w:rPr>
        <w:t>have</w:t>
      </w:r>
      <w:r>
        <w:rPr>
          <w:color w:val="000000"/>
          <w:spacing w:val="-3"/>
        </w:rPr>
        <w:t> </w:t>
      </w:r>
      <w:r>
        <w:rPr>
          <w:color w:val="000000"/>
        </w:rPr>
        <w:t>detectable</w:t>
      </w:r>
      <w:r>
        <w:rPr>
          <w:color w:val="000000"/>
          <w:spacing w:val="-4"/>
        </w:rPr>
        <w:t> </w:t>
      </w:r>
      <w:r>
        <w:rPr>
          <w:color w:val="000000"/>
        </w:rPr>
        <w:t>virus</w:t>
      </w:r>
      <w:r>
        <w:rPr>
          <w:color w:val="000000"/>
          <w:spacing w:val="-4"/>
        </w:rPr>
        <w:t> </w:t>
      </w:r>
      <w:r>
        <w:rPr>
          <w:color w:val="000000"/>
        </w:rPr>
        <w:t>present</w:t>
      </w:r>
      <w:r>
        <w:rPr>
          <w:color w:val="000000"/>
          <w:spacing w:val="-4"/>
        </w:rPr>
        <w:t> </w:t>
      </w:r>
      <w:r>
        <w:rPr>
          <w:color w:val="000000"/>
        </w:rPr>
        <w:t>for</w:t>
      </w:r>
      <w:r>
        <w:rPr>
          <w:color w:val="000000"/>
          <w:spacing w:val="-4"/>
        </w:rPr>
        <w:t> </w:t>
      </w:r>
      <w:r>
        <w:rPr>
          <w:color w:val="000000"/>
        </w:rPr>
        <w:t>several</w:t>
      </w:r>
      <w:r>
        <w:rPr>
          <w:color w:val="000000"/>
          <w:spacing w:val="-4"/>
        </w:rPr>
        <w:t> </w:t>
      </w:r>
      <w:r>
        <w:rPr>
          <w:color w:val="000000"/>
        </w:rPr>
        <w:t>weeks</w:t>
      </w:r>
      <w:r>
        <w:rPr>
          <w:color w:val="000000"/>
          <w:spacing w:val="-4"/>
        </w:rPr>
        <w:t> </w:t>
      </w:r>
      <w:r>
        <w:rPr>
          <w:color w:val="000000"/>
        </w:rPr>
        <w:t>following </w:t>
      </w:r>
      <w:r>
        <w:rPr>
          <w:color w:val="000000"/>
          <w:spacing w:val="-2"/>
        </w:rPr>
        <w:t>seroconversion.</w:t>
      </w:r>
    </w:p>
    <w:p>
      <w:pPr>
        <w:spacing w:after="0"/>
        <w:sectPr>
          <w:pgSz w:w="12240" w:h="15840"/>
          <w:pgMar w:header="731" w:footer="785" w:top="1360" w:bottom="980" w:left="1280" w:right="1200"/>
        </w:sectPr>
      </w:pPr>
    </w:p>
    <w:p>
      <w:pPr>
        <w:pStyle w:val="BodyText"/>
        <w:spacing w:before="80"/>
        <w:ind w:left="880"/>
      </w:pPr>
      <w:r>
        <w:rPr/>
        <w:t>Laboratories</w:t>
      </w:r>
      <w:r>
        <w:rPr>
          <w:spacing w:val="-4"/>
        </w:rPr>
        <w:t> </w:t>
      </w:r>
      <w:r>
        <w:rPr/>
        <w:t>within</w:t>
      </w:r>
      <w:r>
        <w:rPr>
          <w:spacing w:val="-3"/>
        </w:rPr>
        <w:t> </w:t>
      </w:r>
      <w:r>
        <w:rPr/>
        <w:t>the</w:t>
      </w:r>
      <w:r>
        <w:rPr>
          <w:spacing w:val="-4"/>
        </w:rPr>
        <w:t> </w:t>
      </w:r>
      <w:r>
        <w:rPr/>
        <w:t>United</w:t>
      </w:r>
      <w:r>
        <w:rPr>
          <w:spacing w:val="-3"/>
        </w:rPr>
        <w:t> </w:t>
      </w:r>
      <w:r>
        <w:rPr/>
        <w:t>States</w:t>
      </w:r>
      <w:r>
        <w:rPr>
          <w:spacing w:val="-3"/>
        </w:rPr>
        <w:t> </w:t>
      </w:r>
      <w:r>
        <w:rPr/>
        <w:t>and</w:t>
      </w:r>
      <w:r>
        <w:rPr>
          <w:spacing w:val="-3"/>
        </w:rPr>
        <w:t> </w:t>
      </w:r>
      <w:r>
        <w:rPr/>
        <w:t>its</w:t>
      </w:r>
      <w:r>
        <w:rPr>
          <w:spacing w:val="-4"/>
        </w:rPr>
        <w:t> </w:t>
      </w:r>
      <w:r>
        <w:rPr/>
        <w:t>territories</w:t>
      </w:r>
      <w:r>
        <w:rPr>
          <w:spacing w:val="-3"/>
        </w:rPr>
        <w:t> </w:t>
      </w:r>
      <w:r>
        <w:rPr/>
        <w:t>are</w:t>
      </w:r>
      <w:r>
        <w:rPr>
          <w:spacing w:val="-3"/>
        </w:rPr>
        <w:t> </w:t>
      </w:r>
      <w:r>
        <w:rPr/>
        <w:t>required</w:t>
      </w:r>
      <w:r>
        <w:rPr>
          <w:spacing w:val="-5"/>
        </w:rPr>
        <w:t> </w:t>
      </w:r>
      <w:r>
        <w:rPr/>
        <w:t>to</w:t>
      </w:r>
      <w:r>
        <w:rPr>
          <w:spacing w:val="-3"/>
        </w:rPr>
        <w:t> </w:t>
      </w:r>
      <w:r>
        <w:rPr/>
        <w:t>report</w:t>
      </w:r>
      <w:r>
        <w:rPr>
          <w:spacing w:val="-3"/>
        </w:rPr>
        <w:t> </w:t>
      </w:r>
      <w:r>
        <w:rPr/>
        <w:t>all</w:t>
      </w:r>
      <w:r>
        <w:rPr>
          <w:spacing w:val="-3"/>
        </w:rPr>
        <w:t> </w:t>
      </w:r>
      <w:r>
        <w:rPr/>
        <w:t>positive results to the appropriate public health authorities.</w:t>
      </w:r>
    </w:p>
    <w:p>
      <w:pPr>
        <w:pStyle w:val="BodyText"/>
        <w:spacing w:before="2"/>
        <w:rPr>
          <w:sz w:val="16"/>
        </w:rPr>
      </w:pPr>
    </w:p>
    <w:p>
      <w:pPr>
        <w:spacing w:before="90"/>
        <w:ind w:left="879" w:right="278" w:firstLine="0"/>
        <w:jc w:val="left"/>
        <w:rPr>
          <w:sz w:val="24"/>
        </w:rPr>
      </w:pPr>
      <w:r>
        <w:rPr>
          <w:rFonts w:ascii="TimesNewRomanPS-BoldItalicMT"/>
          <w:b/>
          <w:i/>
          <w:color w:val="000000"/>
          <w:sz w:val="24"/>
          <w:shd w:fill="FFFF00" w:color="auto" w:val="clear"/>
        </w:rPr>
        <w:t>[As</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applicable,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the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sensitivity</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of</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[test</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name]</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early</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after</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infection</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is</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unknown.]</w:t>
      </w:r>
      <w:r>
        <w:rPr>
          <w:rFonts w:ascii="TimesNewRomanPS-BoldItalicMT"/>
          <w:b/>
          <w:i/>
          <w:color w:val="000000"/>
          <w:spacing w:val="-3"/>
          <w:sz w:val="24"/>
        </w:rPr>
        <w:t> </w:t>
      </w:r>
      <w:r>
        <w:rPr>
          <w:color w:val="000000"/>
          <w:sz w:val="24"/>
        </w:rPr>
        <w:t>Negative results do not preclude acute SARS-CoV-2 infection. If acute infection is suspected, direct testing for SARS-CoV-2 is necessary.</w:t>
      </w:r>
    </w:p>
    <w:p>
      <w:pPr>
        <w:pStyle w:val="BodyText"/>
        <w:spacing w:before="2"/>
        <w:rPr>
          <w:sz w:val="16"/>
        </w:rPr>
      </w:pPr>
    </w:p>
    <w:p>
      <w:pPr>
        <w:spacing w:before="90"/>
        <w:ind w:left="880" w:right="0" w:firstLine="0"/>
        <w:jc w:val="left"/>
        <w:rPr>
          <w:rFonts w:ascii="TimesNewRomanPS-BoldItalicMT"/>
          <w:b/>
          <w:i/>
          <w:sz w:val="24"/>
        </w:rPr>
      </w:pPr>
      <w:r>
        <w:rPr>
          <w:sz w:val="24"/>
        </w:rPr>
        <w:t>False</w:t>
      </w:r>
      <w:r>
        <w:rPr>
          <w:spacing w:val="-3"/>
          <w:sz w:val="24"/>
        </w:rPr>
        <w:t> </w:t>
      </w:r>
      <w:r>
        <w:rPr>
          <w:sz w:val="24"/>
        </w:rPr>
        <w:t>positive</w:t>
      </w:r>
      <w:r>
        <w:rPr>
          <w:spacing w:val="-3"/>
          <w:sz w:val="24"/>
        </w:rPr>
        <w:t> </w:t>
      </w:r>
      <w:r>
        <w:rPr>
          <w:sz w:val="24"/>
        </w:rPr>
        <w:t>results</w:t>
      </w:r>
      <w:r>
        <w:rPr>
          <w:spacing w:val="-3"/>
          <w:sz w:val="24"/>
        </w:rPr>
        <w:t> </w:t>
      </w:r>
      <w:r>
        <w:rPr>
          <w:sz w:val="24"/>
        </w:rPr>
        <w:t>for</w:t>
      </w:r>
      <w:r>
        <w:rPr>
          <w:spacing w:val="-4"/>
          <w:sz w:val="24"/>
        </w:rPr>
        <w:t> </w:t>
      </w:r>
      <w:r>
        <w:rPr>
          <w:rFonts w:ascii="TimesNewRomanPS-BoldItalicMT"/>
          <w:b/>
          <w:i/>
          <w:color w:val="000000"/>
          <w:sz w:val="24"/>
          <w:shd w:fill="FFFF00" w:color="auto" w:val="clear"/>
        </w:rPr>
        <w:t>[test</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name]</w:t>
      </w:r>
      <w:r>
        <w:rPr>
          <w:rFonts w:ascii="TimesNewRomanPS-BoldItalicMT"/>
          <w:b/>
          <w:i/>
          <w:color w:val="000000"/>
          <w:spacing w:val="-4"/>
          <w:sz w:val="24"/>
        </w:rPr>
        <w:t> </w:t>
      </w:r>
      <w:r>
        <w:rPr>
          <w:color w:val="000000"/>
          <w:sz w:val="24"/>
        </w:rPr>
        <w:t>may</w:t>
      </w:r>
      <w:r>
        <w:rPr>
          <w:color w:val="000000"/>
          <w:spacing w:val="-3"/>
          <w:sz w:val="24"/>
        </w:rPr>
        <w:t> </w:t>
      </w:r>
      <w:r>
        <w:rPr>
          <w:color w:val="000000"/>
          <w:sz w:val="24"/>
        </w:rPr>
        <w:t>occur</w:t>
      </w:r>
      <w:r>
        <w:rPr>
          <w:color w:val="000000"/>
          <w:spacing w:val="-3"/>
          <w:sz w:val="24"/>
        </w:rPr>
        <w:t> </w:t>
      </w:r>
      <w:r>
        <w:rPr>
          <w:color w:val="000000"/>
          <w:sz w:val="24"/>
        </w:rPr>
        <w:t>due</w:t>
      </w:r>
      <w:r>
        <w:rPr>
          <w:color w:val="000000"/>
          <w:spacing w:val="-3"/>
          <w:sz w:val="24"/>
        </w:rPr>
        <w:t> </w:t>
      </w:r>
      <w:r>
        <w:rPr>
          <w:color w:val="000000"/>
          <w:sz w:val="24"/>
        </w:rPr>
        <w:t>to</w:t>
      </w:r>
      <w:r>
        <w:rPr>
          <w:color w:val="000000"/>
          <w:spacing w:val="-3"/>
          <w:sz w:val="24"/>
        </w:rPr>
        <w:t> </w:t>
      </w:r>
      <w:r>
        <w:rPr>
          <w:color w:val="000000"/>
          <w:sz w:val="24"/>
        </w:rPr>
        <w:t>cross-reactivity</w:t>
      </w:r>
      <w:r>
        <w:rPr>
          <w:color w:val="000000"/>
          <w:spacing w:val="-3"/>
          <w:sz w:val="24"/>
        </w:rPr>
        <w:t> </w:t>
      </w:r>
      <w:r>
        <w:rPr>
          <w:color w:val="000000"/>
          <w:sz w:val="24"/>
        </w:rPr>
        <w:t>from</w:t>
      </w:r>
      <w:r>
        <w:rPr>
          <w:color w:val="000000"/>
          <w:spacing w:val="-4"/>
          <w:sz w:val="24"/>
        </w:rPr>
        <w:t> </w:t>
      </w:r>
      <w:r>
        <w:rPr>
          <w:color w:val="000000"/>
          <w:sz w:val="24"/>
        </w:rPr>
        <w:t>pre-existing antibodies or other possible causes. </w:t>
      </w:r>
      <w:r>
        <w:rPr>
          <w:rFonts w:ascii="TimesNewRomanPS-BoldItalicMT"/>
          <w:b/>
          <w:i/>
          <w:color w:val="000000"/>
          <w:sz w:val="24"/>
          <w:shd w:fill="FFFF00" w:color="auto" w:val="clear"/>
        </w:rPr>
        <w:t>[For lateral flow devices:</w:t>
      </w:r>
      <w:r>
        <w:rPr>
          <w:rFonts w:ascii="TimesNewRomanPS-BoldItalicMT"/>
          <w:b/>
          <w:i/>
          <w:color w:val="000000"/>
          <w:spacing w:val="40"/>
          <w:sz w:val="24"/>
          <w:shd w:fill="FFFF00" w:color="auto" w:val="clear"/>
        </w:rPr>
        <w:t> </w:t>
      </w:r>
      <w:r>
        <w:rPr>
          <w:rFonts w:ascii="TimesNewRomanPS-BoldItalicMT"/>
          <w:b/>
          <w:i/>
          <w:color w:val="000000"/>
          <w:sz w:val="24"/>
          <w:shd w:fill="FFFF00" w:color="auto" w:val="clear"/>
        </w:rPr>
        <w:t>Due to the risk of false</w:t>
      </w:r>
      <w:r>
        <w:rPr>
          <w:rFonts w:ascii="TimesNewRomanPS-BoldItalicMT"/>
          <w:b/>
          <w:i/>
          <w:color w:val="000000"/>
          <w:sz w:val="24"/>
        </w:rPr>
        <w:t> </w:t>
      </w:r>
      <w:r>
        <w:rPr>
          <w:rFonts w:ascii="TimesNewRomanPS-BoldItalicMT"/>
          <w:b/>
          <w:i/>
          <w:color w:val="000000"/>
          <w:sz w:val="24"/>
          <w:shd w:fill="FFFF00" w:color="auto" w:val="clear"/>
        </w:rPr>
        <w:t>positive results, confirmation of positive results should be considered using second,</w:t>
      </w:r>
      <w:r>
        <w:rPr>
          <w:rFonts w:ascii="TimesNewRomanPS-BoldItalicMT"/>
          <w:b/>
          <w:i/>
          <w:color w:val="000000"/>
          <w:sz w:val="24"/>
        </w:rPr>
        <w:t> </w:t>
      </w:r>
      <w:r>
        <w:rPr>
          <w:rFonts w:ascii="TimesNewRomanPS-BoldItalicMT"/>
          <w:b/>
          <w:i/>
          <w:color w:val="000000"/>
          <w:sz w:val="24"/>
          <w:shd w:fill="FFFF00" w:color="auto" w:val="clear"/>
        </w:rPr>
        <w:t>different [as appropriate, IgG or IgM] assay].</w:t>
      </w:r>
    </w:p>
    <w:p>
      <w:pPr>
        <w:pStyle w:val="BodyText"/>
        <w:spacing w:before="2"/>
        <w:rPr>
          <w:rFonts w:ascii="TimesNewRomanPS-BoldItalicMT"/>
          <w:b/>
          <w:i/>
          <w:sz w:val="16"/>
        </w:rPr>
      </w:pPr>
    </w:p>
    <w:p>
      <w:pPr>
        <w:pStyle w:val="BodyText"/>
        <w:spacing w:before="90"/>
        <w:ind w:left="880" w:right="556"/>
      </w:pPr>
      <w:r>
        <w:rPr/>
        <w:t>The</w:t>
      </w:r>
      <w:r>
        <w:rPr>
          <w:spacing w:val="-3"/>
        </w:rPr>
        <w:t> </w:t>
      </w:r>
      <w:r>
        <w:rPr>
          <w:rFonts w:ascii="TimesNewRomanPS-BoldItalicMT" w:hAnsi="TimesNewRomanPS-BoldItalicMT"/>
          <w:b/>
          <w:i/>
          <w:color w:val="000000"/>
          <w:shd w:fill="FFFF00" w:color="auto" w:val="clear"/>
        </w:rPr>
        <w:t>[test</w:t>
      </w:r>
      <w:r>
        <w:rPr>
          <w:rFonts w:ascii="TimesNewRomanPS-BoldItalicMT" w:hAnsi="TimesNewRomanPS-BoldItalicMT"/>
          <w:b/>
          <w:i/>
          <w:color w:val="000000"/>
          <w:spacing w:val="-3"/>
          <w:shd w:fill="FFFF00" w:color="auto" w:val="clear"/>
        </w:rPr>
        <w:t> </w:t>
      </w:r>
      <w:r>
        <w:rPr>
          <w:rFonts w:ascii="TimesNewRomanPS-BoldItalicMT" w:hAnsi="TimesNewRomanPS-BoldItalicMT"/>
          <w:b/>
          <w:i/>
          <w:color w:val="000000"/>
          <w:shd w:fill="FFFF00" w:color="auto" w:val="clear"/>
        </w:rPr>
        <w:t>name]</w:t>
      </w:r>
      <w:r>
        <w:rPr>
          <w:rFonts w:ascii="TimesNewRomanPS-BoldItalicMT" w:hAnsi="TimesNewRomanPS-BoldItalicMT"/>
          <w:b/>
          <w:i/>
          <w:color w:val="000000"/>
          <w:spacing w:val="-4"/>
        </w:rPr>
        <w:t> </w:t>
      </w:r>
      <w:r>
        <w:rPr>
          <w:color w:val="000000"/>
        </w:rPr>
        <w:t>is</w:t>
      </w:r>
      <w:r>
        <w:rPr>
          <w:color w:val="000000"/>
          <w:spacing w:val="-3"/>
        </w:rPr>
        <w:t> </w:t>
      </w:r>
      <w:r>
        <w:rPr>
          <w:color w:val="000000"/>
        </w:rPr>
        <w:t>only</w:t>
      </w:r>
      <w:r>
        <w:rPr>
          <w:color w:val="000000"/>
          <w:spacing w:val="-3"/>
        </w:rPr>
        <w:t> </w:t>
      </w:r>
      <w:r>
        <w:rPr>
          <w:color w:val="000000"/>
        </w:rPr>
        <w:t>for</w:t>
      </w:r>
      <w:r>
        <w:rPr>
          <w:color w:val="000000"/>
          <w:spacing w:val="-3"/>
        </w:rPr>
        <w:t> </w:t>
      </w:r>
      <w:r>
        <w:rPr>
          <w:color w:val="000000"/>
        </w:rPr>
        <w:t>use</w:t>
      </w:r>
      <w:r>
        <w:rPr>
          <w:color w:val="000000"/>
          <w:spacing w:val="-3"/>
        </w:rPr>
        <w:t> </w:t>
      </w:r>
      <w:r>
        <w:rPr>
          <w:color w:val="000000"/>
        </w:rPr>
        <w:t>under</w:t>
      </w:r>
      <w:r>
        <w:rPr>
          <w:color w:val="000000"/>
          <w:spacing w:val="-4"/>
        </w:rPr>
        <w:t> </w:t>
      </w:r>
      <w:r>
        <w:rPr>
          <w:color w:val="000000"/>
        </w:rPr>
        <w:t>the</w:t>
      </w:r>
      <w:r>
        <w:rPr>
          <w:color w:val="000000"/>
          <w:spacing w:val="-3"/>
        </w:rPr>
        <w:t> </w:t>
      </w:r>
      <w:r>
        <w:rPr>
          <w:color w:val="000000"/>
        </w:rPr>
        <w:t>Food</w:t>
      </w:r>
      <w:r>
        <w:rPr>
          <w:color w:val="000000"/>
          <w:spacing w:val="-3"/>
        </w:rPr>
        <w:t> </w:t>
      </w:r>
      <w:r>
        <w:rPr>
          <w:color w:val="000000"/>
        </w:rPr>
        <w:t>and</w:t>
      </w:r>
      <w:r>
        <w:rPr>
          <w:color w:val="000000"/>
          <w:spacing w:val="-3"/>
        </w:rPr>
        <w:t> </w:t>
      </w:r>
      <w:r>
        <w:rPr>
          <w:color w:val="000000"/>
        </w:rPr>
        <w:t>Drug</w:t>
      </w:r>
      <w:r>
        <w:rPr>
          <w:color w:val="000000"/>
          <w:spacing w:val="-3"/>
        </w:rPr>
        <w:t> </w:t>
      </w:r>
      <w:r>
        <w:rPr>
          <w:color w:val="000000"/>
        </w:rPr>
        <w:t>Administration’s</w:t>
      </w:r>
      <w:r>
        <w:rPr>
          <w:color w:val="000000"/>
          <w:spacing w:val="-4"/>
        </w:rPr>
        <w:t> </w:t>
      </w:r>
      <w:r>
        <w:rPr>
          <w:color w:val="000000"/>
        </w:rPr>
        <w:t>Emergency Use Authorization.</w:t>
      </w:r>
    </w:p>
    <w:p>
      <w:pPr>
        <w:pStyle w:val="BodyText"/>
      </w:pPr>
    </w:p>
    <w:p>
      <w:pPr>
        <w:pStyle w:val="Heading6"/>
        <w:numPr>
          <w:ilvl w:val="1"/>
          <w:numId w:val="13"/>
        </w:numPr>
        <w:tabs>
          <w:tab w:pos="879" w:val="left" w:leader="none"/>
        </w:tabs>
        <w:spacing w:line="240" w:lineRule="auto" w:before="0" w:after="0"/>
        <w:ind w:left="879" w:right="0" w:hanging="359"/>
        <w:jc w:val="left"/>
      </w:pPr>
      <w:bookmarkStart w:name="2) Special Conditions for Use Statements" w:id="83"/>
      <w:bookmarkEnd w:id="83"/>
      <w:r>
        <w:rPr>
          <w:b w:val="0"/>
          <w:i w:val="0"/>
        </w:rPr>
      </w:r>
      <w:r>
        <w:rPr>
          <w:u w:val="thick"/>
        </w:rPr>
        <w:t>Special</w:t>
      </w:r>
      <w:r>
        <w:rPr>
          <w:spacing w:val="-2"/>
          <w:u w:val="thick"/>
        </w:rPr>
        <w:t> </w:t>
      </w:r>
      <w:r>
        <w:rPr>
          <w:u w:val="thick"/>
        </w:rPr>
        <w:t>Conditions</w:t>
      </w:r>
      <w:r>
        <w:rPr>
          <w:spacing w:val="-2"/>
          <w:u w:val="thick"/>
        </w:rPr>
        <w:t> </w:t>
      </w:r>
      <w:r>
        <w:rPr>
          <w:u w:val="thick"/>
        </w:rPr>
        <w:t>for</w:t>
      </w:r>
      <w:r>
        <w:rPr>
          <w:spacing w:val="-3"/>
          <w:u w:val="thick"/>
        </w:rPr>
        <w:t> </w:t>
      </w:r>
      <w:r>
        <w:rPr>
          <w:u w:val="thick"/>
        </w:rPr>
        <w:t>Use</w:t>
      </w:r>
      <w:r>
        <w:rPr>
          <w:spacing w:val="-1"/>
          <w:u w:val="thick"/>
        </w:rPr>
        <w:t> </w:t>
      </w:r>
      <w:r>
        <w:rPr>
          <w:spacing w:val="-2"/>
          <w:u w:val="thick"/>
        </w:rPr>
        <w:t>Statements:</w:t>
      </w:r>
    </w:p>
    <w:p>
      <w:pPr>
        <w:pStyle w:val="BodyText"/>
        <w:spacing w:before="60"/>
        <w:ind w:left="880"/>
      </w:pPr>
      <w:r>
        <w:rPr/>
        <w:t>For</w:t>
      </w:r>
      <w:r>
        <w:rPr>
          <w:spacing w:val="-4"/>
        </w:rPr>
        <w:t> </w:t>
      </w:r>
      <w:r>
        <w:rPr/>
        <w:t>prescription</w:t>
      </w:r>
      <w:r>
        <w:rPr>
          <w:spacing w:val="-1"/>
        </w:rPr>
        <w:t> </w:t>
      </w:r>
      <w:r>
        <w:rPr/>
        <w:t>use</w:t>
      </w:r>
      <w:r>
        <w:rPr>
          <w:spacing w:val="-1"/>
        </w:rPr>
        <w:t> </w:t>
      </w:r>
      <w:r>
        <w:rPr>
          <w:spacing w:val="-4"/>
        </w:rPr>
        <w:t>only</w:t>
      </w:r>
    </w:p>
    <w:p>
      <w:pPr>
        <w:spacing w:before="0"/>
        <w:ind w:left="880" w:right="0" w:firstLine="0"/>
        <w:jc w:val="left"/>
        <w:rPr>
          <w:sz w:val="24"/>
        </w:rPr>
      </w:pPr>
      <w:r>
        <w:rPr>
          <w:sz w:val="24"/>
        </w:rPr>
        <w:t>For</w:t>
      </w:r>
      <w:r>
        <w:rPr>
          <w:spacing w:val="-1"/>
          <w:sz w:val="24"/>
        </w:rPr>
        <w:t> </w:t>
      </w:r>
      <w:r>
        <w:rPr>
          <w:i/>
          <w:sz w:val="24"/>
        </w:rPr>
        <w:t>in</w:t>
      </w:r>
      <w:r>
        <w:rPr>
          <w:i/>
          <w:spacing w:val="-2"/>
          <w:sz w:val="24"/>
        </w:rPr>
        <w:t> </w:t>
      </w:r>
      <w:r>
        <w:rPr>
          <w:i/>
          <w:sz w:val="24"/>
        </w:rPr>
        <w:t>vitro</w:t>
      </w:r>
      <w:r>
        <w:rPr>
          <w:i/>
          <w:spacing w:val="-2"/>
          <w:sz w:val="24"/>
        </w:rPr>
        <w:t> </w:t>
      </w:r>
      <w:r>
        <w:rPr>
          <w:sz w:val="24"/>
        </w:rPr>
        <w:t>diagnostic</w:t>
      </w:r>
      <w:r>
        <w:rPr>
          <w:spacing w:val="-1"/>
          <w:sz w:val="24"/>
        </w:rPr>
        <w:t> </w:t>
      </w:r>
      <w:r>
        <w:rPr>
          <w:sz w:val="24"/>
        </w:rPr>
        <w:t>use</w:t>
      </w:r>
      <w:r>
        <w:rPr>
          <w:spacing w:val="-1"/>
          <w:sz w:val="24"/>
        </w:rPr>
        <w:t> </w:t>
      </w:r>
      <w:r>
        <w:rPr>
          <w:spacing w:val="-4"/>
          <w:sz w:val="24"/>
        </w:rPr>
        <w:t>only</w:t>
      </w:r>
    </w:p>
    <w:p>
      <w:pPr>
        <w:pStyle w:val="BodyText"/>
        <w:ind w:left="879"/>
      </w:pPr>
      <w:bookmarkStart w:name="3) Special Instrument Requirements:" w:id="84"/>
      <w:bookmarkEnd w:id="84"/>
      <w:r>
        <w:rPr/>
      </w:r>
      <w:r>
        <w:rPr/>
        <w:t>For</w:t>
      </w:r>
      <w:r>
        <w:rPr>
          <w:spacing w:val="-2"/>
        </w:rPr>
        <w:t> </w:t>
      </w:r>
      <w:r>
        <w:rPr/>
        <w:t>Emergency</w:t>
      </w:r>
      <w:r>
        <w:rPr>
          <w:spacing w:val="-1"/>
        </w:rPr>
        <w:t> </w:t>
      </w:r>
      <w:r>
        <w:rPr/>
        <w:t>Use</w:t>
      </w:r>
      <w:r>
        <w:rPr>
          <w:spacing w:val="-2"/>
        </w:rPr>
        <w:t> </w:t>
      </w:r>
      <w:r>
        <w:rPr/>
        <w:t>Authorization</w:t>
      </w:r>
      <w:r>
        <w:rPr>
          <w:spacing w:val="-1"/>
        </w:rPr>
        <w:t> </w:t>
      </w:r>
      <w:r>
        <w:rPr>
          <w:spacing w:val="-4"/>
        </w:rPr>
        <w:t>only</w:t>
      </w:r>
    </w:p>
    <w:p>
      <w:pPr>
        <w:pStyle w:val="BodyText"/>
        <w:spacing w:before="10"/>
        <w:rPr>
          <w:sz w:val="20"/>
        </w:rPr>
      </w:pPr>
    </w:p>
    <w:p>
      <w:pPr>
        <w:pStyle w:val="Heading6"/>
        <w:numPr>
          <w:ilvl w:val="1"/>
          <w:numId w:val="13"/>
        </w:numPr>
        <w:tabs>
          <w:tab w:pos="879" w:val="left" w:leader="none"/>
        </w:tabs>
        <w:spacing w:line="240" w:lineRule="auto" w:before="0" w:after="0"/>
        <w:ind w:left="879" w:right="0" w:hanging="359"/>
        <w:jc w:val="left"/>
      </w:pPr>
      <w:r>
        <w:rPr>
          <w:u w:val="thick"/>
        </w:rPr>
        <w:t>Special</w:t>
      </w:r>
      <w:r>
        <w:rPr>
          <w:spacing w:val="-3"/>
          <w:u w:val="thick"/>
        </w:rPr>
        <w:t> </w:t>
      </w:r>
      <w:r>
        <w:rPr>
          <w:u w:val="thick"/>
        </w:rPr>
        <w:t>Instrument</w:t>
      </w:r>
      <w:r>
        <w:rPr>
          <w:spacing w:val="-3"/>
          <w:u w:val="thick"/>
        </w:rPr>
        <w:t> </w:t>
      </w:r>
      <w:r>
        <w:rPr>
          <w:spacing w:val="-2"/>
          <w:u w:val="thick"/>
        </w:rPr>
        <w:t>Requirements:</w:t>
      </w:r>
    </w:p>
    <w:p>
      <w:pPr>
        <w:pStyle w:val="BodyText"/>
        <w:spacing w:before="10"/>
        <w:rPr>
          <w:rFonts w:ascii="TimesNewRomanPS-BoldItalicMT"/>
          <w:b/>
          <w:i/>
          <w:sz w:val="20"/>
        </w:rPr>
      </w:pPr>
    </w:p>
    <w:p>
      <w:pPr>
        <w:spacing w:before="0"/>
        <w:ind w:left="880" w:right="0" w:firstLine="0"/>
        <w:jc w:val="left"/>
        <w:rPr>
          <w:rFonts w:ascii="TimesNewRomanPS-BoldItalicMT"/>
          <w:b/>
          <w:i/>
          <w:sz w:val="24"/>
        </w:rPr>
      </w:pPr>
      <w:bookmarkStart w:name="The [test name] test is to be used with " w:id="85"/>
      <w:bookmarkEnd w:id="85"/>
      <w:r>
        <w:rPr/>
      </w:r>
      <w:r>
        <w:rPr>
          <w:b/>
          <w:sz w:val="24"/>
        </w:rPr>
        <w:t>The</w:t>
      </w:r>
      <w:r>
        <w:rPr>
          <w:b/>
          <w:spacing w:val="-3"/>
          <w:sz w:val="24"/>
        </w:rPr>
        <w:t> </w:t>
      </w:r>
      <w:r>
        <w:rPr>
          <w:rFonts w:ascii="TimesNewRomanPS-BoldItalicMT"/>
          <w:b/>
          <w:i/>
          <w:color w:val="000000"/>
          <w:sz w:val="24"/>
          <w:shd w:fill="FFFF00" w:color="auto" w:val="clear"/>
        </w:rPr>
        <w:t>[test</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name]</w:t>
      </w:r>
      <w:r>
        <w:rPr>
          <w:rFonts w:ascii="TimesNewRomanPS-BoldItalicMT"/>
          <w:b/>
          <w:i/>
          <w:color w:val="000000"/>
          <w:spacing w:val="-3"/>
          <w:sz w:val="24"/>
        </w:rPr>
        <w:t> </w:t>
      </w:r>
      <w:r>
        <w:rPr>
          <w:b/>
          <w:color w:val="000000"/>
          <w:sz w:val="24"/>
        </w:rPr>
        <w:t>test</w:t>
      </w:r>
      <w:r>
        <w:rPr>
          <w:b/>
          <w:color w:val="000000"/>
          <w:spacing w:val="-4"/>
          <w:sz w:val="24"/>
        </w:rPr>
        <w:t> </w:t>
      </w:r>
      <w:r>
        <w:rPr>
          <w:b/>
          <w:color w:val="000000"/>
          <w:sz w:val="24"/>
        </w:rPr>
        <w:t>is</w:t>
      </w:r>
      <w:r>
        <w:rPr>
          <w:b/>
          <w:color w:val="000000"/>
          <w:spacing w:val="-3"/>
          <w:sz w:val="24"/>
        </w:rPr>
        <w:t> </w:t>
      </w:r>
      <w:r>
        <w:rPr>
          <w:b/>
          <w:color w:val="000000"/>
          <w:sz w:val="24"/>
        </w:rPr>
        <w:t>to</w:t>
      </w:r>
      <w:r>
        <w:rPr>
          <w:b/>
          <w:color w:val="000000"/>
          <w:spacing w:val="-3"/>
          <w:sz w:val="24"/>
        </w:rPr>
        <w:t> </w:t>
      </w:r>
      <w:r>
        <w:rPr>
          <w:b/>
          <w:color w:val="000000"/>
          <w:sz w:val="24"/>
        </w:rPr>
        <w:t>be</w:t>
      </w:r>
      <w:r>
        <w:rPr>
          <w:b/>
          <w:color w:val="000000"/>
          <w:spacing w:val="-3"/>
          <w:sz w:val="24"/>
        </w:rPr>
        <w:t> </w:t>
      </w:r>
      <w:r>
        <w:rPr>
          <w:b/>
          <w:color w:val="000000"/>
          <w:sz w:val="24"/>
        </w:rPr>
        <w:t>used</w:t>
      </w:r>
      <w:r>
        <w:rPr>
          <w:b/>
          <w:color w:val="000000"/>
          <w:spacing w:val="-4"/>
          <w:sz w:val="24"/>
        </w:rPr>
        <w:t> </w:t>
      </w:r>
      <w:r>
        <w:rPr>
          <w:b/>
          <w:color w:val="000000"/>
          <w:sz w:val="24"/>
        </w:rPr>
        <w:t>with</w:t>
      </w:r>
      <w:r>
        <w:rPr>
          <w:b/>
          <w:color w:val="000000"/>
          <w:spacing w:val="-4"/>
          <w:sz w:val="24"/>
        </w:rPr>
        <w:t> </w:t>
      </w:r>
      <w:r>
        <w:rPr>
          <w:b/>
          <w:color w:val="000000"/>
          <w:sz w:val="24"/>
        </w:rPr>
        <w:t>the</w:t>
      </w:r>
      <w:r>
        <w:rPr>
          <w:b/>
          <w:color w:val="000000"/>
          <w:spacing w:val="-3"/>
          <w:sz w:val="24"/>
        </w:rPr>
        <w:t> </w:t>
      </w:r>
      <w:r>
        <w:rPr>
          <w:rFonts w:ascii="TimesNewRomanPS-BoldItalicMT"/>
          <w:b/>
          <w:i/>
          <w:color w:val="000000"/>
          <w:sz w:val="24"/>
          <w:shd w:fill="FFFF00" w:color="auto" w:val="clear"/>
        </w:rPr>
        <w:t>[list</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all</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instruments,</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software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requirements,</w:t>
      </w:r>
      <w:r>
        <w:rPr>
          <w:rFonts w:ascii="TimesNewRomanPS-BoldItalicMT"/>
          <w:b/>
          <w:i/>
          <w:color w:val="000000"/>
          <w:sz w:val="24"/>
        </w:rPr>
        <w:t> </w:t>
      </w:r>
      <w:r>
        <w:rPr>
          <w:rFonts w:ascii="TimesNewRomanPS-BoldItalicMT"/>
          <w:b/>
          <w:i/>
          <w:color w:val="000000"/>
          <w:sz w:val="24"/>
          <w:shd w:fill="FFFF00" w:color="auto" w:val="clear"/>
        </w:rPr>
        <w:t>other applicable instrumentation, etc.].</w:t>
      </w:r>
    </w:p>
    <w:p>
      <w:pPr>
        <w:pStyle w:val="BodyText"/>
        <w:spacing w:before="10"/>
        <w:rPr>
          <w:rFonts w:ascii="TimesNewRomanPS-BoldItalicMT"/>
          <w:b/>
          <w:i/>
          <w:sz w:val="20"/>
        </w:rPr>
      </w:pPr>
    </w:p>
    <w:p>
      <w:pPr>
        <w:pStyle w:val="Heading4"/>
        <w:numPr>
          <w:ilvl w:val="0"/>
          <w:numId w:val="13"/>
        </w:numPr>
        <w:tabs>
          <w:tab w:pos="518" w:val="left" w:leader="none"/>
        </w:tabs>
        <w:spacing w:line="240" w:lineRule="auto" w:before="0" w:after="0"/>
        <w:ind w:left="518" w:right="0" w:hanging="358"/>
        <w:jc w:val="left"/>
      </w:pPr>
      <w:bookmarkStart w:name="G. DEVICE DESCRIPTION AND TEST PRINCIPLE" w:id="86"/>
      <w:bookmarkEnd w:id="86"/>
      <w:r>
        <w:rPr>
          <w:b w:val="0"/>
        </w:rPr>
      </w:r>
      <w:r>
        <w:rPr/>
        <w:t>DEVICE</w:t>
      </w:r>
      <w:r>
        <w:rPr>
          <w:spacing w:val="-4"/>
        </w:rPr>
        <w:t> </w:t>
      </w:r>
      <w:r>
        <w:rPr/>
        <w:t>DESCRIPTION</w:t>
      </w:r>
      <w:r>
        <w:rPr>
          <w:spacing w:val="-4"/>
        </w:rPr>
        <w:t> </w:t>
      </w:r>
      <w:r>
        <w:rPr/>
        <w:t>AND</w:t>
      </w:r>
      <w:r>
        <w:rPr>
          <w:spacing w:val="-3"/>
        </w:rPr>
        <w:t> </w:t>
      </w:r>
      <w:r>
        <w:rPr/>
        <w:t>TEST</w:t>
      </w:r>
      <w:r>
        <w:rPr>
          <w:spacing w:val="-3"/>
        </w:rPr>
        <w:t> </w:t>
      </w:r>
      <w:r>
        <w:rPr>
          <w:spacing w:val="-2"/>
        </w:rPr>
        <w:t>PRINCIPLE</w:t>
      </w:r>
    </w:p>
    <w:p>
      <w:pPr>
        <w:pStyle w:val="Heading6"/>
        <w:numPr>
          <w:ilvl w:val="1"/>
          <w:numId w:val="13"/>
        </w:numPr>
        <w:tabs>
          <w:tab w:pos="879" w:val="left" w:leader="none"/>
        </w:tabs>
        <w:spacing w:line="240" w:lineRule="auto" w:before="120" w:after="0"/>
        <w:ind w:left="879" w:right="0" w:hanging="359"/>
        <w:jc w:val="left"/>
      </w:pPr>
      <w:bookmarkStart w:name="1) Product Overview/Test Principle:" w:id="87"/>
      <w:bookmarkEnd w:id="87"/>
      <w:r>
        <w:rPr>
          <w:b w:val="0"/>
          <w:i w:val="0"/>
        </w:rPr>
      </w:r>
      <w:r>
        <w:rPr>
          <w:u w:val="thick"/>
        </w:rPr>
        <w:t>Product</w:t>
      </w:r>
      <w:r>
        <w:rPr>
          <w:spacing w:val="-4"/>
          <w:u w:val="thick"/>
        </w:rPr>
        <w:t> </w:t>
      </w:r>
      <w:r>
        <w:rPr>
          <w:u w:val="thick"/>
        </w:rPr>
        <w:t>Overview/Test</w:t>
      </w:r>
      <w:r>
        <w:rPr>
          <w:spacing w:val="-3"/>
          <w:u w:val="thick"/>
        </w:rPr>
        <w:t> </w:t>
      </w:r>
      <w:r>
        <w:rPr>
          <w:spacing w:val="-2"/>
          <w:u w:val="thick"/>
        </w:rPr>
        <w:t>Principle:</w:t>
      </w:r>
    </w:p>
    <w:p>
      <w:pPr>
        <w:pStyle w:val="Heading6"/>
        <w:spacing w:before="60"/>
        <w:ind w:right="278"/>
      </w:pPr>
      <w:r>
        <w:rPr>
          <w:color w:val="000000"/>
          <w:shd w:fill="FFFF00" w:color="auto" w:val="clear"/>
        </w:rPr>
        <w:t>[Describe the technology of the test and how this technology works to identify</w:t>
      </w:r>
      <w:r>
        <w:rPr>
          <w:color w:val="000000"/>
        </w:rPr>
        <w:t> </w:t>
      </w:r>
      <w:r>
        <w:rPr>
          <w:color w:val="000000"/>
          <w:shd w:fill="FFFF00" w:color="auto" w:val="clear"/>
        </w:rPr>
        <w:t>measurand (i.e., the test principle), the instruments/reader employed/required to</w:t>
      </w:r>
      <w:r>
        <w:rPr>
          <w:color w:val="000000"/>
        </w:rPr>
        <w:t> </w:t>
      </w:r>
      <w:r>
        <w:rPr>
          <w:color w:val="000000"/>
          <w:shd w:fill="FFFF00" w:color="auto" w:val="clear"/>
        </w:rPr>
        <w:t>perform</w:t>
      </w:r>
      <w:r>
        <w:rPr>
          <w:color w:val="000000"/>
          <w:spacing w:val="-4"/>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test</w:t>
      </w:r>
      <w:r>
        <w:rPr>
          <w:color w:val="000000"/>
          <w:spacing w:val="-4"/>
          <w:shd w:fill="FFFF00" w:color="auto" w:val="clear"/>
        </w:rPr>
        <w:t> </w:t>
      </w:r>
      <w:r>
        <w:rPr>
          <w:color w:val="000000"/>
          <w:shd w:fill="FFFF00" w:color="auto" w:val="clear"/>
        </w:rPr>
        <w:t>from</w:t>
      </w:r>
      <w:r>
        <w:rPr>
          <w:color w:val="000000"/>
          <w:spacing w:val="-3"/>
          <w:shd w:fill="FFFF00" w:color="auto" w:val="clear"/>
        </w:rPr>
        <w:t> </w:t>
      </w:r>
      <w:r>
        <w:rPr>
          <w:color w:val="000000"/>
          <w:shd w:fill="FFFF00" w:color="auto" w:val="clear"/>
        </w:rPr>
        <w:t>sample</w:t>
      </w:r>
      <w:r>
        <w:rPr>
          <w:color w:val="000000"/>
          <w:spacing w:val="-3"/>
          <w:shd w:fill="FFFF00" w:color="auto" w:val="clear"/>
        </w:rPr>
        <w:t> </w:t>
      </w:r>
      <w:r>
        <w:rPr>
          <w:color w:val="000000"/>
          <w:shd w:fill="FFFF00" w:color="auto" w:val="clear"/>
        </w:rPr>
        <w:t>collection</w:t>
      </w:r>
      <w:r>
        <w:rPr>
          <w:color w:val="000000"/>
          <w:spacing w:val="-4"/>
          <w:shd w:fill="FFFF00" w:color="auto" w:val="clear"/>
        </w:rPr>
        <w:t> </w:t>
      </w:r>
      <w:r>
        <w:rPr>
          <w:color w:val="000000"/>
          <w:shd w:fill="FFFF00" w:color="auto" w:val="clear"/>
        </w:rPr>
        <w:t>to</w:t>
      </w:r>
      <w:r>
        <w:rPr>
          <w:color w:val="000000"/>
          <w:spacing w:val="-3"/>
          <w:shd w:fill="FFFF00" w:color="auto" w:val="clear"/>
        </w:rPr>
        <w:t> </w:t>
      </w:r>
      <w:r>
        <w:rPr>
          <w:color w:val="000000"/>
          <w:shd w:fill="FFFF00" w:color="auto" w:val="clear"/>
        </w:rPr>
        <w:t>result,</w:t>
      </w:r>
      <w:r>
        <w:rPr>
          <w:color w:val="000000"/>
          <w:spacing w:val="-3"/>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specimen</w:t>
      </w:r>
      <w:r>
        <w:rPr>
          <w:color w:val="000000"/>
          <w:spacing w:val="-4"/>
          <w:shd w:fill="FFFF00" w:color="auto" w:val="clear"/>
        </w:rPr>
        <w:t> </w:t>
      </w:r>
      <w:r>
        <w:rPr>
          <w:color w:val="000000"/>
          <w:shd w:fill="FFFF00" w:color="auto" w:val="clear"/>
        </w:rPr>
        <w:t>types</w:t>
      </w:r>
      <w:r>
        <w:rPr>
          <w:color w:val="000000"/>
          <w:spacing w:val="-3"/>
          <w:shd w:fill="FFFF00" w:color="auto" w:val="clear"/>
        </w:rPr>
        <w:t> </w:t>
      </w:r>
      <w:r>
        <w:rPr>
          <w:color w:val="000000"/>
          <w:shd w:fill="FFFF00" w:color="auto" w:val="clear"/>
        </w:rPr>
        <w:t>for</w:t>
      </w:r>
      <w:r>
        <w:rPr>
          <w:color w:val="000000"/>
          <w:spacing w:val="-3"/>
          <w:shd w:fill="FFFF00" w:color="auto" w:val="clear"/>
        </w:rPr>
        <w:t> </w:t>
      </w:r>
      <w:r>
        <w:rPr>
          <w:color w:val="000000"/>
          <w:shd w:fill="FFFF00" w:color="auto" w:val="clear"/>
        </w:rPr>
        <w:t>which</w:t>
      </w:r>
      <w:r>
        <w:rPr>
          <w:color w:val="000000"/>
          <w:spacing w:val="-5"/>
          <w:shd w:fill="FFFF00" w:color="auto" w:val="clear"/>
        </w:rPr>
        <w:t> </w:t>
      </w:r>
      <w:r>
        <w:rPr>
          <w:color w:val="000000"/>
          <w:shd w:fill="FFFF00" w:color="auto" w:val="clear"/>
        </w:rPr>
        <w:t>you</w:t>
      </w:r>
      <w:r>
        <w:rPr>
          <w:color w:val="000000"/>
        </w:rPr>
        <w:t> </w:t>
      </w:r>
      <w:r>
        <w:rPr>
          <w:color w:val="000000"/>
          <w:shd w:fill="FFFF00" w:color="auto" w:val="clear"/>
        </w:rPr>
        <w:t>claim to have performance characteristics as described below]</w:t>
      </w:r>
    </w:p>
    <w:p>
      <w:pPr>
        <w:pStyle w:val="BodyText"/>
        <w:spacing w:before="1"/>
        <w:rPr>
          <w:rFonts w:ascii="TimesNewRomanPS-BoldItalicMT"/>
          <w:b/>
          <w:i/>
          <w:sz w:val="16"/>
        </w:rPr>
      </w:pPr>
    </w:p>
    <w:p>
      <w:pPr>
        <w:spacing w:before="90"/>
        <w:ind w:left="880" w:right="0" w:firstLine="0"/>
        <w:jc w:val="left"/>
        <w:rPr>
          <w:sz w:val="24"/>
        </w:rPr>
      </w:pPr>
      <w:r>
        <w:rPr>
          <w:sz w:val="24"/>
        </w:rPr>
        <w:t>The</w:t>
      </w:r>
      <w:r>
        <w:rPr>
          <w:spacing w:val="-2"/>
          <w:sz w:val="24"/>
        </w:rPr>
        <w:t> </w:t>
      </w:r>
      <w:r>
        <w:rPr>
          <w:rFonts w:ascii="TimesNewRomanPS-BoldItalicMT"/>
          <w:b/>
          <w:i/>
          <w:color w:val="000000"/>
          <w:sz w:val="24"/>
          <w:shd w:fill="FFFF00" w:color="auto" w:val="clear"/>
        </w:rPr>
        <w:t>[test</w:t>
      </w:r>
      <w:r>
        <w:rPr>
          <w:rFonts w:ascii="TimesNewRomanPS-BoldItalicMT"/>
          <w:b/>
          <w:i/>
          <w:color w:val="000000"/>
          <w:spacing w:val="-1"/>
          <w:sz w:val="24"/>
          <w:shd w:fill="FFFF00" w:color="auto" w:val="clear"/>
        </w:rPr>
        <w:t> </w:t>
      </w:r>
      <w:r>
        <w:rPr>
          <w:rFonts w:ascii="TimesNewRomanPS-BoldItalicMT"/>
          <w:b/>
          <w:i/>
          <w:color w:val="000000"/>
          <w:sz w:val="24"/>
          <w:shd w:fill="FFFF00" w:color="auto" w:val="clear"/>
        </w:rPr>
        <w:t>name]</w:t>
      </w:r>
      <w:r>
        <w:rPr>
          <w:rFonts w:ascii="TimesNewRomanPS-BoldItalicMT"/>
          <w:b/>
          <w:i/>
          <w:color w:val="000000"/>
          <w:spacing w:val="-1"/>
          <w:sz w:val="24"/>
        </w:rPr>
        <w:t> </w:t>
      </w:r>
      <w:r>
        <w:rPr>
          <w:color w:val="000000"/>
          <w:sz w:val="24"/>
        </w:rPr>
        <w:t>uses</w:t>
      </w:r>
      <w:r>
        <w:rPr>
          <w:color w:val="000000"/>
          <w:spacing w:val="-1"/>
          <w:sz w:val="24"/>
        </w:rPr>
        <w:t> </w:t>
      </w:r>
      <w:r>
        <w:rPr>
          <w:color w:val="000000"/>
          <w:sz w:val="24"/>
        </w:rPr>
        <w:t>the</w:t>
      </w:r>
      <w:r>
        <w:rPr>
          <w:color w:val="000000"/>
          <w:spacing w:val="-2"/>
          <w:sz w:val="24"/>
        </w:rPr>
        <w:t> following:</w:t>
      </w:r>
    </w:p>
    <w:p>
      <w:pPr>
        <w:pStyle w:val="Heading6"/>
        <w:spacing w:before="0"/>
        <w:ind w:right="250"/>
      </w:pPr>
      <w:r>
        <w:rPr>
          <w:color w:val="000000"/>
          <w:shd w:fill="FFFF00" w:color="auto" w:val="clear"/>
        </w:rPr>
        <w:t>[List</w:t>
      </w:r>
      <w:r>
        <w:rPr>
          <w:color w:val="000000"/>
          <w:spacing w:val="-4"/>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antigen(s)</w:t>
      </w:r>
      <w:r>
        <w:rPr>
          <w:color w:val="000000"/>
          <w:spacing w:val="-3"/>
          <w:shd w:fill="FFFF00" w:color="auto" w:val="clear"/>
        </w:rPr>
        <w:t> </w:t>
      </w:r>
      <w:r>
        <w:rPr>
          <w:color w:val="000000"/>
          <w:shd w:fill="FFFF00" w:color="auto" w:val="clear"/>
        </w:rPr>
        <w:t>and</w:t>
      </w:r>
      <w:r>
        <w:rPr>
          <w:color w:val="000000"/>
          <w:spacing w:val="-5"/>
          <w:shd w:fill="FFFF00" w:color="auto" w:val="clear"/>
        </w:rPr>
        <w:t> </w:t>
      </w:r>
      <w:r>
        <w:rPr>
          <w:color w:val="000000"/>
          <w:shd w:fill="FFFF00" w:color="auto" w:val="clear"/>
        </w:rPr>
        <w:t>antibodies</w:t>
      </w:r>
      <w:r>
        <w:rPr>
          <w:color w:val="000000"/>
          <w:spacing w:val="-3"/>
          <w:shd w:fill="FFFF00" w:color="auto" w:val="clear"/>
        </w:rPr>
        <w:t> </w:t>
      </w:r>
      <w:r>
        <w:rPr>
          <w:color w:val="000000"/>
          <w:shd w:fill="FFFF00" w:color="auto" w:val="clear"/>
        </w:rPr>
        <w:t>used</w:t>
      </w:r>
      <w:r>
        <w:rPr>
          <w:color w:val="000000"/>
          <w:spacing w:val="-3"/>
          <w:shd w:fill="FFFF00" w:color="auto" w:val="clear"/>
        </w:rPr>
        <w:t> </w:t>
      </w:r>
      <w:r>
        <w:rPr>
          <w:color w:val="000000"/>
          <w:shd w:fill="FFFF00" w:color="auto" w:val="clear"/>
        </w:rPr>
        <w:t>in</w:t>
      </w:r>
      <w:r>
        <w:rPr>
          <w:color w:val="000000"/>
          <w:spacing w:val="-4"/>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assay</w:t>
      </w:r>
      <w:r>
        <w:rPr>
          <w:color w:val="000000"/>
          <w:spacing w:val="-3"/>
          <w:shd w:fill="FFFF00" w:color="auto" w:val="clear"/>
        </w:rPr>
        <w:t> </w:t>
      </w:r>
      <w:r>
        <w:rPr>
          <w:color w:val="000000"/>
          <w:shd w:fill="FFFF00" w:color="auto" w:val="clear"/>
        </w:rPr>
        <w:t>to</w:t>
      </w:r>
      <w:r>
        <w:rPr>
          <w:color w:val="000000"/>
          <w:spacing w:val="-4"/>
          <w:shd w:fill="FFFF00" w:color="auto" w:val="clear"/>
        </w:rPr>
        <w:t> </w:t>
      </w:r>
      <w:r>
        <w:rPr>
          <w:color w:val="000000"/>
          <w:shd w:fill="FFFF00" w:color="auto" w:val="clear"/>
        </w:rPr>
        <w:t>detect</w:t>
      </w:r>
      <w:r>
        <w:rPr>
          <w:color w:val="000000"/>
          <w:spacing w:val="-4"/>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antibodies</w:t>
      </w:r>
      <w:r>
        <w:rPr>
          <w:color w:val="000000"/>
          <w:spacing w:val="-3"/>
          <w:shd w:fill="FFFF00" w:color="auto" w:val="clear"/>
        </w:rPr>
        <w:t> </w:t>
      </w:r>
      <w:r>
        <w:rPr>
          <w:color w:val="000000"/>
          <w:shd w:fill="FFFF00" w:color="auto" w:val="clear"/>
        </w:rPr>
        <w:t>in</w:t>
      </w:r>
      <w:r>
        <w:rPr>
          <w:color w:val="000000"/>
          <w:spacing w:val="-4"/>
          <w:shd w:fill="FFFF00" w:color="auto" w:val="clear"/>
        </w:rPr>
        <w:t> </w:t>
      </w:r>
      <w:r>
        <w:rPr>
          <w:color w:val="000000"/>
          <w:shd w:fill="FFFF00" w:color="auto" w:val="clear"/>
        </w:rPr>
        <w:t>human</w:t>
      </w:r>
      <w:r>
        <w:rPr>
          <w:color w:val="000000"/>
        </w:rPr>
        <w:t> </w:t>
      </w:r>
      <w:r>
        <w:rPr>
          <w:color w:val="000000"/>
          <w:spacing w:val="-2"/>
          <w:shd w:fill="FFFF00" w:color="auto" w:val="clear"/>
        </w:rPr>
        <w:t>specimens]</w:t>
      </w:r>
    </w:p>
    <w:p>
      <w:pPr>
        <w:pStyle w:val="BodyText"/>
        <w:spacing w:before="10"/>
        <w:rPr>
          <w:rFonts w:ascii="TimesNewRomanPS-BoldItalicMT"/>
          <w:b/>
          <w:i/>
          <w:sz w:val="20"/>
        </w:rPr>
      </w:pPr>
    </w:p>
    <w:p>
      <w:pPr>
        <w:pStyle w:val="Heading6"/>
        <w:numPr>
          <w:ilvl w:val="1"/>
          <w:numId w:val="13"/>
        </w:numPr>
        <w:tabs>
          <w:tab w:pos="880" w:val="left" w:leader="none"/>
        </w:tabs>
        <w:spacing w:line="240" w:lineRule="auto" w:before="0" w:after="0"/>
        <w:ind w:left="880" w:right="1031" w:hanging="360"/>
        <w:jc w:val="left"/>
      </w:pPr>
      <w:bookmarkStart w:name="2) Description of Test Steps: [Describe " w:id="88"/>
      <w:bookmarkEnd w:id="88"/>
      <w:r>
        <w:rPr>
          <w:b w:val="0"/>
          <w:i w:val="0"/>
        </w:rPr>
      </w:r>
      <w:r>
        <w:rPr>
          <w:u w:val="thick"/>
        </w:rPr>
        <w:t>Description</w:t>
      </w:r>
      <w:r>
        <w:rPr>
          <w:spacing w:val="-4"/>
          <w:u w:val="thick"/>
        </w:rPr>
        <w:t> </w:t>
      </w:r>
      <w:r>
        <w:rPr>
          <w:u w:val="thick"/>
        </w:rPr>
        <w:t>of</w:t>
      </w:r>
      <w:r>
        <w:rPr>
          <w:spacing w:val="-3"/>
          <w:u w:val="thick"/>
        </w:rPr>
        <w:t> </w:t>
      </w:r>
      <w:r>
        <w:rPr>
          <w:u w:val="thick"/>
        </w:rPr>
        <w:t>Test</w:t>
      </w:r>
      <w:r>
        <w:rPr>
          <w:spacing w:val="-3"/>
          <w:u w:val="thick"/>
        </w:rPr>
        <w:t> </w:t>
      </w:r>
      <w:r>
        <w:rPr>
          <w:u w:val="thick"/>
        </w:rPr>
        <w:t>Steps</w:t>
      </w:r>
      <w:r>
        <w:rPr/>
        <w:t>:</w:t>
      </w:r>
      <w:r>
        <w:rPr>
          <w:spacing w:val="-3"/>
        </w:rPr>
        <w:t> </w:t>
      </w:r>
      <w:r>
        <w:rPr>
          <w:color w:val="000000"/>
          <w:shd w:fill="FFFF00" w:color="auto" w:val="clear"/>
        </w:rPr>
        <w:t>[Describe</w:t>
      </w:r>
      <w:r>
        <w:rPr>
          <w:color w:val="000000"/>
          <w:spacing w:val="-4"/>
          <w:shd w:fill="FFFF00" w:color="auto" w:val="clear"/>
        </w:rPr>
        <w:t> </w:t>
      </w:r>
      <w:r>
        <w:rPr>
          <w:color w:val="000000"/>
          <w:shd w:fill="FFFF00" w:color="auto" w:val="clear"/>
        </w:rPr>
        <w:t>in</w:t>
      </w:r>
      <w:r>
        <w:rPr>
          <w:color w:val="000000"/>
          <w:spacing w:val="-4"/>
          <w:shd w:fill="FFFF00" w:color="auto" w:val="clear"/>
        </w:rPr>
        <w:t> </w:t>
      </w:r>
      <w:r>
        <w:rPr>
          <w:color w:val="000000"/>
          <w:shd w:fill="FFFF00" w:color="auto" w:val="clear"/>
        </w:rPr>
        <w:t>order</w:t>
      </w:r>
      <w:r>
        <w:rPr>
          <w:color w:val="000000"/>
          <w:spacing w:val="-3"/>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steps</w:t>
      </w:r>
      <w:r>
        <w:rPr>
          <w:color w:val="000000"/>
          <w:spacing w:val="-3"/>
          <w:shd w:fill="FFFF00" w:color="auto" w:val="clear"/>
        </w:rPr>
        <w:t> </w:t>
      </w:r>
      <w:r>
        <w:rPr>
          <w:color w:val="000000"/>
          <w:shd w:fill="FFFF00" w:color="auto" w:val="clear"/>
        </w:rPr>
        <w:t>of</w:t>
      </w:r>
      <w:r>
        <w:rPr>
          <w:color w:val="000000"/>
          <w:spacing w:val="-4"/>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test</w:t>
      </w:r>
      <w:r>
        <w:rPr>
          <w:color w:val="000000"/>
          <w:spacing w:val="-4"/>
          <w:shd w:fill="FFFF00" w:color="auto" w:val="clear"/>
        </w:rPr>
        <w:t> </w:t>
      </w:r>
      <w:r>
        <w:rPr>
          <w:color w:val="000000"/>
          <w:shd w:fill="FFFF00" w:color="auto" w:val="clear"/>
        </w:rPr>
        <w:t>from</w:t>
      </w:r>
      <w:r>
        <w:rPr>
          <w:color w:val="000000"/>
          <w:spacing w:val="-3"/>
          <w:shd w:fill="FFFF00" w:color="auto" w:val="clear"/>
        </w:rPr>
        <w:t> </w:t>
      </w:r>
      <w:r>
        <w:rPr>
          <w:color w:val="000000"/>
          <w:shd w:fill="FFFF00" w:color="auto" w:val="clear"/>
        </w:rPr>
        <w:t>specimen</w:t>
      </w:r>
      <w:r>
        <w:rPr>
          <w:color w:val="000000"/>
        </w:rPr>
        <w:t> </w:t>
      </w:r>
      <w:r>
        <w:rPr>
          <w:color w:val="000000"/>
          <w:shd w:fill="FFFF00" w:color="auto" w:val="clear"/>
        </w:rPr>
        <w:t>collection to result output.]</w:t>
      </w:r>
    </w:p>
    <w:p>
      <w:pPr>
        <w:pStyle w:val="BodyText"/>
        <w:spacing w:before="2"/>
        <w:rPr>
          <w:rFonts w:ascii="TimesNewRomanPS-BoldItalicMT"/>
          <w:b/>
          <w:i/>
          <w:sz w:val="29"/>
        </w:rPr>
      </w:pPr>
    </w:p>
    <w:p>
      <w:pPr>
        <w:pStyle w:val="Heading6"/>
        <w:numPr>
          <w:ilvl w:val="1"/>
          <w:numId w:val="13"/>
        </w:numPr>
        <w:tabs>
          <w:tab w:pos="879" w:val="left" w:leader="none"/>
        </w:tabs>
        <w:spacing w:line="240" w:lineRule="auto" w:before="1" w:after="0"/>
        <w:ind w:left="879" w:right="0" w:hanging="359"/>
        <w:jc w:val="left"/>
      </w:pPr>
      <w:r>
        <w:rPr>
          <w:u w:val="thick"/>
        </w:rPr>
        <w:t>Control</w:t>
      </w:r>
      <w:r>
        <w:rPr>
          <w:spacing w:val="-2"/>
          <w:u w:val="thick"/>
        </w:rPr>
        <w:t> Material</w:t>
      </w:r>
    </w:p>
    <w:p>
      <w:pPr>
        <w:pStyle w:val="BodyText"/>
        <w:ind w:left="880"/>
        <w:rPr>
          <w:rFonts w:ascii="TimesNewRomanPS-BoldItalicMT"/>
          <w:sz w:val="20"/>
        </w:rPr>
      </w:pPr>
      <w:r>
        <w:rPr>
          <w:rFonts w:ascii="TimesNewRomanPS-BoldItalicMT"/>
          <w:sz w:val="20"/>
        </w:rPr>
        <mc:AlternateContent>
          <mc:Choice Requires="wps">
            <w:drawing>
              <wp:inline distT="0" distB="0" distL="0" distR="0">
                <wp:extent cx="5309235" cy="876300"/>
                <wp:effectExtent l="0" t="0" r="0" b="0"/>
                <wp:docPr id="18" name="Textbox 18"/>
                <wp:cNvGraphicFramePr>
                  <a:graphicFrameLocks/>
                </wp:cNvGraphicFramePr>
                <a:graphic>
                  <a:graphicData uri="http://schemas.microsoft.com/office/word/2010/wordprocessingShape">
                    <wps:wsp>
                      <wps:cNvPr id="18" name="Textbox 18"/>
                      <wps:cNvSpPr txBox="1"/>
                      <wps:spPr>
                        <a:xfrm>
                          <a:off x="0" y="0"/>
                          <a:ext cx="5309235" cy="876300"/>
                        </a:xfrm>
                        <a:prstGeom prst="rect">
                          <a:avLst/>
                        </a:prstGeom>
                        <a:solidFill>
                          <a:srgbClr val="FFFF00"/>
                        </a:solidFill>
                      </wps:spPr>
                      <wps:txbx>
                        <w:txbxContent>
                          <w:p>
                            <w:pPr>
                              <w:spacing w:before="0"/>
                              <w:ind w:left="0" w:right="0" w:firstLine="0"/>
                              <w:jc w:val="left"/>
                              <w:rPr>
                                <w:rFonts w:ascii="TimesNewRomanPS-BoldItalicMT" w:hAnsi="TimesNewRomanPS-BoldItalicMT"/>
                                <w:b/>
                                <w:i/>
                                <w:color w:val="000000"/>
                                <w:sz w:val="24"/>
                              </w:rPr>
                            </w:pPr>
                            <w:r>
                              <w:rPr>
                                <w:rFonts w:ascii="TimesNewRomanPS-BoldItalicMT" w:hAnsi="TimesNewRomanPS-BoldItalicMT"/>
                                <w:b/>
                                <w:i/>
                                <w:color w:val="000000"/>
                                <w:sz w:val="24"/>
                              </w:rPr>
                              <w:t>[List</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all</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control</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materials</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(provided</w:t>
                            </w:r>
                            <w:r>
                              <w:rPr>
                                <w:rFonts w:ascii="TimesNewRomanPS-BoldItalicMT" w:hAnsi="TimesNewRomanPS-BoldItalicMT"/>
                                <w:b/>
                                <w:i/>
                                <w:color w:val="000000"/>
                                <w:spacing w:val="-5"/>
                                <w:sz w:val="24"/>
                              </w:rPr>
                              <w:t> </w:t>
                            </w:r>
                            <w:r>
                              <w:rPr>
                                <w:rFonts w:ascii="TimesNewRomanPS-BoldItalicMT" w:hAnsi="TimesNewRomanPS-BoldItalicMT"/>
                                <w:b/>
                                <w:i/>
                                <w:color w:val="000000"/>
                                <w:sz w:val="24"/>
                              </w:rPr>
                              <w:t>with</w:t>
                            </w:r>
                            <w:r>
                              <w:rPr>
                                <w:rFonts w:ascii="TimesNewRomanPS-BoldItalicMT" w:hAnsi="TimesNewRomanPS-BoldItalicMT"/>
                                <w:b/>
                                <w:i/>
                                <w:color w:val="000000"/>
                                <w:spacing w:val="-4"/>
                                <w:sz w:val="24"/>
                              </w:rPr>
                              <w:t> </w:t>
                            </w:r>
                            <w:r>
                              <w:rPr>
                                <w:rFonts w:ascii="TimesNewRomanPS-BoldItalicMT" w:hAnsi="TimesNewRomanPS-BoldItalicMT"/>
                                <w:b/>
                                <w:i/>
                                <w:color w:val="000000"/>
                                <w:sz w:val="24"/>
                              </w:rPr>
                              <w:t>the</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test</w:t>
                            </w:r>
                            <w:r>
                              <w:rPr>
                                <w:rFonts w:ascii="TimesNewRomanPS-BoldItalicMT" w:hAnsi="TimesNewRomanPS-BoldItalicMT"/>
                                <w:b/>
                                <w:i/>
                                <w:color w:val="000000"/>
                                <w:spacing w:val="-4"/>
                                <w:sz w:val="24"/>
                              </w:rPr>
                              <w:t> </w:t>
                            </w:r>
                            <w:r>
                              <w:rPr>
                                <w:rFonts w:ascii="TimesNewRomanPS-BoldItalicMT" w:hAnsi="TimesNewRomanPS-BoldItalicMT"/>
                                <w:b/>
                                <w:i/>
                                <w:color w:val="000000"/>
                                <w:sz w:val="24"/>
                              </w:rPr>
                              <w:t>kit</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and/or</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required</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but</w:t>
                            </w:r>
                            <w:r>
                              <w:rPr>
                                <w:rFonts w:ascii="TimesNewRomanPS-BoldItalicMT" w:hAnsi="TimesNewRomanPS-BoldItalicMT"/>
                                <w:b/>
                                <w:i/>
                                <w:color w:val="000000"/>
                                <w:spacing w:val="-4"/>
                                <w:sz w:val="24"/>
                              </w:rPr>
                              <w:t> </w:t>
                            </w:r>
                            <w:r>
                              <w:rPr>
                                <w:rFonts w:ascii="TimesNewRomanPS-BoldItalicMT" w:hAnsi="TimesNewRomanPS-BoldItalicMT"/>
                                <w:b/>
                                <w:i/>
                                <w:color w:val="000000"/>
                                <w:sz w:val="24"/>
                              </w:rPr>
                              <w:t>not</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provided with</w:t>
                            </w:r>
                            <w:r>
                              <w:rPr>
                                <w:rFonts w:ascii="TimesNewRomanPS-BoldItalicMT" w:hAnsi="TimesNewRomanPS-BoldItalicMT"/>
                                <w:b/>
                                <w:i/>
                                <w:color w:val="000000"/>
                                <w:spacing w:val="-4"/>
                                <w:sz w:val="24"/>
                              </w:rPr>
                              <w:t> </w:t>
                            </w:r>
                            <w:r>
                              <w:rPr>
                                <w:rFonts w:ascii="TimesNewRomanPS-BoldItalicMT" w:hAnsi="TimesNewRomanPS-BoldItalicMT"/>
                                <w:b/>
                                <w:i/>
                                <w:color w:val="000000"/>
                                <w:sz w:val="24"/>
                              </w:rPr>
                              <w:t>the</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test</w:t>
                            </w:r>
                            <w:r>
                              <w:rPr>
                                <w:rFonts w:ascii="TimesNewRomanPS-BoldItalicMT" w:hAnsi="TimesNewRomanPS-BoldItalicMT"/>
                                <w:b/>
                                <w:i/>
                                <w:color w:val="000000"/>
                                <w:spacing w:val="-4"/>
                                <w:sz w:val="24"/>
                              </w:rPr>
                              <w:t> </w:t>
                            </w:r>
                            <w:r>
                              <w:rPr>
                                <w:rFonts w:ascii="TimesNewRomanPS-BoldItalicMT" w:hAnsi="TimesNewRomanPS-BoldItalicMT"/>
                                <w:b/>
                                <w:i/>
                                <w:color w:val="000000"/>
                                <w:sz w:val="24"/>
                              </w:rPr>
                              <w:t>kit)</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and</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describe</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what</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they</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are,</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how</w:t>
                            </w:r>
                            <w:r>
                              <w:rPr>
                                <w:rFonts w:ascii="TimesNewRomanPS-BoldItalicMT" w:hAnsi="TimesNewRomanPS-BoldItalicMT"/>
                                <w:b/>
                                <w:i/>
                                <w:color w:val="000000"/>
                                <w:spacing w:val="-4"/>
                                <w:sz w:val="24"/>
                              </w:rPr>
                              <w:t> </w:t>
                            </w:r>
                            <w:r>
                              <w:rPr>
                                <w:rFonts w:ascii="TimesNewRomanPS-BoldItalicMT" w:hAnsi="TimesNewRomanPS-BoldItalicMT"/>
                                <w:b/>
                                <w:i/>
                                <w:color w:val="000000"/>
                                <w:sz w:val="24"/>
                              </w:rPr>
                              <w:t>they</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are</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expected</w:t>
                            </w:r>
                            <w:r>
                              <w:rPr>
                                <w:rFonts w:ascii="TimesNewRomanPS-BoldItalicMT" w:hAnsi="TimesNewRomanPS-BoldItalicMT"/>
                                <w:b/>
                                <w:i/>
                                <w:color w:val="000000"/>
                                <w:spacing w:val="-5"/>
                                <w:sz w:val="24"/>
                              </w:rPr>
                              <w:t> </w:t>
                            </w:r>
                            <w:r>
                              <w:rPr>
                                <w:rFonts w:ascii="TimesNewRomanPS-BoldItalicMT" w:hAnsi="TimesNewRomanPS-BoldItalicMT"/>
                                <w:b/>
                                <w:i/>
                                <w:color w:val="000000"/>
                                <w:sz w:val="24"/>
                              </w:rPr>
                              <w:t>to</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work,</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where</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in the testing process they are used, and the frequency of use.</w:t>
                            </w:r>
                            <w:r>
                              <w:rPr>
                                <w:rFonts w:ascii="TimesNewRomanPS-BoldItalicMT" w:hAnsi="TimesNewRomanPS-BoldItalicMT"/>
                                <w:b/>
                                <w:i/>
                                <w:color w:val="000000"/>
                                <w:spacing w:val="40"/>
                                <w:sz w:val="24"/>
                              </w:rPr>
                              <w:t> </w:t>
                            </w:r>
                            <w:r>
                              <w:rPr>
                                <w:rFonts w:ascii="TimesNewRomanPS-BoldItalicMT" w:hAnsi="TimesNewRomanPS-BoldItalicMT"/>
                                <w:b/>
                                <w:i/>
                                <w:color w:val="000000"/>
                                <w:sz w:val="24"/>
                              </w:rPr>
                              <w:t>If a control is commercially available, provide supplier’s name and catalog number or other identifier; if</w:t>
                            </w:r>
                            <w:r>
                              <w:rPr>
                                <w:rFonts w:ascii="TimesNewRomanPS-BoldItalicMT" w:hAnsi="TimesNewRomanPS-BoldItalicMT"/>
                                <w:b/>
                                <w:i/>
                                <w:color w:val="000000"/>
                                <w:spacing w:val="-1"/>
                                <w:sz w:val="24"/>
                              </w:rPr>
                              <w:t> </w:t>
                            </w:r>
                            <w:r>
                              <w:rPr>
                                <w:rFonts w:ascii="TimesNewRomanPS-BoldItalicMT" w:hAnsi="TimesNewRomanPS-BoldItalicMT"/>
                                <w:b/>
                                <w:i/>
                                <w:color w:val="000000"/>
                                <w:sz w:val="24"/>
                              </w:rPr>
                              <w:t>your device</w:t>
                            </w:r>
                            <w:r>
                              <w:rPr>
                                <w:rFonts w:ascii="TimesNewRomanPS-BoldItalicMT" w:hAnsi="TimesNewRomanPS-BoldItalicMT"/>
                                <w:b/>
                                <w:i/>
                                <w:color w:val="000000"/>
                                <w:spacing w:val="-1"/>
                                <w:sz w:val="24"/>
                              </w:rPr>
                              <w:t> </w:t>
                            </w:r>
                            <w:r>
                              <w:rPr>
                                <w:rFonts w:ascii="TimesNewRomanPS-BoldItalicMT" w:hAnsi="TimesNewRomanPS-BoldItalicMT"/>
                                <w:b/>
                                <w:i/>
                                <w:color w:val="000000"/>
                                <w:sz w:val="24"/>
                              </w:rPr>
                              <w:t>relies on</w:t>
                            </w:r>
                            <w:r>
                              <w:rPr>
                                <w:rFonts w:ascii="TimesNewRomanPS-BoldItalicMT" w:hAnsi="TimesNewRomanPS-BoldItalicMT"/>
                                <w:b/>
                                <w:i/>
                                <w:color w:val="000000"/>
                                <w:spacing w:val="-1"/>
                                <w:sz w:val="24"/>
                              </w:rPr>
                              <w:t> </w:t>
                            </w:r>
                            <w:r>
                              <w:rPr>
                                <w:rFonts w:ascii="TimesNewRomanPS-BoldItalicMT" w:hAnsi="TimesNewRomanPS-BoldItalicMT"/>
                                <w:b/>
                                <w:i/>
                                <w:color w:val="000000"/>
                                <w:sz w:val="24"/>
                              </w:rPr>
                              <w:t>external controls that are</w:t>
                            </w:r>
                            <w:r>
                              <w:rPr>
                                <w:rFonts w:ascii="TimesNewRomanPS-BoldItalicMT" w:hAnsi="TimesNewRomanPS-BoldItalicMT"/>
                                <w:b/>
                                <w:i/>
                                <w:color w:val="000000"/>
                                <w:spacing w:val="-1"/>
                                <w:sz w:val="24"/>
                              </w:rPr>
                              <w:t> </w:t>
                            </w:r>
                            <w:r>
                              <w:rPr>
                                <w:rFonts w:ascii="TimesNewRomanPS-BoldItalicMT" w:hAnsi="TimesNewRomanPS-BoldItalicMT"/>
                                <w:b/>
                                <w:i/>
                                <w:color w:val="000000"/>
                                <w:sz w:val="24"/>
                              </w:rPr>
                              <w:t>manufactured by a third</w:t>
                            </w:r>
                          </w:p>
                        </w:txbxContent>
                      </wps:txbx>
                      <wps:bodyPr wrap="square" lIns="0" tIns="0" rIns="0" bIns="0" rtlCol="0">
                        <a:noAutofit/>
                      </wps:bodyPr>
                    </wps:wsp>
                  </a:graphicData>
                </a:graphic>
              </wp:inline>
            </w:drawing>
          </mc:Choice>
          <mc:Fallback>
            <w:pict>
              <v:shape style="width:418.05pt;height:69pt;mso-position-horizontal-relative:char;mso-position-vertical-relative:line" type="#_x0000_t202" id="docshape18" filled="true" fillcolor="#ffff00" stroked="false">
                <w10:anchorlock/>
                <v:textbox inset="0,0,0,0">
                  <w:txbxContent>
                    <w:p>
                      <w:pPr>
                        <w:spacing w:before="0"/>
                        <w:ind w:left="0" w:right="0" w:firstLine="0"/>
                        <w:jc w:val="left"/>
                        <w:rPr>
                          <w:rFonts w:ascii="TimesNewRomanPS-BoldItalicMT" w:hAnsi="TimesNewRomanPS-BoldItalicMT"/>
                          <w:b/>
                          <w:i/>
                          <w:color w:val="000000"/>
                          <w:sz w:val="24"/>
                        </w:rPr>
                      </w:pPr>
                      <w:r>
                        <w:rPr>
                          <w:rFonts w:ascii="TimesNewRomanPS-BoldItalicMT" w:hAnsi="TimesNewRomanPS-BoldItalicMT"/>
                          <w:b/>
                          <w:i/>
                          <w:color w:val="000000"/>
                          <w:sz w:val="24"/>
                        </w:rPr>
                        <w:t>[List</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all</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control</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materials</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(provided</w:t>
                      </w:r>
                      <w:r>
                        <w:rPr>
                          <w:rFonts w:ascii="TimesNewRomanPS-BoldItalicMT" w:hAnsi="TimesNewRomanPS-BoldItalicMT"/>
                          <w:b/>
                          <w:i/>
                          <w:color w:val="000000"/>
                          <w:spacing w:val="-5"/>
                          <w:sz w:val="24"/>
                        </w:rPr>
                        <w:t> </w:t>
                      </w:r>
                      <w:r>
                        <w:rPr>
                          <w:rFonts w:ascii="TimesNewRomanPS-BoldItalicMT" w:hAnsi="TimesNewRomanPS-BoldItalicMT"/>
                          <w:b/>
                          <w:i/>
                          <w:color w:val="000000"/>
                          <w:sz w:val="24"/>
                        </w:rPr>
                        <w:t>with</w:t>
                      </w:r>
                      <w:r>
                        <w:rPr>
                          <w:rFonts w:ascii="TimesNewRomanPS-BoldItalicMT" w:hAnsi="TimesNewRomanPS-BoldItalicMT"/>
                          <w:b/>
                          <w:i/>
                          <w:color w:val="000000"/>
                          <w:spacing w:val="-4"/>
                          <w:sz w:val="24"/>
                        </w:rPr>
                        <w:t> </w:t>
                      </w:r>
                      <w:r>
                        <w:rPr>
                          <w:rFonts w:ascii="TimesNewRomanPS-BoldItalicMT" w:hAnsi="TimesNewRomanPS-BoldItalicMT"/>
                          <w:b/>
                          <w:i/>
                          <w:color w:val="000000"/>
                          <w:sz w:val="24"/>
                        </w:rPr>
                        <w:t>the</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test</w:t>
                      </w:r>
                      <w:r>
                        <w:rPr>
                          <w:rFonts w:ascii="TimesNewRomanPS-BoldItalicMT" w:hAnsi="TimesNewRomanPS-BoldItalicMT"/>
                          <w:b/>
                          <w:i/>
                          <w:color w:val="000000"/>
                          <w:spacing w:val="-4"/>
                          <w:sz w:val="24"/>
                        </w:rPr>
                        <w:t> </w:t>
                      </w:r>
                      <w:r>
                        <w:rPr>
                          <w:rFonts w:ascii="TimesNewRomanPS-BoldItalicMT" w:hAnsi="TimesNewRomanPS-BoldItalicMT"/>
                          <w:b/>
                          <w:i/>
                          <w:color w:val="000000"/>
                          <w:sz w:val="24"/>
                        </w:rPr>
                        <w:t>kit</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and/or</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required</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but</w:t>
                      </w:r>
                      <w:r>
                        <w:rPr>
                          <w:rFonts w:ascii="TimesNewRomanPS-BoldItalicMT" w:hAnsi="TimesNewRomanPS-BoldItalicMT"/>
                          <w:b/>
                          <w:i/>
                          <w:color w:val="000000"/>
                          <w:spacing w:val="-4"/>
                          <w:sz w:val="24"/>
                        </w:rPr>
                        <w:t> </w:t>
                      </w:r>
                      <w:r>
                        <w:rPr>
                          <w:rFonts w:ascii="TimesNewRomanPS-BoldItalicMT" w:hAnsi="TimesNewRomanPS-BoldItalicMT"/>
                          <w:b/>
                          <w:i/>
                          <w:color w:val="000000"/>
                          <w:sz w:val="24"/>
                        </w:rPr>
                        <w:t>not</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provided with</w:t>
                      </w:r>
                      <w:r>
                        <w:rPr>
                          <w:rFonts w:ascii="TimesNewRomanPS-BoldItalicMT" w:hAnsi="TimesNewRomanPS-BoldItalicMT"/>
                          <w:b/>
                          <w:i/>
                          <w:color w:val="000000"/>
                          <w:spacing w:val="-4"/>
                          <w:sz w:val="24"/>
                        </w:rPr>
                        <w:t> </w:t>
                      </w:r>
                      <w:r>
                        <w:rPr>
                          <w:rFonts w:ascii="TimesNewRomanPS-BoldItalicMT" w:hAnsi="TimesNewRomanPS-BoldItalicMT"/>
                          <w:b/>
                          <w:i/>
                          <w:color w:val="000000"/>
                          <w:sz w:val="24"/>
                        </w:rPr>
                        <w:t>the</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test</w:t>
                      </w:r>
                      <w:r>
                        <w:rPr>
                          <w:rFonts w:ascii="TimesNewRomanPS-BoldItalicMT" w:hAnsi="TimesNewRomanPS-BoldItalicMT"/>
                          <w:b/>
                          <w:i/>
                          <w:color w:val="000000"/>
                          <w:spacing w:val="-4"/>
                          <w:sz w:val="24"/>
                        </w:rPr>
                        <w:t> </w:t>
                      </w:r>
                      <w:r>
                        <w:rPr>
                          <w:rFonts w:ascii="TimesNewRomanPS-BoldItalicMT" w:hAnsi="TimesNewRomanPS-BoldItalicMT"/>
                          <w:b/>
                          <w:i/>
                          <w:color w:val="000000"/>
                          <w:sz w:val="24"/>
                        </w:rPr>
                        <w:t>kit)</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and</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describe</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what</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they</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are,</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how</w:t>
                      </w:r>
                      <w:r>
                        <w:rPr>
                          <w:rFonts w:ascii="TimesNewRomanPS-BoldItalicMT" w:hAnsi="TimesNewRomanPS-BoldItalicMT"/>
                          <w:b/>
                          <w:i/>
                          <w:color w:val="000000"/>
                          <w:spacing w:val="-4"/>
                          <w:sz w:val="24"/>
                        </w:rPr>
                        <w:t> </w:t>
                      </w:r>
                      <w:r>
                        <w:rPr>
                          <w:rFonts w:ascii="TimesNewRomanPS-BoldItalicMT" w:hAnsi="TimesNewRomanPS-BoldItalicMT"/>
                          <w:b/>
                          <w:i/>
                          <w:color w:val="000000"/>
                          <w:sz w:val="24"/>
                        </w:rPr>
                        <w:t>they</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are</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expected</w:t>
                      </w:r>
                      <w:r>
                        <w:rPr>
                          <w:rFonts w:ascii="TimesNewRomanPS-BoldItalicMT" w:hAnsi="TimesNewRomanPS-BoldItalicMT"/>
                          <w:b/>
                          <w:i/>
                          <w:color w:val="000000"/>
                          <w:spacing w:val="-5"/>
                          <w:sz w:val="24"/>
                        </w:rPr>
                        <w:t> </w:t>
                      </w:r>
                      <w:r>
                        <w:rPr>
                          <w:rFonts w:ascii="TimesNewRomanPS-BoldItalicMT" w:hAnsi="TimesNewRomanPS-BoldItalicMT"/>
                          <w:b/>
                          <w:i/>
                          <w:color w:val="000000"/>
                          <w:sz w:val="24"/>
                        </w:rPr>
                        <w:t>to</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work,</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where</w:t>
                      </w:r>
                      <w:r>
                        <w:rPr>
                          <w:rFonts w:ascii="TimesNewRomanPS-BoldItalicMT" w:hAnsi="TimesNewRomanPS-BoldItalicMT"/>
                          <w:b/>
                          <w:i/>
                          <w:color w:val="000000"/>
                          <w:spacing w:val="-3"/>
                          <w:sz w:val="24"/>
                        </w:rPr>
                        <w:t> </w:t>
                      </w:r>
                      <w:r>
                        <w:rPr>
                          <w:rFonts w:ascii="TimesNewRomanPS-BoldItalicMT" w:hAnsi="TimesNewRomanPS-BoldItalicMT"/>
                          <w:b/>
                          <w:i/>
                          <w:color w:val="000000"/>
                          <w:sz w:val="24"/>
                        </w:rPr>
                        <w:t>in the testing process they are used, and the frequency of use.</w:t>
                      </w:r>
                      <w:r>
                        <w:rPr>
                          <w:rFonts w:ascii="TimesNewRomanPS-BoldItalicMT" w:hAnsi="TimesNewRomanPS-BoldItalicMT"/>
                          <w:b/>
                          <w:i/>
                          <w:color w:val="000000"/>
                          <w:spacing w:val="40"/>
                          <w:sz w:val="24"/>
                        </w:rPr>
                        <w:t> </w:t>
                      </w:r>
                      <w:r>
                        <w:rPr>
                          <w:rFonts w:ascii="TimesNewRomanPS-BoldItalicMT" w:hAnsi="TimesNewRomanPS-BoldItalicMT"/>
                          <w:b/>
                          <w:i/>
                          <w:color w:val="000000"/>
                          <w:sz w:val="24"/>
                        </w:rPr>
                        <w:t>If a control is commercially available, provide supplier’s name and catalog number or other identifier; if</w:t>
                      </w:r>
                      <w:r>
                        <w:rPr>
                          <w:rFonts w:ascii="TimesNewRomanPS-BoldItalicMT" w:hAnsi="TimesNewRomanPS-BoldItalicMT"/>
                          <w:b/>
                          <w:i/>
                          <w:color w:val="000000"/>
                          <w:spacing w:val="-1"/>
                          <w:sz w:val="24"/>
                        </w:rPr>
                        <w:t> </w:t>
                      </w:r>
                      <w:r>
                        <w:rPr>
                          <w:rFonts w:ascii="TimesNewRomanPS-BoldItalicMT" w:hAnsi="TimesNewRomanPS-BoldItalicMT"/>
                          <w:b/>
                          <w:i/>
                          <w:color w:val="000000"/>
                          <w:sz w:val="24"/>
                        </w:rPr>
                        <w:t>your device</w:t>
                      </w:r>
                      <w:r>
                        <w:rPr>
                          <w:rFonts w:ascii="TimesNewRomanPS-BoldItalicMT" w:hAnsi="TimesNewRomanPS-BoldItalicMT"/>
                          <w:b/>
                          <w:i/>
                          <w:color w:val="000000"/>
                          <w:spacing w:val="-1"/>
                          <w:sz w:val="24"/>
                        </w:rPr>
                        <w:t> </w:t>
                      </w:r>
                      <w:r>
                        <w:rPr>
                          <w:rFonts w:ascii="TimesNewRomanPS-BoldItalicMT" w:hAnsi="TimesNewRomanPS-BoldItalicMT"/>
                          <w:b/>
                          <w:i/>
                          <w:color w:val="000000"/>
                          <w:sz w:val="24"/>
                        </w:rPr>
                        <w:t>relies on</w:t>
                      </w:r>
                      <w:r>
                        <w:rPr>
                          <w:rFonts w:ascii="TimesNewRomanPS-BoldItalicMT" w:hAnsi="TimesNewRomanPS-BoldItalicMT"/>
                          <w:b/>
                          <w:i/>
                          <w:color w:val="000000"/>
                          <w:spacing w:val="-1"/>
                          <w:sz w:val="24"/>
                        </w:rPr>
                        <w:t> </w:t>
                      </w:r>
                      <w:r>
                        <w:rPr>
                          <w:rFonts w:ascii="TimesNewRomanPS-BoldItalicMT" w:hAnsi="TimesNewRomanPS-BoldItalicMT"/>
                          <w:b/>
                          <w:i/>
                          <w:color w:val="000000"/>
                          <w:sz w:val="24"/>
                        </w:rPr>
                        <w:t>external controls that are</w:t>
                      </w:r>
                      <w:r>
                        <w:rPr>
                          <w:rFonts w:ascii="TimesNewRomanPS-BoldItalicMT" w:hAnsi="TimesNewRomanPS-BoldItalicMT"/>
                          <w:b/>
                          <w:i/>
                          <w:color w:val="000000"/>
                          <w:spacing w:val="-1"/>
                          <w:sz w:val="24"/>
                        </w:rPr>
                        <w:t> </w:t>
                      </w:r>
                      <w:r>
                        <w:rPr>
                          <w:rFonts w:ascii="TimesNewRomanPS-BoldItalicMT" w:hAnsi="TimesNewRomanPS-BoldItalicMT"/>
                          <w:b/>
                          <w:i/>
                          <w:color w:val="000000"/>
                          <w:sz w:val="24"/>
                        </w:rPr>
                        <w:t>manufactured by a third</w:t>
                      </w:r>
                    </w:p>
                  </w:txbxContent>
                </v:textbox>
                <v:fill type="solid"/>
              </v:shape>
            </w:pict>
          </mc:Fallback>
        </mc:AlternateContent>
      </w:r>
      <w:r>
        <w:rPr>
          <w:rFonts w:ascii="TimesNewRomanPS-BoldItalicMT"/>
          <w:sz w:val="20"/>
        </w:rPr>
      </w:r>
    </w:p>
    <w:p>
      <w:pPr>
        <w:spacing w:after="0"/>
        <w:rPr>
          <w:rFonts w:ascii="TimesNewRomanPS-BoldItalicMT"/>
          <w:sz w:val="20"/>
        </w:rPr>
        <w:sectPr>
          <w:pgSz w:w="12240" w:h="15840"/>
          <w:pgMar w:header="731" w:footer="785" w:top="1360" w:bottom="980" w:left="1280" w:right="1200"/>
        </w:sectPr>
      </w:pPr>
    </w:p>
    <w:p>
      <w:pPr>
        <w:pStyle w:val="Heading6"/>
        <w:spacing w:before="80"/>
      </w:pPr>
      <w:r>
        <w:rPr>
          <w:color w:val="000000"/>
          <w:shd w:fill="FFFF00" w:color="auto" w:val="clear"/>
        </w:rPr>
        <w:t>party</w:t>
      </w:r>
      <w:r>
        <w:rPr>
          <w:color w:val="000000"/>
          <w:spacing w:val="-3"/>
          <w:shd w:fill="FFFF00" w:color="auto" w:val="clear"/>
        </w:rPr>
        <w:t> </w:t>
      </w:r>
      <w:r>
        <w:rPr>
          <w:color w:val="000000"/>
          <w:shd w:fill="FFFF00" w:color="auto" w:val="clear"/>
        </w:rPr>
        <w:t>please</w:t>
      </w:r>
      <w:r>
        <w:rPr>
          <w:color w:val="000000"/>
          <w:spacing w:val="-4"/>
          <w:shd w:fill="FFFF00" w:color="auto" w:val="clear"/>
        </w:rPr>
        <w:t> </w:t>
      </w:r>
      <w:r>
        <w:rPr>
          <w:color w:val="000000"/>
          <w:shd w:fill="FFFF00" w:color="auto" w:val="clear"/>
        </w:rPr>
        <w:t>note</w:t>
      </w:r>
      <w:r>
        <w:rPr>
          <w:color w:val="000000"/>
          <w:spacing w:val="-3"/>
          <w:shd w:fill="FFFF00" w:color="auto" w:val="clear"/>
        </w:rPr>
        <w:t> </w:t>
      </w:r>
      <w:r>
        <w:rPr>
          <w:color w:val="000000"/>
          <w:shd w:fill="FFFF00" w:color="auto" w:val="clear"/>
        </w:rPr>
        <w:t>that</w:t>
      </w:r>
      <w:r>
        <w:rPr>
          <w:color w:val="000000"/>
          <w:spacing w:val="-4"/>
          <w:shd w:fill="FFFF00" w:color="auto" w:val="clear"/>
        </w:rPr>
        <w:t> </w:t>
      </w:r>
      <w:r>
        <w:rPr>
          <w:color w:val="000000"/>
          <w:shd w:fill="FFFF00" w:color="auto" w:val="clear"/>
        </w:rPr>
        <w:t>these</w:t>
      </w:r>
      <w:r>
        <w:rPr>
          <w:color w:val="000000"/>
          <w:spacing w:val="-3"/>
          <w:shd w:fill="FFFF00" w:color="auto" w:val="clear"/>
        </w:rPr>
        <w:t> </w:t>
      </w:r>
      <w:r>
        <w:rPr>
          <w:color w:val="000000"/>
          <w:shd w:fill="FFFF00" w:color="auto" w:val="clear"/>
        </w:rPr>
        <w:t>controls</w:t>
      </w:r>
      <w:r>
        <w:rPr>
          <w:color w:val="000000"/>
          <w:spacing w:val="-4"/>
          <w:shd w:fill="FFFF00" w:color="auto" w:val="clear"/>
        </w:rPr>
        <w:t> </w:t>
      </w:r>
      <w:r>
        <w:rPr>
          <w:color w:val="000000"/>
          <w:shd w:fill="FFFF00" w:color="auto" w:val="clear"/>
        </w:rPr>
        <w:t>should</w:t>
      </w:r>
      <w:r>
        <w:rPr>
          <w:color w:val="000000"/>
          <w:spacing w:val="-3"/>
          <w:shd w:fill="FFFF00" w:color="auto" w:val="clear"/>
        </w:rPr>
        <w:t> </w:t>
      </w:r>
      <w:r>
        <w:rPr>
          <w:color w:val="000000"/>
          <w:shd w:fill="FFFF00" w:color="auto" w:val="clear"/>
        </w:rPr>
        <w:t>also</w:t>
      </w:r>
      <w:r>
        <w:rPr>
          <w:color w:val="000000"/>
          <w:spacing w:val="-5"/>
          <w:shd w:fill="FFFF00" w:color="auto" w:val="clear"/>
        </w:rPr>
        <w:t> </w:t>
      </w:r>
      <w:r>
        <w:rPr>
          <w:color w:val="000000"/>
          <w:shd w:fill="FFFF00" w:color="auto" w:val="clear"/>
        </w:rPr>
        <w:t>be</w:t>
      </w:r>
      <w:r>
        <w:rPr>
          <w:color w:val="000000"/>
          <w:spacing w:val="-3"/>
          <w:shd w:fill="FFFF00" w:color="auto" w:val="clear"/>
        </w:rPr>
        <w:t> </w:t>
      </w:r>
      <w:r>
        <w:rPr>
          <w:color w:val="000000"/>
          <w:shd w:fill="FFFF00" w:color="auto" w:val="clear"/>
        </w:rPr>
        <w:t>validated</w:t>
      </w:r>
      <w:r>
        <w:rPr>
          <w:color w:val="000000"/>
          <w:spacing w:val="-5"/>
          <w:shd w:fill="FFFF00" w:color="auto" w:val="clear"/>
        </w:rPr>
        <w:t> </w:t>
      </w:r>
      <w:r>
        <w:rPr>
          <w:color w:val="000000"/>
          <w:shd w:fill="FFFF00" w:color="auto" w:val="clear"/>
        </w:rPr>
        <w:t>within</w:t>
      </w:r>
      <w:r>
        <w:rPr>
          <w:color w:val="000000"/>
          <w:spacing w:val="-4"/>
          <w:shd w:fill="FFFF00" w:color="auto" w:val="clear"/>
        </w:rPr>
        <w:t> </w:t>
      </w:r>
      <w:r>
        <w:rPr>
          <w:color w:val="000000"/>
          <w:shd w:fill="FFFF00" w:color="auto" w:val="clear"/>
        </w:rPr>
        <w:t>your</w:t>
      </w:r>
      <w:r>
        <w:rPr>
          <w:color w:val="000000"/>
          <w:spacing w:val="-4"/>
          <w:shd w:fill="FFFF00" w:color="auto" w:val="clear"/>
        </w:rPr>
        <w:t> </w:t>
      </w:r>
      <w:r>
        <w:rPr>
          <w:color w:val="000000"/>
          <w:shd w:fill="FFFF00" w:color="auto" w:val="clear"/>
        </w:rPr>
        <w:t>analytical</w:t>
      </w:r>
      <w:r>
        <w:rPr>
          <w:color w:val="000000"/>
          <w:spacing w:val="-3"/>
          <w:shd w:fill="FFFF00" w:color="auto" w:val="clear"/>
        </w:rPr>
        <w:t> </w:t>
      </w:r>
      <w:r>
        <w:rPr>
          <w:color w:val="000000"/>
          <w:shd w:fill="FFFF00" w:color="auto" w:val="clear"/>
        </w:rPr>
        <w:t>and</w:t>
      </w:r>
      <w:r>
        <w:rPr>
          <w:color w:val="000000"/>
        </w:rPr>
        <w:t> </w:t>
      </w:r>
      <w:r>
        <w:rPr>
          <w:color w:val="000000"/>
          <w:shd w:fill="FFFF00" w:color="auto" w:val="clear"/>
        </w:rPr>
        <w:t>clinical studies described below in Section J.]</w:t>
      </w:r>
    </w:p>
    <w:p>
      <w:pPr>
        <w:pStyle w:val="BodyText"/>
        <w:spacing w:before="11"/>
        <w:rPr>
          <w:rFonts w:ascii="TimesNewRomanPS-BoldItalicMT"/>
          <w:b/>
          <w:i/>
          <w:sz w:val="23"/>
        </w:rPr>
      </w:pPr>
    </w:p>
    <w:p>
      <w:pPr>
        <w:pStyle w:val="BodyText"/>
        <w:ind w:left="880"/>
      </w:pPr>
      <w:r>
        <w:rPr/>
        <w:t>Controls</w:t>
      </w:r>
      <w:r>
        <w:rPr>
          <w:spacing w:val="-2"/>
        </w:rPr>
        <w:t> </w:t>
      </w:r>
      <w:r>
        <w:rPr/>
        <w:t>that</w:t>
      </w:r>
      <w:r>
        <w:rPr>
          <w:spacing w:val="-1"/>
        </w:rPr>
        <w:t> </w:t>
      </w:r>
      <w:r>
        <w:rPr/>
        <w:t>will</w:t>
      </w:r>
      <w:r>
        <w:rPr>
          <w:spacing w:val="-1"/>
        </w:rPr>
        <w:t> </w:t>
      </w:r>
      <w:r>
        <w:rPr/>
        <w:t>be</w:t>
      </w:r>
      <w:r>
        <w:rPr>
          <w:spacing w:val="-1"/>
        </w:rPr>
        <w:t> </w:t>
      </w:r>
      <w:r>
        <w:rPr/>
        <w:t>provided</w:t>
      </w:r>
      <w:r>
        <w:rPr>
          <w:spacing w:val="-2"/>
        </w:rPr>
        <w:t> </w:t>
      </w:r>
      <w:r>
        <w:rPr/>
        <w:t>with</w:t>
      </w:r>
      <w:r>
        <w:rPr>
          <w:spacing w:val="-3"/>
        </w:rPr>
        <w:t> </w:t>
      </w:r>
      <w:r>
        <w:rPr/>
        <w:t>the</w:t>
      </w:r>
      <w:r>
        <w:rPr>
          <w:spacing w:val="-1"/>
        </w:rPr>
        <w:t> </w:t>
      </w:r>
      <w:r>
        <w:rPr/>
        <w:t>test</w:t>
      </w:r>
      <w:r>
        <w:rPr>
          <w:spacing w:val="-1"/>
        </w:rPr>
        <w:t> </w:t>
      </w:r>
      <w:r>
        <w:rPr/>
        <w:t>kit</w:t>
      </w:r>
      <w:r>
        <w:rPr>
          <w:spacing w:val="-2"/>
        </w:rPr>
        <w:t> include:</w:t>
      </w:r>
    </w:p>
    <w:p>
      <w:pPr>
        <w:pStyle w:val="BodyText"/>
      </w:pPr>
    </w:p>
    <w:p>
      <w:pPr>
        <w:pStyle w:val="ListParagraph"/>
        <w:numPr>
          <w:ilvl w:val="2"/>
          <w:numId w:val="13"/>
        </w:numPr>
        <w:tabs>
          <w:tab w:pos="1510" w:val="left" w:leader="none"/>
        </w:tabs>
        <w:spacing w:line="240" w:lineRule="auto" w:before="0" w:after="0"/>
        <w:ind w:left="1510" w:right="362" w:hanging="360"/>
        <w:jc w:val="left"/>
        <w:rPr>
          <w:sz w:val="24"/>
        </w:rPr>
      </w:pPr>
      <w:r>
        <w:rPr>
          <w:sz w:val="24"/>
        </w:rPr>
        <w:t>An external positive control for each antibody class claimed (e.g., IgG, IgM) is needed to </w:t>
      </w:r>
      <w:r>
        <w:rPr>
          <w:rFonts w:ascii="TimesNewRomanPS-BoldItalicMT" w:hAnsi="TimesNewRomanPS-BoldItalicMT"/>
          <w:b/>
          <w:i/>
          <w:color w:val="000000"/>
          <w:sz w:val="24"/>
          <w:shd w:fill="FFFF00" w:color="auto" w:val="clear"/>
        </w:rPr>
        <w:t>[describe need]</w:t>
      </w:r>
      <w:r>
        <w:rPr>
          <w:rFonts w:ascii="TimesNewRomanPS-BoldItalicMT" w:hAnsi="TimesNewRomanPS-BoldItalicMT"/>
          <w:b/>
          <w:i/>
          <w:color w:val="000000"/>
          <w:sz w:val="24"/>
        </w:rPr>
        <w:t> </w:t>
      </w:r>
      <w:r>
        <w:rPr>
          <w:color w:val="000000"/>
          <w:sz w:val="24"/>
        </w:rPr>
        <w:t>and is used </w:t>
      </w:r>
      <w:r>
        <w:rPr>
          <w:rFonts w:ascii="TimesNewRomanPS-BoldItalicMT" w:hAnsi="TimesNewRomanPS-BoldItalicMT"/>
          <w:b/>
          <w:i/>
          <w:color w:val="000000"/>
          <w:sz w:val="24"/>
          <w:shd w:fill="FFFF00" w:color="auto" w:val="clear"/>
        </w:rPr>
        <w:t>[describe use – please specify the</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concentration</w:t>
      </w:r>
      <w:r>
        <w:rPr>
          <w:rFonts w:ascii="TimesNewRomanPS-BoldItalicMT" w:hAnsi="TimesNewRomanPS-BoldItalicMT"/>
          <w:b/>
          <w:i/>
          <w:color w:val="000000"/>
          <w:spacing w:val="-4"/>
          <w:sz w:val="24"/>
          <w:shd w:fill="FFFF00" w:color="auto" w:val="clear"/>
        </w:rPr>
        <w:t> </w:t>
      </w:r>
      <w:r>
        <w:rPr>
          <w:rFonts w:ascii="TimesNewRomanPS-BoldItalicMT" w:hAnsi="TimesNewRomanPS-BoldItalicMT"/>
          <w:b/>
          <w:i/>
          <w:color w:val="000000"/>
          <w:sz w:val="24"/>
          <w:shd w:fill="FFFF00" w:color="auto" w:val="clear"/>
        </w:rPr>
        <w:t>of</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the</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positive</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control</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relative</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to</w:t>
      </w:r>
      <w:r>
        <w:rPr>
          <w:rFonts w:ascii="TimesNewRomanPS-BoldItalicMT" w:hAnsi="TimesNewRomanPS-BoldItalicMT"/>
          <w:b/>
          <w:i/>
          <w:color w:val="000000"/>
          <w:spacing w:val="-5"/>
          <w:sz w:val="24"/>
          <w:shd w:fill="FFFF00" w:color="auto" w:val="clear"/>
        </w:rPr>
        <w:t> </w:t>
      </w:r>
      <w:r>
        <w:rPr>
          <w:rFonts w:ascii="TimesNewRomanPS-BoldItalicMT" w:hAnsi="TimesNewRomanPS-BoldItalicMT"/>
          <w:b/>
          <w:i/>
          <w:color w:val="000000"/>
          <w:sz w:val="24"/>
          <w:shd w:fill="FFFF00" w:color="auto" w:val="clear"/>
        </w:rPr>
        <w:t>the</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cut-off</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of</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your</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test</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(note</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that</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ideally the positive control concentration should be such that it is close to the</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cut-off of your test) and specify frequency of use.]</w:t>
      </w:r>
    </w:p>
    <w:p>
      <w:pPr>
        <w:pStyle w:val="ListParagraph"/>
        <w:numPr>
          <w:ilvl w:val="2"/>
          <w:numId w:val="13"/>
        </w:numPr>
        <w:tabs>
          <w:tab w:pos="1510" w:val="left" w:leader="none"/>
        </w:tabs>
        <w:spacing w:line="240" w:lineRule="auto" w:before="160" w:after="0"/>
        <w:ind w:left="1510" w:right="270" w:hanging="360"/>
        <w:jc w:val="both"/>
        <w:rPr>
          <w:sz w:val="24"/>
        </w:rPr>
      </w:pPr>
      <w:r>
        <w:rPr>
          <w:sz w:val="24"/>
        </w:rPr>
        <w:t>An</w:t>
      </w:r>
      <w:r>
        <w:rPr>
          <w:spacing w:val="-3"/>
          <w:sz w:val="24"/>
        </w:rPr>
        <w:t> </w:t>
      </w:r>
      <w:r>
        <w:rPr>
          <w:sz w:val="24"/>
        </w:rPr>
        <w:t>external</w:t>
      </w:r>
      <w:r>
        <w:rPr>
          <w:spacing w:val="-4"/>
          <w:sz w:val="24"/>
        </w:rPr>
        <w:t> </w:t>
      </w:r>
      <w:r>
        <w:rPr>
          <w:sz w:val="24"/>
        </w:rPr>
        <w:t>negative</w:t>
      </w:r>
      <w:r>
        <w:rPr>
          <w:spacing w:val="-3"/>
          <w:sz w:val="24"/>
        </w:rPr>
        <w:t> </w:t>
      </w:r>
      <w:r>
        <w:rPr>
          <w:sz w:val="24"/>
        </w:rPr>
        <w:t>control</w:t>
      </w:r>
      <w:r>
        <w:rPr>
          <w:spacing w:val="-4"/>
          <w:sz w:val="24"/>
        </w:rPr>
        <w:t> </w:t>
      </w:r>
      <w:r>
        <w:rPr>
          <w:sz w:val="24"/>
        </w:rPr>
        <w:t>is</w:t>
      </w:r>
      <w:r>
        <w:rPr>
          <w:spacing w:val="-3"/>
          <w:sz w:val="24"/>
        </w:rPr>
        <w:t> </w:t>
      </w:r>
      <w:r>
        <w:rPr>
          <w:sz w:val="24"/>
        </w:rPr>
        <w:t>needed</w:t>
      </w:r>
      <w:r>
        <w:rPr>
          <w:spacing w:val="-3"/>
          <w:sz w:val="24"/>
        </w:rPr>
        <w:t> </w:t>
      </w:r>
      <w:r>
        <w:rPr>
          <w:sz w:val="24"/>
        </w:rPr>
        <w:t>to</w:t>
      </w:r>
      <w:r>
        <w:rPr>
          <w:spacing w:val="-3"/>
          <w:sz w:val="24"/>
        </w:rPr>
        <w:t> </w:t>
      </w:r>
      <w:r>
        <w:rPr>
          <w:rFonts w:ascii="TimesNewRomanPS-BoldItalicMT" w:hAnsi="TimesNewRomanPS-BoldItalicMT"/>
          <w:b/>
          <w:i/>
          <w:color w:val="000000"/>
          <w:sz w:val="24"/>
          <w:shd w:fill="FFFF00" w:color="auto" w:val="clear"/>
        </w:rPr>
        <w:t>[describe</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need]</w:t>
      </w:r>
      <w:r>
        <w:rPr>
          <w:rFonts w:ascii="TimesNewRomanPS-BoldItalicMT" w:hAnsi="TimesNewRomanPS-BoldItalicMT"/>
          <w:b/>
          <w:i/>
          <w:color w:val="000000"/>
          <w:spacing w:val="-3"/>
          <w:sz w:val="24"/>
        </w:rPr>
        <w:t> </w:t>
      </w:r>
      <w:r>
        <w:rPr>
          <w:color w:val="000000"/>
          <w:sz w:val="24"/>
        </w:rPr>
        <w:t>and</w:t>
      </w:r>
      <w:r>
        <w:rPr>
          <w:color w:val="000000"/>
          <w:spacing w:val="-5"/>
          <w:sz w:val="24"/>
        </w:rPr>
        <w:t> </w:t>
      </w:r>
      <w:r>
        <w:rPr>
          <w:color w:val="000000"/>
          <w:sz w:val="24"/>
        </w:rPr>
        <w:t>is</w:t>
      </w:r>
      <w:r>
        <w:rPr>
          <w:color w:val="000000"/>
          <w:spacing w:val="-3"/>
          <w:sz w:val="24"/>
        </w:rPr>
        <w:t> </w:t>
      </w:r>
      <w:r>
        <w:rPr>
          <w:color w:val="000000"/>
          <w:sz w:val="24"/>
        </w:rPr>
        <w:t>used</w:t>
      </w:r>
      <w:r>
        <w:rPr>
          <w:color w:val="000000"/>
          <w:spacing w:val="-3"/>
          <w:sz w:val="24"/>
        </w:rPr>
        <w:t> </w:t>
      </w:r>
      <w:r>
        <w:rPr>
          <w:rFonts w:ascii="TimesNewRomanPS-BoldItalicMT" w:hAnsi="TimesNewRomanPS-BoldItalicMT"/>
          <w:b/>
          <w:i/>
          <w:color w:val="000000"/>
          <w:sz w:val="24"/>
          <w:shd w:fill="FFFF00" w:color="auto" w:val="clear"/>
        </w:rPr>
        <w:t>[describe</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use</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 please specify the composition of the negative control and specify frequency of</w:t>
      </w:r>
      <w:r>
        <w:rPr>
          <w:rFonts w:ascii="TimesNewRomanPS-BoldItalicMT" w:hAnsi="TimesNewRomanPS-BoldItalicMT"/>
          <w:b/>
          <w:i/>
          <w:color w:val="000000"/>
          <w:sz w:val="24"/>
        </w:rPr>
        <w:t> </w:t>
      </w:r>
      <w:r>
        <w:rPr>
          <w:rFonts w:ascii="TimesNewRomanPS-BoldItalicMT" w:hAnsi="TimesNewRomanPS-BoldItalicMT"/>
          <w:b/>
          <w:i/>
          <w:color w:val="000000"/>
          <w:spacing w:val="-2"/>
          <w:sz w:val="24"/>
          <w:shd w:fill="FFFF00" w:color="auto" w:val="clear"/>
        </w:rPr>
        <w:t>use.]</w:t>
      </w:r>
    </w:p>
    <w:p>
      <w:pPr>
        <w:pStyle w:val="Heading6"/>
        <w:numPr>
          <w:ilvl w:val="2"/>
          <w:numId w:val="13"/>
        </w:numPr>
        <w:tabs>
          <w:tab w:pos="1510" w:val="left" w:leader="none"/>
        </w:tabs>
        <w:spacing w:line="240" w:lineRule="auto" w:before="160" w:after="0"/>
        <w:ind w:left="1510" w:right="615" w:hanging="360"/>
        <w:jc w:val="left"/>
        <w:rPr>
          <w:rFonts w:ascii="Times New Roman" w:hAnsi="Times New Roman"/>
          <w:b w:val="0"/>
          <w:i w:val="0"/>
        </w:rPr>
      </w:pPr>
      <w:r>
        <w:rPr>
          <w:rFonts w:ascii="Times New Roman" w:hAnsi="Times New Roman"/>
          <w:b w:val="0"/>
          <w:i w:val="0"/>
        </w:rPr>
        <w:t>A </w:t>
      </w:r>
      <w:r>
        <w:rPr>
          <w:color w:val="000000"/>
          <w:shd w:fill="FFFF00" w:color="auto" w:val="clear"/>
        </w:rPr>
        <w:t>[other (e.g., sample adequacy, internal, etc.)]</w:t>
      </w:r>
      <w:r>
        <w:rPr>
          <w:color w:val="000000"/>
        </w:rPr>
        <w:t> </w:t>
      </w:r>
      <w:r>
        <w:rPr>
          <w:rFonts w:ascii="Times New Roman" w:hAnsi="Times New Roman"/>
          <w:b w:val="0"/>
          <w:i w:val="0"/>
          <w:color w:val="000000"/>
        </w:rPr>
        <w:t>control is needed to </w:t>
      </w:r>
      <w:r>
        <w:rPr>
          <w:color w:val="000000"/>
          <w:shd w:fill="FFFF00" w:color="auto" w:val="clear"/>
        </w:rPr>
        <w:t>[describe</w:t>
      </w:r>
      <w:r>
        <w:rPr>
          <w:color w:val="000000"/>
        </w:rPr>
        <w:t> </w:t>
      </w:r>
      <w:r>
        <w:rPr>
          <w:color w:val="000000"/>
          <w:shd w:fill="FFFF00" w:color="auto" w:val="clear"/>
        </w:rPr>
        <w:t>need]</w:t>
      </w:r>
      <w:r>
        <w:rPr>
          <w:color w:val="000000"/>
          <w:spacing w:val="-3"/>
        </w:rPr>
        <w:t> </w:t>
      </w:r>
      <w:r>
        <w:rPr>
          <w:rFonts w:ascii="Times New Roman" w:hAnsi="Times New Roman"/>
          <w:b w:val="0"/>
          <w:i w:val="0"/>
          <w:color w:val="000000"/>
        </w:rPr>
        <w:t>and</w:t>
      </w:r>
      <w:r>
        <w:rPr>
          <w:rFonts w:ascii="Times New Roman" w:hAnsi="Times New Roman"/>
          <w:b w:val="0"/>
          <w:i w:val="0"/>
          <w:color w:val="000000"/>
          <w:spacing w:val="-3"/>
        </w:rPr>
        <w:t> </w:t>
      </w:r>
      <w:r>
        <w:rPr>
          <w:rFonts w:ascii="Times New Roman" w:hAnsi="Times New Roman"/>
          <w:b w:val="0"/>
          <w:i w:val="0"/>
          <w:color w:val="000000"/>
        </w:rPr>
        <w:t>is</w:t>
      </w:r>
      <w:r>
        <w:rPr>
          <w:rFonts w:ascii="Times New Roman" w:hAnsi="Times New Roman"/>
          <w:b w:val="0"/>
          <w:i w:val="0"/>
          <w:color w:val="000000"/>
          <w:spacing w:val="-4"/>
        </w:rPr>
        <w:t> </w:t>
      </w:r>
      <w:r>
        <w:rPr>
          <w:rFonts w:ascii="Times New Roman" w:hAnsi="Times New Roman"/>
          <w:b w:val="0"/>
          <w:i w:val="0"/>
          <w:color w:val="000000"/>
        </w:rPr>
        <w:t>used</w:t>
      </w:r>
      <w:r>
        <w:rPr>
          <w:rFonts w:ascii="Times New Roman" w:hAnsi="Times New Roman"/>
          <w:b w:val="0"/>
          <w:i w:val="0"/>
          <w:color w:val="000000"/>
          <w:spacing w:val="-3"/>
        </w:rPr>
        <w:t> </w:t>
      </w:r>
      <w:r>
        <w:rPr>
          <w:color w:val="000000"/>
          <w:shd w:fill="FFFF00" w:color="auto" w:val="clear"/>
        </w:rPr>
        <w:t>[describe</w:t>
      </w:r>
      <w:r>
        <w:rPr>
          <w:color w:val="000000"/>
          <w:spacing w:val="-3"/>
          <w:shd w:fill="FFFF00" w:color="auto" w:val="clear"/>
        </w:rPr>
        <w:t> </w:t>
      </w:r>
      <w:r>
        <w:rPr>
          <w:color w:val="000000"/>
          <w:shd w:fill="FFFF00" w:color="auto" w:val="clear"/>
        </w:rPr>
        <w:t>use</w:t>
      </w:r>
      <w:r>
        <w:rPr>
          <w:color w:val="000000"/>
          <w:spacing w:val="-3"/>
          <w:shd w:fill="FFFF00" w:color="auto" w:val="clear"/>
        </w:rPr>
        <w:t> </w:t>
      </w:r>
      <w:r>
        <w:rPr>
          <w:color w:val="000000"/>
          <w:shd w:fill="FFFF00" w:color="auto" w:val="clear"/>
        </w:rPr>
        <w:t>–</w:t>
      </w:r>
      <w:r>
        <w:rPr>
          <w:color w:val="000000"/>
          <w:spacing w:val="-3"/>
          <w:shd w:fill="FFFF00" w:color="auto" w:val="clear"/>
        </w:rPr>
        <w:t> </w:t>
      </w:r>
      <w:r>
        <w:rPr>
          <w:color w:val="000000"/>
          <w:shd w:fill="FFFF00" w:color="auto" w:val="clear"/>
        </w:rPr>
        <w:t>please</w:t>
      </w:r>
      <w:r>
        <w:rPr>
          <w:color w:val="000000"/>
          <w:spacing w:val="-3"/>
          <w:shd w:fill="FFFF00" w:color="auto" w:val="clear"/>
        </w:rPr>
        <w:t> </w:t>
      </w:r>
      <w:r>
        <w:rPr>
          <w:color w:val="000000"/>
          <w:shd w:fill="FFFF00" w:color="auto" w:val="clear"/>
        </w:rPr>
        <w:t>specify</w:t>
      </w:r>
      <w:r>
        <w:rPr>
          <w:color w:val="000000"/>
          <w:spacing w:val="-4"/>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composition</w:t>
      </w:r>
      <w:r>
        <w:rPr>
          <w:color w:val="000000"/>
          <w:spacing w:val="-4"/>
          <w:shd w:fill="FFFF00" w:color="auto" w:val="clear"/>
        </w:rPr>
        <w:t> </w:t>
      </w:r>
      <w:r>
        <w:rPr>
          <w:color w:val="000000"/>
          <w:shd w:fill="FFFF00" w:color="auto" w:val="clear"/>
        </w:rPr>
        <w:t>of</w:t>
      </w:r>
      <w:r>
        <w:rPr>
          <w:color w:val="000000"/>
          <w:spacing w:val="-3"/>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control</w:t>
      </w:r>
      <w:r>
        <w:rPr>
          <w:color w:val="000000"/>
        </w:rPr>
        <w:t> </w:t>
      </w:r>
      <w:r>
        <w:rPr>
          <w:color w:val="000000"/>
          <w:shd w:fill="FFFF00" w:color="auto" w:val="clear"/>
        </w:rPr>
        <w:t>and specify frequency of use.]</w:t>
      </w:r>
    </w:p>
    <w:p>
      <w:pPr>
        <w:pStyle w:val="BodyText"/>
        <w:spacing w:before="2"/>
        <w:rPr>
          <w:rFonts w:ascii="TimesNewRomanPS-BoldItalicMT"/>
          <w:b/>
          <w:i/>
          <w:sz w:val="16"/>
        </w:rPr>
      </w:pPr>
    </w:p>
    <w:p>
      <w:pPr>
        <w:spacing w:before="90"/>
        <w:ind w:left="880" w:right="303" w:firstLine="0"/>
        <w:jc w:val="left"/>
        <w:rPr>
          <w:sz w:val="24"/>
        </w:rPr>
      </w:pPr>
      <w:r>
        <w:rPr>
          <w:sz w:val="24"/>
        </w:rPr>
        <w:t>Controls that are required but not provided with the test kit include </w:t>
      </w:r>
      <w:r>
        <w:rPr>
          <w:rFonts w:ascii="TimesNewRomanPS-BoldItalicMT" w:hAnsi="TimesNewRomanPS-BoldItalicMT"/>
          <w:b/>
          <w:i/>
          <w:color w:val="000000"/>
          <w:sz w:val="24"/>
          <w:shd w:fill="FFFF00" w:color="auto" w:val="clear"/>
        </w:rPr>
        <w:t>[describe control –</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provide recommended sources of the control materials – either a separate control kit</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for purchase that you develop and market or a control material that can be purchased</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from</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a</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third</w:t>
      </w:r>
      <w:r>
        <w:rPr>
          <w:rFonts w:ascii="TimesNewRomanPS-BoldItalicMT" w:hAnsi="TimesNewRomanPS-BoldItalicMT"/>
          <w:b/>
          <w:i/>
          <w:color w:val="000000"/>
          <w:spacing w:val="-5"/>
          <w:sz w:val="24"/>
          <w:shd w:fill="FFFF00" w:color="auto" w:val="clear"/>
        </w:rPr>
        <w:t> </w:t>
      </w:r>
      <w:r>
        <w:rPr>
          <w:rFonts w:ascii="TimesNewRomanPS-BoldItalicMT" w:hAnsi="TimesNewRomanPS-BoldItalicMT"/>
          <w:b/>
          <w:i/>
          <w:color w:val="000000"/>
          <w:sz w:val="24"/>
          <w:shd w:fill="FFFF00" w:color="auto" w:val="clear"/>
        </w:rPr>
        <w:t>party]</w:t>
      </w:r>
      <w:r>
        <w:rPr>
          <w:rFonts w:ascii="TimesNewRomanPS-BoldItalicMT" w:hAnsi="TimesNewRomanPS-BoldItalicMT"/>
          <w:b/>
          <w:i/>
          <w:color w:val="000000"/>
          <w:sz w:val="24"/>
        </w:rPr>
        <w:t>.</w:t>
      </w:r>
      <w:r>
        <w:rPr>
          <w:rFonts w:ascii="TimesNewRomanPS-BoldItalicMT" w:hAnsi="TimesNewRomanPS-BoldItalicMT"/>
          <w:b/>
          <w:i/>
          <w:color w:val="000000"/>
          <w:spacing w:val="-3"/>
          <w:sz w:val="24"/>
        </w:rPr>
        <w:t> </w:t>
      </w:r>
      <w:r>
        <w:rPr>
          <w:color w:val="000000"/>
          <w:sz w:val="24"/>
        </w:rPr>
        <w:t>This/these</w:t>
      </w:r>
      <w:r>
        <w:rPr>
          <w:color w:val="000000"/>
          <w:spacing w:val="-3"/>
          <w:sz w:val="24"/>
        </w:rPr>
        <w:t> </w:t>
      </w:r>
      <w:r>
        <w:rPr>
          <w:color w:val="000000"/>
          <w:sz w:val="24"/>
        </w:rPr>
        <w:t>control(s)</w:t>
      </w:r>
      <w:r>
        <w:rPr>
          <w:color w:val="000000"/>
          <w:spacing w:val="-4"/>
          <w:sz w:val="24"/>
        </w:rPr>
        <w:t> </w:t>
      </w:r>
      <w:r>
        <w:rPr>
          <w:color w:val="000000"/>
          <w:sz w:val="24"/>
        </w:rPr>
        <w:t>is/are</w:t>
      </w:r>
      <w:r>
        <w:rPr>
          <w:color w:val="000000"/>
          <w:spacing w:val="-3"/>
          <w:sz w:val="24"/>
        </w:rPr>
        <w:t> </w:t>
      </w:r>
      <w:r>
        <w:rPr>
          <w:color w:val="000000"/>
          <w:sz w:val="24"/>
        </w:rPr>
        <w:t>needed</w:t>
      </w:r>
      <w:r>
        <w:rPr>
          <w:color w:val="000000"/>
          <w:spacing w:val="-3"/>
          <w:sz w:val="24"/>
        </w:rPr>
        <w:t> </w:t>
      </w:r>
      <w:r>
        <w:rPr>
          <w:color w:val="000000"/>
          <w:sz w:val="24"/>
        </w:rPr>
        <w:t>to</w:t>
      </w:r>
      <w:r>
        <w:rPr>
          <w:color w:val="000000"/>
          <w:spacing w:val="-4"/>
          <w:sz w:val="24"/>
        </w:rPr>
        <w:t> </w:t>
      </w:r>
      <w:r>
        <w:rPr>
          <w:rFonts w:ascii="TimesNewRomanPS-BoldItalicMT" w:hAnsi="TimesNewRomanPS-BoldItalicMT"/>
          <w:b/>
          <w:i/>
          <w:color w:val="000000"/>
          <w:sz w:val="24"/>
          <w:shd w:fill="FFFF00" w:color="auto" w:val="clear"/>
        </w:rPr>
        <w:t>[describe</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need]</w:t>
      </w:r>
      <w:r>
        <w:rPr>
          <w:rFonts w:ascii="TimesNewRomanPS-BoldItalicMT" w:hAnsi="TimesNewRomanPS-BoldItalicMT"/>
          <w:b/>
          <w:i/>
          <w:color w:val="000000"/>
          <w:spacing w:val="-4"/>
          <w:sz w:val="24"/>
        </w:rPr>
        <w:t> </w:t>
      </w:r>
      <w:r>
        <w:rPr>
          <w:color w:val="000000"/>
          <w:sz w:val="24"/>
        </w:rPr>
        <w:t>and</w:t>
      </w:r>
      <w:r>
        <w:rPr>
          <w:color w:val="000000"/>
          <w:spacing w:val="-3"/>
          <w:sz w:val="24"/>
        </w:rPr>
        <w:t> </w:t>
      </w:r>
      <w:r>
        <w:rPr>
          <w:color w:val="000000"/>
          <w:sz w:val="24"/>
        </w:rPr>
        <w:t>is/are</w:t>
      </w:r>
      <w:r>
        <w:rPr>
          <w:color w:val="000000"/>
          <w:spacing w:val="-3"/>
          <w:sz w:val="24"/>
        </w:rPr>
        <w:t> </w:t>
      </w:r>
      <w:r>
        <w:rPr>
          <w:color w:val="000000"/>
          <w:sz w:val="24"/>
        </w:rPr>
        <w:t>used </w:t>
      </w:r>
      <w:r>
        <w:rPr>
          <w:rFonts w:ascii="TimesNewRomanPS-BoldItalicMT" w:hAnsi="TimesNewRomanPS-BoldItalicMT"/>
          <w:b/>
          <w:i/>
          <w:color w:val="000000"/>
          <w:sz w:val="24"/>
          <w:shd w:fill="FFFF00" w:color="auto" w:val="clear"/>
        </w:rPr>
        <w:t>[describe use – please also specify frequency of use]</w:t>
      </w:r>
      <w:r>
        <w:rPr>
          <w:color w:val="000000"/>
          <w:sz w:val="24"/>
        </w:rPr>
        <w:t>.</w:t>
      </w:r>
    </w:p>
    <w:p>
      <w:pPr>
        <w:pStyle w:val="BodyText"/>
        <w:spacing w:before="10"/>
        <w:rPr>
          <w:sz w:val="20"/>
        </w:rPr>
      </w:pPr>
    </w:p>
    <w:p>
      <w:pPr>
        <w:pStyle w:val="Heading4"/>
        <w:numPr>
          <w:ilvl w:val="0"/>
          <w:numId w:val="13"/>
        </w:numPr>
        <w:tabs>
          <w:tab w:pos="518" w:val="left" w:leader="none"/>
        </w:tabs>
        <w:spacing w:line="240" w:lineRule="auto" w:before="0" w:after="0"/>
        <w:ind w:left="518" w:right="0" w:hanging="358"/>
        <w:jc w:val="left"/>
      </w:pPr>
      <w:bookmarkStart w:name="H. INTERPRETATION OF RESULTS" w:id="89"/>
      <w:bookmarkEnd w:id="89"/>
      <w:r>
        <w:rPr>
          <w:b w:val="0"/>
        </w:rPr>
      </w:r>
      <w:r>
        <w:rPr/>
        <w:t>INTERPRETATION</w:t>
      </w:r>
      <w:r>
        <w:rPr>
          <w:spacing w:val="-5"/>
        </w:rPr>
        <w:t> </w:t>
      </w:r>
      <w:r>
        <w:rPr/>
        <w:t>OF</w:t>
      </w:r>
      <w:r>
        <w:rPr>
          <w:spacing w:val="-4"/>
        </w:rPr>
        <w:t> </w:t>
      </w:r>
      <w:r>
        <w:rPr>
          <w:spacing w:val="-2"/>
        </w:rPr>
        <w:t>RESULTS</w:t>
      </w:r>
    </w:p>
    <w:p>
      <w:pPr>
        <w:pStyle w:val="BodyText"/>
        <w:spacing w:before="120"/>
        <w:ind w:left="520" w:right="341"/>
      </w:pPr>
      <w:r>
        <w:rPr/>
        <w:t>Assessment of </w:t>
      </w:r>
      <w:r>
        <w:rPr>
          <w:rFonts w:ascii="TimesNewRomanPS-BoldItalicMT"/>
          <w:b/>
          <w:i/>
          <w:color w:val="000000"/>
          <w:shd w:fill="FFFF00" w:color="auto" w:val="clear"/>
        </w:rPr>
        <w:t>[test name]</w:t>
      </w:r>
      <w:r>
        <w:rPr>
          <w:rFonts w:ascii="TimesNewRomanPS-BoldItalicMT"/>
          <w:b/>
          <w:i/>
          <w:color w:val="000000"/>
        </w:rPr>
        <w:t> </w:t>
      </w:r>
      <w:r>
        <w:rPr>
          <w:color w:val="000000"/>
        </w:rPr>
        <w:t>results should be performed after the positive and negative controls</w:t>
      </w:r>
      <w:r>
        <w:rPr>
          <w:color w:val="000000"/>
          <w:spacing w:val="-3"/>
        </w:rPr>
        <w:t> </w:t>
      </w:r>
      <w:r>
        <w:rPr>
          <w:color w:val="000000"/>
        </w:rPr>
        <w:t>have</w:t>
      </w:r>
      <w:r>
        <w:rPr>
          <w:color w:val="000000"/>
          <w:spacing w:val="-3"/>
        </w:rPr>
        <w:t> </w:t>
      </w:r>
      <w:r>
        <w:rPr>
          <w:color w:val="000000"/>
        </w:rPr>
        <w:t>been</w:t>
      </w:r>
      <w:r>
        <w:rPr>
          <w:color w:val="000000"/>
          <w:spacing w:val="-3"/>
        </w:rPr>
        <w:t> </w:t>
      </w:r>
      <w:r>
        <w:rPr>
          <w:color w:val="000000"/>
        </w:rPr>
        <w:t>examined</w:t>
      </w:r>
      <w:r>
        <w:rPr>
          <w:color w:val="000000"/>
          <w:spacing w:val="-3"/>
        </w:rPr>
        <w:t> </w:t>
      </w:r>
      <w:r>
        <w:rPr>
          <w:color w:val="000000"/>
        </w:rPr>
        <w:t>and</w:t>
      </w:r>
      <w:r>
        <w:rPr>
          <w:color w:val="000000"/>
          <w:spacing w:val="-3"/>
        </w:rPr>
        <w:t> </w:t>
      </w:r>
      <w:r>
        <w:rPr>
          <w:color w:val="000000"/>
        </w:rPr>
        <w:t>determined</w:t>
      </w:r>
      <w:r>
        <w:rPr>
          <w:color w:val="000000"/>
          <w:spacing w:val="-3"/>
        </w:rPr>
        <w:t> </w:t>
      </w:r>
      <w:r>
        <w:rPr>
          <w:color w:val="000000"/>
        </w:rPr>
        <w:t>to</w:t>
      </w:r>
      <w:r>
        <w:rPr>
          <w:color w:val="000000"/>
          <w:spacing w:val="-3"/>
        </w:rPr>
        <w:t> </w:t>
      </w:r>
      <w:r>
        <w:rPr>
          <w:color w:val="000000"/>
        </w:rPr>
        <w:t>be</w:t>
      </w:r>
      <w:r>
        <w:rPr>
          <w:color w:val="000000"/>
          <w:spacing w:val="-3"/>
        </w:rPr>
        <w:t> </w:t>
      </w:r>
      <w:r>
        <w:rPr>
          <w:color w:val="000000"/>
        </w:rPr>
        <w:t>valid</w:t>
      </w:r>
      <w:r>
        <w:rPr>
          <w:color w:val="000000"/>
          <w:spacing w:val="-5"/>
        </w:rPr>
        <w:t> </w:t>
      </w:r>
      <w:r>
        <w:rPr>
          <w:color w:val="000000"/>
        </w:rPr>
        <w:t>and</w:t>
      </w:r>
      <w:r>
        <w:rPr>
          <w:color w:val="000000"/>
          <w:spacing w:val="-3"/>
        </w:rPr>
        <w:t> </w:t>
      </w:r>
      <w:r>
        <w:rPr>
          <w:color w:val="000000"/>
        </w:rPr>
        <w:t>acceptable.</w:t>
      </w:r>
      <w:r>
        <w:rPr>
          <w:color w:val="000000"/>
          <w:spacing w:val="-3"/>
        </w:rPr>
        <w:t> </w:t>
      </w:r>
      <w:r>
        <w:rPr>
          <w:color w:val="000000"/>
        </w:rPr>
        <w:t>If</w:t>
      </w:r>
      <w:r>
        <w:rPr>
          <w:color w:val="000000"/>
          <w:spacing w:val="-5"/>
        </w:rPr>
        <w:t> </w:t>
      </w:r>
      <w:r>
        <w:rPr>
          <w:color w:val="000000"/>
        </w:rPr>
        <w:t>the</w:t>
      </w:r>
      <w:r>
        <w:rPr>
          <w:color w:val="000000"/>
          <w:spacing w:val="-3"/>
        </w:rPr>
        <w:t> </w:t>
      </w:r>
      <w:r>
        <w:rPr>
          <w:color w:val="000000"/>
        </w:rPr>
        <w:t>controls</w:t>
      </w:r>
      <w:r>
        <w:rPr>
          <w:color w:val="000000"/>
          <w:spacing w:val="-4"/>
        </w:rPr>
        <w:t> </w:t>
      </w:r>
      <w:r>
        <w:rPr>
          <w:color w:val="000000"/>
        </w:rPr>
        <w:t>are not valid, the patient results cannot be interpreted.</w:t>
      </w:r>
    </w:p>
    <w:p>
      <w:pPr>
        <w:pStyle w:val="BodyText"/>
        <w:spacing w:before="2"/>
        <w:rPr>
          <w:sz w:val="16"/>
        </w:rPr>
      </w:pPr>
    </w:p>
    <w:p>
      <w:pPr>
        <w:pStyle w:val="Heading6"/>
        <w:ind w:left="520" w:right="417"/>
      </w:pPr>
      <w:r>
        <w:rPr>
          <w:color w:val="000000"/>
          <w:shd w:fill="FFFF00" w:color="auto" w:val="clear"/>
        </w:rPr>
        <w:t>[Clearly describe how results are to be interpreted. If applicable, clearly indicate how to</w:t>
      </w:r>
      <w:r>
        <w:rPr>
          <w:color w:val="000000"/>
        </w:rPr>
        <w:t> </w:t>
      </w:r>
      <w:r>
        <w:rPr>
          <w:color w:val="000000"/>
          <w:shd w:fill="FFFF00" w:color="auto" w:val="clear"/>
        </w:rPr>
        <w:t>interpret</w:t>
      </w:r>
      <w:r>
        <w:rPr>
          <w:color w:val="000000"/>
          <w:spacing w:val="-3"/>
          <w:shd w:fill="FFFF00" w:color="auto" w:val="clear"/>
        </w:rPr>
        <w:t> </w:t>
      </w:r>
      <w:r>
        <w:rPr>
          <w:color w:val="000000"/>
          <w:shd w:fill="FFFF00" w:color="auto" w:val="clear"/>
        </w:rPr>
        <w:t>numeric</w:t>
      </w:r>
      <w:r>
        <w:rPr>
          <w:color w:val="000000"/>
          <w:spacing w:val="-3"/>
          <w:shd w:fill="FFFF00" w:color="auto" w:val="clear"/>
        </w:rPr>
        <w:t> </w:t>
      </w:r>
      <w:r>
        <w:rPr>
          <w:color w:val="000000"/>
          <w:shd w:fill="FFFF00" w:color="auto" w:val="clear"/>
        </w:rPr>
        <w:t>test</w:t>
      </w:r>
      <w:r>
        <w:rPr>
          <w:color w:val="000000"/>
          <w:spacing w:val="-3"/>
          <w:shd w:fill="FFFF00" w:color="auto" w:val="clear"/>
        </w:rPr>
        <w:t> </w:t>
      </w:r>
      <w:r>
        <w:rPr>
          <w:color w:val="000000"/>
          <w:shd w:fill="FFFF00" w:color="auto" w:val="clear"/>
        </w:rPr>
        <w:t>values</w:t>
      </w:r>
      <w:r>
        <w:rPr>
          <w:color w:val="000000"/>
          <w:spacing w:val="-3"/>
          <w:shd w:fill="FFFF00" w:color="auto" w:val="clear"/>
        </w:rPr>
        <w:t> </w:t>
      </w:r>
      <w:r>
        <w:rPr>
          <w:color w:val="000000"/>
          <w:shd w:fill="FFFF00" w:color="auto" w:val="clear"/>
        </w:rPr>
        <w:t>as</w:t>
      </w:r>
      <w:r>
        <w:rPr>
          <w:color w:val="000000"/>
          <w:spacing w:val="-3"/>
          <w:shd w:fill="FFFF00" w:color="auto" w:val="clear"/>
        </w:rPr>
        <w:t> </w:t>
      </w:r>
      <w:r>
        <w:rPr>
          <w:color w:val="000000"/>
          <w:shd w:fill="FFFF00" w:color="auto" w:val="clear"/>
        </w:rPr>
        <w:t>positive</w:t>
      </w:r>
      <w:r>
        <w:rPr>
          <w:color w:val="000000"/>
          <w:spacing w:val="-3"/>
          <w:shd w:fill="FFFF00" w:color="auto" w:val="clear"/>
        </w:rPr>
        <w:t> </w:t>
      </w:r>
      <w:r>
        <w:rPr>
          <w:color w:val="000000"/>
          <w:shd w:fill="FFFF00" w:color="auto" w:val="clear"/>
        </w:rPr>
        <w:t>or</w:t>
      </w:r>
      <w:r>
        <w:rPr>
          <w:color w:val="000000"/>
          <w:spacing w:val="-3"/>
          <w:shd w:fill="FFFF00" w:color="auto" w:val="clear"/>
        </w:rPr>
        <w:t> </w:t>
      </w:r>
      <w:r>
        <w:rPr>
          <w:color w:val="000000"/>
          <w:shd w:fill="FFFF00" w:color="auto" w:val="clear"/>
        </w:rPr>
        <w:t>negative</w:t>
      </w:r>
      <w:r>
        <w:rPr>
          <w:color w:val="000000"/>
          <w:spacing w:val="-4"/>
          <w:shd w:fill="FFFF00" w:color="auto" w:val="clear"/>
        </w:rPr>
        <w:t> </w:t>
      </w:r>
      <w:r>
        <w:rPr>
          <w:color w:val="000000"/>
          <w:shd w:fill="FFFF00" w:color="auto" w:val="clear"/>
        </w:rPr>
        <w:t>for</w:t>
      </w:r>
      <w:r>
        <w:rPr>
          <w:color w:val="000000"/>
          <w:spacing w:val="-3"/>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presence</w:t>
      </w:r>
      <w:r>
        <w:rPr>
          <w:color w:val="000000"/>
          <w:spacing w:val="-3"/>
          <w:shd w:fill="FFFF00" w:color="auto" w:val="clear"/>
        </w:rPr>
        <w:t> </w:t>
      </w:r>
      <w:r>
        <w:rPr>
          <w:color w:val="000000"/>
          <w:shd w:fill="FFFF00" w:color="auto" w:val="clear"/>
        </w:rPr>
        <w:t>of</w:t>
      </w:r>
      <w:r>
        <w:rPr>
          <w:color w:val="000000"/>
          <w:spacing w:val="-4"/>
          <w:shd w:fill="FFFF00" w:color="auto" w:val="clear"/>
        </w:rPr>
        <w:t> </w:t>
      </w:r>
      <w:r>
        <w:rPr>
          <w:color w:val="000000"/>
          <w:shd w:fill="FFFF00" w:color="auto" w:val="clear"/>
        </w:rPr>
        <w:t>antibodies</w:t>
      </w:r>
      <w:r>
        <w:rPr>
          <w:color w:val="000000"/>
          <w:spacing w:val="-3"/>
          <w:shd w:fill="FFFF00" w:color="auto" w:val="clear"/>
        </w:rPr>
        <w:t> </w:t>
      </w:r>
      <w:r>
        <w:rPr>
          <w:color w:val="000000"/>
          <w:shd w:fill="FFFF00" w:color="auto" w:val="clear"/>
        </w:rPr>
        <w:t>against</w:t>
      </w:r>
      <w:r>
        <w:rPr>
          <w:color w:val="000000"/>
        </w:rPr>
        <w:t> </w:t>
      </w:r>
      <w:r>
        <w:rPr>
          <w:color w:val="000000"/>
          <w:shd w:fill="FFFF00" w:color="auto" w:val="clear"/>
        </w:rPr>
        <w:t>SARS-CoV-2.</w:t>
      </w:r>
      <w:r>
        <w:rPr>
          <w:color w:val="000000"/>
          <w:spacing w:val="-2"/>
          <w:shd w:fill="FFFF00" w:color="auto" w:val="clear"/>
        </w:rPr>
        <w:t> </w:t>
      </w:r>
      <w:r>
        <w:rPr>
          <w:color w:val="000000"/>
          <w:shd w:fill="FFFF00" w:color="auto" w:val="clear"/>
        </w:rPr>
        <w:t>Indicate</w:t>
      </w:r>
      <w:r>
        <w:rPr>
          <w:color w:val="000000"/>
          <w:spacing w:val="-3"/>
          <w:shd w:fill="FFFF00" w:color="auto" w:val="clear"/>
        </w:rPr>
        <w:t> </w:t>
      </w:r>
      <w:r>
        <w:rPr>
          <w:color w:val="000000"/>
          <w:shd w:fill="FFFF00" w:color="auto" w:val="clear"/>
        </w:rPr>
        <w:t>how</w:t>
      </w:r>
      <w:r>
        <w:rPr>
          <w:color w:val="000000"/>
          <w:spacing w:val="-3"/>
          <w:shd w:fill="FFFF00" w:color="auto" w:val="clear"/>
        </w:rPr>
        <w:t> </w:t>
      </w:r>
      <w:r>
        <w:rPr>
          <w:color w:val="000000"/>
          <w:shd w:fill="FFFF00" w:color="auto" w:val="clear"/>
        </w:rPr>
        <w:t>to</w:t>
      </w:r>
      <w:r>
        <w:rPr>
          <w:color w:val="000000"/>
          <w:spacing w:val="-2"/>
          <w:shd w:fill="FFFF00" w:color="auto" w:val="clear"/>
        </w:rPr>
        <w:t> </w:t>
      </w:r>
      <w:r>
        <w:rPr>
          <w:color w:val="000000"/>
          <w:shd w:fill="FFFF00" w:color="auto" w:val="clear"/>
        </w:rPr>
        <w:t>identify</w:t>
      </w:r>
      <w:r>
        <w:rPr>
          <w:color w:val="000000"/>
          <w:spacing w:val="-3"/>
          <w:shd w:fill="FFFF00" w:color="auto" w:val="clear"/>
        </w:rPr>
        <w:t> </w:t>
      </w:r>
      <w:r>
        <w:rPr>
          <w:color w:val="000000"/>
          <w:shd w:fill="FFFF00" w:color="auto" w:val="clear"/>
        </w:rPr>
        <w:t>indeterminate/equivocal</w:t>
      </w:r>
      <w:r>
        <w:rPr>
          <w:color w:val="000000"/>
          <w:spacing w:val="-2"/>
          <w:shd w:fill="FFFF00" w:color="auto" w:val="clear"/>
        </w:rPr>
        <w:t> </w:t>
      </w:r>
      <w:r>
        <w:rPr>
          <w:color w:val="000000"/>
          <w:shd w:fill="FFFF00" w:color="auto" w:val="clear"/>
        </w:rPr>
        <w:t>results</w:t>
      </w:r>
      <w:r>
        <w:rPr>
          <w:color w:val="000000"/>
          <w:spacing w:val="-2"/>
          <w:shd w:fill="FFFF00" w:color="auto" w:val="clear"/>
        </w:rPr>
        <w:t> </w:t>
      </w:r>
      <w:r>
        <w:rPr>
          <w:color w:val="000000"/>
          <w:shd w:fill="FFFF00" w:color="auto" w:val="clear"/>
        </w:rPr>
        <w:t>(if</w:t>
      </w:r>
      <w:r>
        <w:rPr>
          <w:color w:val="000000"/>
          <w:spacing w:val="-2"/>
          <w:shd w:fill="FFFF00" w:color="auto" w:val="clear"/>
        </w:rPr>
        <w:t> </w:t>
      </w:r>
      <w:r>
        <w:rPr>
          <w:color w:val="000000"/>
          <w:shd w:fill="FFFF00" w:color="auto" w:val="clear"/>
        </w:rPr>
        <w:t>applicable)</w:t>
      </w:r>
      <w:r>
        <w:rPr>
          <w:color w:val="000000"/>
          <w:spacing w:val="-2"/>
          <w:shd w:fill="FFFF00" w:color="auto" w:val="clear"/>
        </w:rPr>
        <w:t> </w:t>
      </w:r>
      <w:r>
        <w:rPr>
          <w:color w:val="000000"/>
          <w:shd w:fill="FFFF00" w:color="auto" w:val="clear"/>
        </w:rPr>
        <w:t>and</w:t>
      </w:r>
      <w:r>
        <w:rPr>
          <w:color w:val="000000"/>
        </w:rPr>
        <w:t> </w:t>
      </w:r>
      <w:r>
        <w:rPr>
          <w:color w:val="000000"/>
          <w:shd w:fill="FFFF00" w:color="auto" w:val="clear"/>
        </w:rPr>
        <w:t>how the user should resolve them. Also describe if and when repeat testing may be</w:t>
      </w:r>
      <w:r>
        <w:rPr>
          <w:color w:val="000000"/>
        </w:rPr>
        <w:t> </w:t>
      </w:r>
      <w:r>
        <w:rPr>
          <w:color w:val="000000"/>
          <w:spacing w:val="-2"/>
          <w:shd w:fill="FFFF00" w:color="auto" w:val="clear"/>
        </w:rPr>
        <w:t>required.</w:t>
      </w:r>
    </w:p>
    <w:p>
      <w:pPr>
        <w:pStyle w:val="BodyText"/>
        <w:spacing w:before="2"/>
        <w:rPr>
          <w:rFonts w:ascii="TimesNewRomanPS-BoldItalicMT"/>
          <w:b/>
          <w:i/>
          <w:sz w:val="16"/>
        </w:rPr>
      </w:pPr>
    </w:p>
    <w:p>
      <w:pPr>
        <w:pStyle w:val="Heading6"/>
        <w:ind w:left="520" w:right="278"/>
      </w:pPr>
      <w:r>
        <w:rPr>
          <w:color w:val="000000"/>
          <w:shd w:fill="FFFF00" w:color="auto" w:val="clear"/>
        </w:rPr>
        <w:t>If your test is a lateral flow, please describe the results interpretation for each of the test</w:t>
      </w:r>
      <w:r>
        <w:rPr>
          <w:color w:val="000000"/>
        </w:rPr>
        <w:t> </w:t>
      </w:r>
      <w:r>
        <w:rPr>
          <w:color w:val="000000"/>
          <w:shd w:fill="FFFF00" w:color="auto" w:val="clear"/>
        </w:rPr>
        <w:t>lines.</w:t>
      </w:r>
      <w:r>
        <w:rPr>
          <w:color w:val="000000"/>
          <w:spacing w:val="-4"/>
          <w:shd w:fill="FFFF00" w:color="auto" w:val="clear"/>
        </w:rPr>
        <w:t> </w:t>
      </w:r>
      <w:r>
        <w:rPr>
          <w:color w:val="000000"/>
          <w:shd w:fill="FFFF00" w:color="auto" w:val="clear"/>
        </w:rPr>
        <w:t>You</w:t>
      </w:r>
      <w:r>
        <w:rPr>
          <w:color w:val="000000"/>
          <w:spacing w:val="-3"/>
          <w:shd w:fill="FFFF00" w:color="auto" w:val="clear"/>
        </w:rPr>
        <w:t> </w:t>
      </w:r>
      <w:r>
        <w:rPr>
          <w:color w:val="000000"/>
          <w:shd w:fill="FFFF00" w:color="auto" w:val="clear"/>
        </w:rPr>
        <w:t>could</w:t>
      </w:r>
      <w:r>
        <w:rPr>
          <w:color w:val="000000"/>
          <w:spacing w:val="-3"/>
          <w:shd w:fill="FFFF00" w:color="auto" w:val="clear"/>
        </w:rPr>
        <w:t> </w:t>
      </w:r>
      <w:r>
        <w:rPr>
          <w:color w:val="000000"/>
          <w:shd w:fill="FFFF00" w:color="auto" w:val="clear"/>
        </w:rPr>
        <w:t>consider</w:t>
      </w:r>
      <w:r>
        <w:rPr>
          <w:color w:val="000000"/>
          <w:spacing w:val="-2"/>
          <w:shd w:fill="FFFF00" w:color="auto" w:val="clear"/>
        </w:rPr>
        <w:t> </w:t>
      </w:r>
      <w:r>
        <w:rPr>
          <w:color w:val="000000"/>
          <w:shd w:fill="FFFF00" w:color="auto" w:val="clear"/>
        </w:rPr>
        <w:t>reporting</w:t>
      </w:r>
      <w:r>
        <w:rPr>
          <w:color w:val="000000"/>
          <w:spacing w:val="-4"/>
          <w:shd w:fill="FFFF00" w:color="auto" w:val="clear"/>
        </w:rPr>
        <w:t> </w:t>
      </w:r>
      <w:r>
        <w:rPr>
          <w:color w:val="000000"/>
          <w:shd w:fill="FFFF00" w:color="auto" w:val="clear"/>
        </w:rPr>
        <w:t>the</w:t>
      </w:r>
      <w:r>
        <w:rPr>
          <w:color w:val="000000"/>
          <w:spacing w:val="-2"/>
          <w:shd w:fill="FFFF00" w:color="auto" w:val="clear"/>
        </w:rPr>
        <w:t> </w:t>
      </w:r>
      <w:r>
        <w:rPr>
          <w:color w:val="000000"/>
          <w:shd w:fill="FFFF00" w:color="auto" w:val="clear"/>
        </w:rPr>
        <w:t>results</w:t>
      </w:r>
      <w:r>
        <w:rPr>
          <w:color w:val="000000"/>
          <w:spacing w:val="-2"/>
          <w:shd w:fill="FFFF00" w:color="auto" w:val="clear"/>
        </w:rPr>
        <w:t> </w:t>
      </w:r>
      <w:r>
        <w:rPr>
          <w:color w:val="000000"/>
          <w:shd w:fill="FFFF00" w:color="auto" w:val="clear"/>
        </w:rPr>
        <w:t>in</w:t>
      </w:r>
      <w:r>
        <w:rPr>
          <w:color w:val="000000"/>
          <w:spacing w:val="-3"/>
          <w:shd w:fill="FFFF00" w:color="auto" w:val="clear"/>
        </w:rPr>
        <w:t> </w:t>
      </w:r>
      <w:r>
        <w:rPr>
          <w:color w:val="000000"/>
          <w:shd w:fill="FFFF00" w:color="auto" w:val="clear"/>
        </w:rPr>
        <w:t>the</w:t>
      </w:r>
      <w:r>
        <w:rPr>
          <w:color w:val="000000"/>
          <w:spacing w:val="-2"/>
          <w:shd w:fill="FFFF00" w:color="auto" w:val="clear"/>
        </w:rPr>
        <w:t> </w:t>
      </w:r>
      <w:r>
        <w:rPr>
          <w:color w:val="000000"/>
          <w:shd w:fill="FFFF00" w:color="auto" w:val="clear"/>
        </w:rPr>
        <w:t>form</w:t>
      </w:r>
      <w:r>
        <w:rPr>
          <w:color w:val="000000"/>
          <w:spacing w:val="-2"/>
          <w:shd w:fill="FFFF00" w:color="auto" w:val="clear"/>
        </w:rPr>
        <w:t> </w:t>
      </w:r>
      <w:r>
        <w:rPr>
          <w:color w:val="000000"/>
          <w:shd w:fill="FFFF00" w:color="auto" w:val="clear"/>
        </w:rPr>
        <w:t>of</w:t>
      </w:r>
      <w:r>
        <w:rPr>
          <w:color w:val="000000"/>
          <w:spacing w:val="-2"/>
          <w:shd w:fill="FFFF00" w:color="auto" w:val="clear"/>
        </w:rPr>
        <w:t> </w:t>
      </w:r>
      <w:r>
        <w:rPr>
          <w:color w:val="000000"/>
          <w:shd w:fill="FFFF00" w:color="auto" w:val="clear"/>
        </w:rPr>
        <w:t>a</w:t>
      </w:r>
      <w:r>
        <w:rPr>
          <w:color w:val="000000"/>
          <w:spacing w:val="-2"/>
          <w:shd w:fill="FFFF00" w:color="auto" w:val="clear"/>
        </w:rPr>
        <w:t> </w:t>
      </w:r>
      <w:r>
        <w:rPr>
          <w:color w:val="000000"/>
          <w:shd w:fill="FFFF00" w:color="auto" w:val="clear"/>
        </w:rPr>
        <w:t>table</w:t>
      </w:r>
      <w:r>
        <w:rPr>
          <w:color w:val="000000"/>
          <w:spacing w:val="-2"/>
          <w:shd w:fill="FFFF00" w:color="auto" w:val="clear"/>
        </w:rPr>
        <w:t> </w:t>
      </w:r>
      <w:r>
        <w:rPr>
          <w:color w:val="000000"/>
          <w:shd w:fill="FFFF00" w:color="auto" w:val="clear"/>
        </w:rPr>
        <w:t>as</w:t>
      </w:r>
      <w:r>
        <w:rPr>
          <w:color w:val="000000"/>
          <w:spacing w:val="-2"/>
          <w:shd w:fill="FFFF00" w:color="auto" w:val="clear"/>
        </w:rPr>
        <w:t> </w:t>
      </w:r>
      <w:r>
        <w:rPr>
          <w:color w:val="000000"/>
          <w:shd w:fill="FFFF00" w:color="auto" w:val="clear"/>
        </w:rPr>
        <w:t>shown</w:t>
      </w:r>
      <w:r>
        <w:rPr>
          <w:color w:val="000000"/>
          <w:spacing w:val="-3"/>
          <w:shd w:fill="FFFF00" w:color="auto" w:val="clear"/>
        </w:rPr>
        <w:t> </w:t>
      </w:r>
      <w:r>
        <w:rPr>
          <w:color w:val="000000"/>
          <w:shd w:fill="FFFF00" w:color="auto" w:val="clear"/>
        </w:rPr>
        <w:t>below</w:t>
      </w:r>
      <w:r>
        <w:rPr>
          <w:color w:val="000000"/>
          <w:spacing w:val="-2"/>
          <w:shd w:fill="FFFF00" w:color="auto" w:val="clear"/>
        </w:rPr>
        <w:t> </w:t>
      </w:r>
      <w:r>
        <w:rPr>
          <w:color w:val="000000"/>
          <w:shd w:fill="FFFF00" w:color="auto" w:val="clear"/>
        </w:rPr>
        <w:t>for</w:t>
      </w:r>
      <w:r>
        <w:rPr>
          <w:color w:val="000000"/>
          <w:spacing w:val="-2"/>
          <w:shd w:fill="FFFF00" w:color="auto" w:val="clear"/>
        </w:rPr>
        <w:t> </w:t>
      </w:r>
      <w:r>
        <w:rPr>
          <w:color w:val="000000"/>
          <w:shd w:fill="FFFF00" w:color="auto" w:val="clear"/>
        </w:rPr>
        <w:t>a</w:t>
      </w:r>
      <w:r>
        <w:rPr>
          <w:color w:val="000000"/>
        </w:rPr>
        <w:t> </w:t>
      </w:r>
      <w:r>
        <w:rPr>
          <w:color w:val="000000"/>
          <w:shd w:fill="FFFF00" w:color="auto" w:val="clear"/>
        </w:rPr>
        <w:t>test that detects and differentiates between IgG and IgM:</w:t>
      </w:r>
    </w:p>
    <w:p>
      <w:pPr>
        <w:pStyle w:val="BodyText"/>
        <w:spacing w:before="1"/>
        <w:rPr>
          <w:rFonts w:ascii="TimesNewRomanPS-BoldItalicMT"/>
          <w:b/>
          <w:i/>
          <w:sz w:val="16"/>
        </w:rPr>
      </w:pPr>
    </w:p>
    <w:p>
      <w:pPr>
        <w:spacing w:before="91"/>
        <w:ind w:left="520" w:right="0" w:firstLine="0"/>
        <w:jc w:val="left"/>
        <w:rPr>
          <w:b/>
          <w:sz w:val="22"/>
        </w:rPr>
      </w:pPr>
      <w:r>
        <w:rPr>
          <w:b/>
          <w:color w:val="000000"/>
          <w:sz w:val="22"/>
          <w:shd w:fill="FFFF00" w:color="auto" w:val="clear"/>
        </w:rPr>
        <w:t>Table</w:t>
      </w:r>
      <w:r>
        <w:rPr>
          <w:b/>
          <w:color w:val="000000"/>
          <w:spacing w:val="10"/>
          <w:sz w:val="22"/>
          <w:shd w:fill="FFFF00" w:color="auto" w:val="clear"/>
        </w:rPr>
        <w:t> </w:t>
      </w:r>
      <w:r>
        <w:rPr>
          <w:b/>
          <w:color w:val="000000"/>
          <w:sz w:val="22"/>
          <w:shd w:fill="FFFF00" w:color="auto" w:val="clear"/>
        </w:rPr>
        <w:t>1.</w:t>
      </w:r>
      <w:r>
        <w:rPr>
          <w:b/>
          <w:color w:val="000000"/>
          <w:spacing w:val="14"/>
          <w:sz w:val="22"/>
          <w:shd w:fill="FFFF00" w:color="auto" w:val="clear"/>
        </w:rPr>
        <w:t> </w:t>
      </w:r>
      <w:r>
        <w:rPr>
          <w:b/>
          <w:color w:val="111111"/>
          <w:sz w:val="22"/>
          <w:shd w:fill="FFFF00" w:color="auto" w:val="clear"/>
        </w:rPr>
        <w:t>Interpretation</w:t>
      </w:r>
      <w:r>
        <w:rPr>
          <w:b/>
          <w:color w:val="111111"/>
          <w:spacing w:val="16"/>
          <w:sz w:val="22"/>
          <w:shd w:fill="FFFF00" w:color="auto" w:val="clear"/>
        </w:rPr>
        <w:t> </w:t>
      </w:r>
      <w:r>
        <w:rPr>
          <w:b/>
          <w:color w:val="111111"/>
          <w:sz w:val="22"/>
          <w:shd w:fill="FFFF00" w:color="auto" w:val="clear"/>
        </w:rPr>
        <w:t>of</w:t>
      </w:r>
      <w:r>
        <w:rPr>
          <w:b/>
          <w:color w:val="111111"/>
          <w:spacing w:val="15"/>
          <w:sz w:val="22"/>
          <w:shd w:fill="FFFF00" w:color="auto" w:val="clear"/>
        </w:rPr>
        <w:t> </w:t>
      </w:r>
      <w:r>
        <w:rPr>
          <w:b/>
          <w:color w:val="111111"/>
          <w:spacing w:val="-2"/>
          <w:sz w:val="22"/>
          <w:shd w:fill="FFFF00" w:color="auto" w:val="clear"/>
        </w:rPr>
        <w:t>Results</w:t>
      </w:r>
    </w:p>
    <w:tbl>
      <w:tblPr>
        <w:tblW w:w="0" w:type="auto"/>
        <w:jc w:val="left"/>
        <w:tblInd w:w="5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50"/>
        <w:gridCol w:w="1170"/>
        <w:gridCol w:w="810"/>
        <w:gridCol w:w="900"/>
        <w:gridCol w:w="5580"/>
      </w:tblGrid>
      <w:tr>
        <w:trPr>
          <w:trHeight w:val="633" w:hRule="atLeast"/>
        </w:trPr>
        <w:tc>
          <w:tcPr>
            <w:tcW w:w="450" w:type="dxa"/>
          </w:tcPr>
          <w:p>
            <w:pPr>
              <w:pStyle w:val="TableParagraph"/>
              <w:jc w:val="left"/>
              <w:rPr>
                <w:sz w:val="22"/>
              </w:rPr>
            </w:pPr>
          </w:p>
        </w:tc>
        <w:tc>
          <w:tcPr>
            <w:tcW w:w="1170" w:type="dxa"/>
          </w:tcPr>
          <w:p>
            <w:pPr>
              <w:pStyle w:val="TableParagraph"/>
              <w:spacing w:before="24"/>
              <w:ind w:left="119"/>
              <w:jc w:val="left"/>
              <w:rPr>
                <w:b/>
                <w:sz w:val="22"/>
              </w:rPr>
            </w:pPr>
            <w:r>
              <w:rPr>
                <w:b/>
                <w:color w:val="111111"/>
                <w:sz w:val="22"/>
                <w:shd w:fill="FFFF00" w:color="auto" w:val="clear"/>
              </w:rPr>
              <w:t>C</w:t>
            </w:r>
            <w:r>
              <w:rPr>
                <w:b/>
                <w:color w:val="111111"/>
                <w:spacing w:val="-3"/>
                <w:sz w:val="22"/>
                <w:shd w:fill="FFFF00" w:color="auto" w:val="clear"/>
              </w:rPr>
              <w:t> </w:t>
            </w:r>
            <w:r>
              <w:rPr>
                <w:b/>
                <w:color w:val="111111"/>
                <w:spacing w:val="-4"/>
                <w:sz w:val="22"/>
                <w:shd w:fill="FFFF00" w:color="auto" w:val="clear"/>
              </w:rPr>
              <w:t>Line</w:t>
            </w:r>
          </w:p>
        </w:tc>
        <w:tc>
          <w:tcPr>
            <w:tcW w:w="810" w:type="dxa"/>
          </w:tcPr>
          <w:p>
            <w:pPr>
              <w:pStyle w:val="TableParagraph"/>
              <w:spacing w:line="252" w:lineRule="exact" w:before="24"/>
              <w:ind w:left="54"/>
              <w:rPr>
                <w:b/>
                <w:sz w:val="22"/>
              </w:rPr>
            </w:pPr>
            <w:r>
              <w:rPr>
                <w:b/>
                <w:color w:val="111111"/>
                <w:w w:val="99"/>
                <w:sz w:val="22"/>
                <w:shd w:fill="FFFF00" w:color="auto" w:val="clear"/>
              </w:rPr>
              <w:t>M</w:t>
            </w:r>
          </w:p>
          <w:p>
            <w:pPr>
              <w:pStyle w:val="TableParagraph"/>
              <w:spacing w:line="252" w:lineRule="exact"/>
              <w:ind w:left="198" w:right="144"/>
              <w:rPr>
                <w:b/>
                <w:sz w:val="22"/>
              </w:rPr>
            </w:pPr>
            <w:r>
              <w:rPr>
                <w:b/>
                <w:color w:val="111111"/>
                <w:spacing w:val="-4"/>
                <w:sz w:val="22"/>
                <w:shd w:fill="FFFF00" w:color="auto" w:val="clear"/>
              </w:rPr>
              <w:t>Line</w:t>
            </w:r>
          </w:p>
        </w:tc>
        <w:tc>
          <w:tcPr>
            <w:tcW w:w="900" w:type="dxa"/>
          </w:tcPr>
          <w:p>
            <w:pPr>
              <w:pStyle w:val="TableParagraph"/>
              <w:spacing w:line="252" w:lineRule="exact" w:before="24"/>
              <w:ind w:left="53"/>
              <w:rPr>
                <w:b/>
                <w:sz w:val="22"/>
              </w:rPr>
            </w:pPr>
            <w:r>
              <w:rPr>
                <w:b/>
                <w:color w:val="111111"/>
                <w:w w:val="99"/>
                <w:sz w:val="22"/>
                <w:shd w:fill="FFFF00" w:color="auto" w:val="clear"/>
              </w:rPr>
              <w:t>G</w:t>
            </w:r>
          </w:p>
          <w:p>
            <w:pPr>
              <w:pStyle w:val="TableParagraph"/>
              <w:spacing w:line="252" w:lineRule="exact"/>
              <w:ind w:left="241" w:right="191"/>
              <w:rPr>
                <w:b/>
                <w:sz w:val="22"/>
              </w:rPr>
            </w:pPr>
            <w:r>
              <w:rPr>
                <w:b/>
                <w:color w:val="111111"/>
                <w:spacing w:val="-4"/>
                <w:sz w:val="22"/>
                <w:shd w:fill="FFFF00" w:color="auto" w:val="clear"/>
              </w:rPr>
              <w:t>Line</w:t>
            </w:r>
          </w:p>
        </w:tc>
        <w:tc>
          <w:tcPr>
            <w:tcW w:w="5580" w:type="dxa"/>
          </w:tcPr>
          <w:p>
            <w:pPr>
              <w:pStyle w:val="TableParagraph"/>
              <w:spacing w:before="24"/>
              <w:ind w:left="126"/>
              <w:jc w:val="left"/>
              <w:rPr>
                <w:b/>
                <w:sz w:val="22"/>
              </w:rPr>
            </w:pPr>
            <w:r>
              <w:rPr>
                <w:b/>
                <w:color w:val="111111"/>
                <w:sz w:val="22"/>
                <w:shd w:fill="FFFF00" w:color="auto" w:val="clear"/>
              </w:rPr>
              <w:t>Test</w:t>
            </w:r>
            <w:r>
              <w:rPr>
                <w:b/>
                <w:color w:val="111111"/>
                <w:spacing w:val="-8"/>
                <w:sz w:val="22"/>
                <w:shd w:fill="FFFF00" w:color="auto" w:val="clear"/>
              </w:rPr>
              <w:t> </w:t>
            </w:r>
            <w:r>
              <w:rPr>
                <w:b/>
                <w:color w:val="111111"/>
                <w:sz w:val="22"/>
                <w:shd w:fill="FFFF00" w:color="auto" w:val="clear"/>
              </w:rPr>
              <w:t>Result</w:t>
            </w:r>
            <w:r>
              <w:rPr>
                <w:b/>
                <w:color w:val="111111"/>
                <w:spacing w:val="-7"/>
                <w:sz w:val="22"/>
                <w:shd w:fill="FFFF00" w:color="auto" w:val="clear"/>
              </w:rPr>
              <w:t> </w:t>
            </w:r>
            <w:r>
              <w:rPr>
                <w:b/>
                <w:color w:val="111111"/>
                <w:spacing w:val="-2"/>
                <w:sz w:val="22"/>
                <w:shd w:fill="FFFF00" w:color="auto" w:val="clear"/>
              </w:rPr>
              <w:t>Interpretation</w:t>
            </w:r>
          </w:p>
        </w:tc>
      </w:tr>
      <w:tr>
        <w:trPr>
          <w:trHeight w:val="461" w:hRule="atLeast"/>
        </w:trPr>
        <w:tc>
          <w:tcPr>
            <w:tcW w:w="450" w:type="dxa"/>
          </w:tcPr>
          <w:p>
            <w:pPr>
              <w:pStyle w:val="TableParagraph"/>
              <w:spacing w:line="239" w:lineRule="exact"/>
              <w:ind w:left="51"/>
              <w:rPr>
                <w:sz w:val="22"/>
              </w:rPr>
            </w:pPr>
            <w:r>
              <w:rPr>
                <w:color w:val="111111"/>
                <w:w w:val="99"/>
                <w:sz w:val="22"/>
                <w:shd w:fill="FFFF00" w:color="auto" w:val="clear"/>
              </w:rPr>
              <w:t>1</w:t>
            </w:r>
          </w:p>
        </w:tc>
        <w:tc>
          <w:tcPr>
            <w:tcW w:w="1170" w:type="dxa"/>
          </w:tcPr>
          <w:p>
            <w:pPr>
              <w:pStyle w:val="TableParagraph"/>
              <w:spacing w:line="242" w:lineRule="exact"/>
              <w:ind w:left="123"/>
              <w:jc w:val="left"/>
              <w:rPr>
                <w:sz w:val="22"/>
              </w:rPr>
            </w:pPr>
            <w:r>
              <w:rPr>
                <w:color w:val="111111"/>
                <w:sz w:val="22"/>
                <w:shd w:fill="FFFF00" w:color="auto" w:val="clear"/>
              </w:rPr>
              <w:t>not</w:t>
            </w:r>
            <w:r>
              <w:rPr>
                <w:color w:val="111111"/>
                <w:spacing w:val="-3"/>
                <w:sz w:val="22"/>
                <w:shd w:fill="FFFF00" w:color="auto" w:val="clear"/>
              </w:rPr>
              <w:t> </w:t>
            </w:r>
            <w:r>
              <w:rPr>
                <w:color w:val="111111"/>
                <w:spacing w:val="-2"/>
                <w:sz w:val="22"/>
                <w:shd w:fill="FFFF00" w:color="auto" w:val="clear"/>
              </w:rPr>
              <w:t>present</w:t>
            </w:r>
          </w:p>
        </w:tc>
        <w:tc>
          <w:tcPr>
            <w:tcW w:w="810" w:type="dxa"/>
          </w:tcPr>
          <w:p>
            <w:pPr>
              <w:pStyle w:val="TableParagraph"/>
              <w:spacing w:line="240" w:lineRule="exact"/>
              <w:ind w:left="198" w:right="143"/>
              <w:rPr>
                <w:sz w:val="22"/>
              </w:rPr>
            </w:pPr>
            <w:r>
              <w:rPr>
                <w:color w:val="292929"/>
                <w:spacing w:val="-5"/>
                <w:sz w:val="22"/>
                <w:shd w:fill="FFFF00" w:color="auto" w:val="clear"/>
              </w:rPr>
              <w:t>Any</w:t>
            </w:r>
          </w:p>
        </w:tc>
        <w:tc>
          <w:tcPr>
            <w:tcW w:w="900" w:type="dxa"/>
          </w:tcPr>
          <w:p>
            <w:pPr>
              <w:pStyle w:val="TableParagraph"/>
              <w:spacing w:line="240" w:lineRule="exact"/>
              <w:ind w:left="241" w:right="189"/>
              <w:rPr>
                <w:sz w:val="22"/>
              </w:rPr>
            </w:pPr>
            <w:r>
              <w:rPr>
                <w:color w:val="292929"/>
                <w:spacing w:val="-5"/>
                <w:sz w:val="22"/>
                <w:shd w:fill="FFFF00" w:color="auto" w:val="clear"/>
              </w:rPr>
              <w:t>Any</w:t>
            </w:r>
          </w:p>
        </w:tc>
        <w:tc>
          <w:tcPr>
            <w:tcW w:w="5580" w:type="dxa"/>
          </w:tcPr>
          <w:p>
            <w:pPr>
              <w:pStyle w:val="TableParagraph"/>
              <w:spacing w:line="224" w:lineRule="exact"/>
              <w:ind w:left="129"/>
              <w:jc w:val="left"/>
              <w:rPr>
                <w:sz w:val="22"/>
              </w:rPr>
            </w:pPr>
            <w:r>
              <w:rPr>
                <w:color w:val="111111"/>
                <w:sz w:val="22"/>
                <w:shd w:fill="FFFF00" w:color="auto" w:val="clear"/>
              </w:rPr>
              <w:t>Invalid</w:t>
            </w:r>
            <w:r>
              <w:rPr>
                <w:color w:val="111111"/>
                <w:spacing w:val="-5"/>
                <w:sz w:val="22"/>
                <w:shd w:fill="FFFF00" w:color="auto" w:val="clear"/>
              </w:rPr>
              <w:t> </w:t>
            </w:r>
            <w:r>
              <w:rPr>
                <w:color w:val="292929"/>
                <w:sz w:val="22"/>
                <w:shd w:fill="FFFF00" w:color="auto" w:val="clear"/>
              </w:rPr>
              <w:t>Test.</w:t>
            </w:r>
            <w:r>
              <w:rPr>
                <w:color w:val="292929"/>
                <w:spacing w:val="-6"/>
                <w:sz w:val="22"/>
                <w:shd w:fill="FFFF00" w:color="auto" w:val="clear"/>
              </w:rPr>
              <w:t> </w:t>
            </w:r>
            <w:r>
              <w:rPr>
                <w:color w:val="292929"/>
                <w:sz w:val="22"/>
                <w:shd w:fill="FFFF00" w:color="auto" w:val="clear"/>
              </w:rPr>
              <w:t>The</w:t>
            </w:r>
            <w:r>
              <w:rPr>
                <w:color w:val="292929"/>
                <w:spacing w:val="-5"/>
                <w:sz w:val="22"/>
                <w:shd w:fill="FFFF00" w:color="auto" w:val="clear"/>
              </w:rPr>
              <w:t> </w:t>
            </w:r>
            <w:r>
              <w:rPr>
                <w:color w:val="292929"/>
                <w:sz w:val="22"/>
                <w:shd w:fill="FFFF00" w:color="auto" w:val="clear"/>
              </w:rPr>
              <w:t>specimen</w:t>
            </w:r>
            <w:r>
              <w:rPr>
                <w:color w:val="292929"/>
                <w:spacing w:val="-4"/>
                <w:sz w:val="22"/>
                <w:shd w:fill="FFFF00" w:color="auto" w:val="clear"/>
              </w:rPr>
              <w:t> </w:t>
            </w:r>
            <w:r>
              <w:rPr>
                <w:color w:val="292929"/>
                <w:sz w:val="22"/>
                <w:shd w:fill="FFFF00" w:color="auto" w:val="clear"/>
              </w:rPr>
              <w:t>must</w:t>
            </w:r>
            <w:r>
              <w:rPr>
                <w:color w:val="292929"/>
                <w:spacing w:val="-5"/>
                <w:sz w:val="22"/>
                <w:shd w:fill="FFFF00" w:color="auto" w:val="clear"/>
              </w:rPr>
              <w:t> </w:t>
            </w:r>
            <w:r>
              <w:rPr>
                <w:color w:val="292929"/>
                <w:sz w:val="22"/>
                <w:shd w:fill="FFFF00" w:color="auto" w:val="clear"/>
              </w:rPr>
              <w:t>be</w:t>
            </w:r>
            <w:r>
              <w:rPr>
                <w:color w:val="292929"/>
                <w:spacing w:val="-6"/>
                <w:sz w:val="22"/>
                <w:shd w:fill="FFFF00" w:color="auto" w:val="clear"/>
              </w:rPr>
              <w:t> </w:t>
            </w:r>
            <w:r>
              <w:rPr>
                <w:color w:val="292929"/>
                <w:sz w:val="22"/>
                <w:shd w:fill="FFFF00" w:color="auto" w:val="clear"/>
              </w:rPr>
              <w:t>retested</w:t>
            </w:r>
            <w:r>
              <w:rPr>
                <w:color w:val="292929"/>
                <w:spacing w:val="-5"/>
                <w:sz w:val="22"/>
                <w:shd w:fill="FFFF00" w:color="auto" w:val="clear"/>
              </w:rPr>
              <w:t> </w:t>
            </w:r>
            <w:r>
              <w:rPr>
                <w:color w:val="292929"/>
                <w:sz w:val="22"/>
                <w:shd w:fill="FFFF00" w:color="auto" w:val="clear"/>
              </w:rPr>
              <w:t>with</w:t>
            </w:r>
            <w:r>
              <w:rPr>
                <w:color w:val="292929"/>
                <w:spacing w:val="-5"/>
                <w:sz w:val="22"/>
                <w:shd w:fill="FFFF00" w:color="auto" w:val="clear"/>
              </w:rPr>
              <w:t> </w:t>
            </w:r>
            <w:r>
              <w:rPr>
                <w:color w:val="292929"/>
                <w:sz w:val="22"/>
                <w:shd w:fill="FFFF00" w:color="auto" w:val="clear"/>
              </w:rPr>
              <w:t>another</w:t>
            </w:r>
            <w:r>
              <w:rPr>
                <w:color w:val="292929"/>
                <w:sz w:val="22"/>
              </w:rPr>
              <w:t> </w:t>
            </w:r>
            <w:r>
              <w:rPr>
                <w:color w:val="292929"/>
                <w:spacing w:val="-2"/>
                <w:sz w:val="22"/>
                <w:shd w:fill="FFFF00" w:color="auto" w:val="clear"/>
              </w:rPr>
              <w:t>device</w:t>
            </w:r>
          </w:p>
        </w:tc>
      </w:tr>
      <w:tr>
        <w:trPr>
          <w:trHeight w:val="273" w:hRule="atLeast"/>
        </w:trPr>
        <w:tc>
          <w:tcPr>
            <w:tcW w:w="450" w:type="dxa"/>
          </w:tcPr>
          <w:p>
            <w:pPr>
              <w:pStyle w:val="TableParagraph"/>
              <w:spacing w:line="250" w:lineRule="exact" w:before="3"/>
              <w:ind w:left="43"/>
              <w:rPr>
                <w:sz w:val="22"/>
              </w:rPr>
            </w:pPr>
            <w:r>
              <w:rPr>
                <w:color w:val="292929"/>
                <w:w w:val="99"/>
                <w:sz w:val="22"/>
                <w:shd w:fill="FFFF00" w:color="auto" w:val="clear"/>
              </w:rPr>
              <w:t>2</w:t>
            </w:r>
          </w:p>
        </w:tc>
        <w:tc>
          <w:tcPr>
            <w:tcW w:w="1170" w:type="dxa"/>
          </w:tcPr>
          <w:p>
            <w:pPr>
              <w:pStyle w:val="TableParagraph"/>
              <w:spacing w:line="252" w:lineRule="exact"/>
              <w:ind w:left="62"/>
              <w:rPr>
                <w:sz w:val="22"/>
              </w:rPr>
            </w:pPr>
            <w:r>
              <w:rPr>
                <w:color w:val="444446"/>
                <w:w w:val="99"/>
                <w:sz w:val="22"/>
                <w:shd w:fill="FFFF00" w:color="auto" w:val="clear"/>
              </w:rPr>
              <w:t>+</w:t>
            </w:r>
          </w:p>
        </w:tc>
        <w:tc>
          <w:tcPr>
            <w:tcW w:w="810" w:type="dxa"/>
          </w:tcPr>
          <w:p>
            <w:pPr>
              <w:pStyle w:val="TableParagraph"/>
              <w:spacing w:line="252" w:lineRule="exact"/>
              <w:ind w:left="55"/>
              <w:rPr>
                <w:sz w:val="22"/>
              </w:rPr>
            </w:pPr>
            <w:r>
              <w:rPr>
                <w:color w:val="292929"/>
                <w:w w:val="99"/>
                <w:sz w:val="22"/>
                <w:shd w:fill="FFFF00" w:color="auto" w:val="clear"/>
              </w:rPr>
              <w:t>-</w:t>
            </w:r>
          </w:p>
        </w:tc>
        <w:tc>
          <w:tcPr>
            <w:tcW w:w="900" w:type="dxa"/>
          </w:tcPr>
          <w:p>
            <w:pPr>
              <w:pStyle w:val="TableParagraph"/>
              <w:spacing w:line="251" w:lineRule="exact" w:before="2"/>
              <w:ind w:left="63"/>
              <w:rPr>
                <w:sz w:val="22"/>
              </w:rPr>
            </w:pPr>
            <w:r>
              <w:rPr>
                <w:color w:val="292929"/>
                <w:w w:val="99"/>
                <w:sz w:val="22"/>
                <w:shd w:fill="FFFF00" w:color="auto" w:val="clear"/>
              </w:rPr>
              <w:t>-</w:t>
            </w:r>
          </w:p>
        </w:tc>
        <w:tc>
          <w:tcPr>
            <w:tcW w:w="5580" w:type="dxa"/>
          </w:tcPr>
          <w:p>
            <w:pPr>
              <w:pStyle w:val="TableParagraph"/>
              <w:spacing w:line="250" w:lineRule="exact" w:before="3"/>
              <w:ind w:left="124"/>
              <w:jc w:val="left"/>
              <w:rPr>
                <w:sz w:val="22"/>
              </w:rPr>
            </w:pPr>
            <w:r>
              <w:rPr>
                <w:color w:val="111111"/>
                <w:sz w:val="22"/>
                <w:shd w:fill="FFFF00" w:color="auto" w:val="clear"/>
              </w:rPr>
              <w:t>Valid</w:t>
            </w:r>
            <w:r>
              <w:rPr>
                <w:color w:val="111111"/>
                <w:spacing w:val="-9"/>
                <w:sz w:val="22"/>
                <w:shd w:fill="FFFF00" w:color="auto" w:val="clear"/>
              </w:rPr>
              <w:t> </w:t>
            </w:r>
            <w:r>
              <w:rPr>
                <w:color w:val="111111"/>
                <w:sz w:val="22"/>
                <w:shd w:fill="FFFF00" w:color="auto" w:val="clear"/>
              </w:rPr>
              <w:t>Test</w:t>
            </w:r>
            <w:r>
              <w:rPr>
                <w:color w:val="444446"/>
                <w:sz w:val="22"/>
                <w:shd w:fill="FFFF00" w:color="auto" w:val="clear"/>
              </w:rPr>
              <w:t>,</w:t>
            </w:r>
            <w:r>
              <w:rPr>
                <w:color w:val="444446"/>
                <w:spacing w:val="-9"/>
                <w:sz w:val="22"/>
                <w:shd w:fill="FFFF00" w:color="auto" w:val="clear"/>
              </w:rPr>
              <w:t> </w:t>
            </w:r>
            <w:r>
              <w:rPr>
                <w:color w:val="111111"/>
                <w:sz w:val="22"/>
                <w:shd w:fill="FFFF00" w:color="auto" w:val="clear"/>
              </w:rPr>
              <w:t>Negative</w:t>
            </w:r>
            <w:r>
              <w:rPr>
                <w:color w:val="111111"/>
                <w:spacing w:val="-10"/>
                <w:sz w:val="22"/>
                <w:shd w:fill="FFFF00" w:color="auto" w:val="clear"/>
              </w:rPr>
              <w:t> </w:t>
            </w:r>
            <w:r>
              <w:rPr>
                <w:color w:val="111111"/>
                <w:sz w:val="22"/>
                <w:shd w:fill="FFFF00" w:color="auto" w:val="clear"/>
              </w:rPr>
              <w:t>for</w:t>
            </w:r>
            <w:r>
              <w:rPr>
                <w:color w:val="111111"/>
                <w:spacing w:val="-9"/>
                <w:sz w:val="22"/>
                <w:shd w:fill="FFFF00" w:color="auto" w:val="clear"/>
              </w:rPr>
              <w:t> </w:t>
            </w:r>
            <w:r>
              <w:rPr>
                <w:color w:val="292929"/>
                <w:sz w:val="22"/>
                <w:shd w:fill="FFFF00" w:color="auto" w:val="clear"/>
              </w:rPr>
              <w:t>antibodies</w:t>
            </w:r>
            <w:r>
              <w:rPr>
                <w:color w:val="292929"/>
                <w:spacing w:val="-10"/>
                <w:sz w:val="22"/>
                <w:shd w:fill="FFFF00" w:color="auto" w:val="clear"/>
              </w:rPr>
              <w:t> </w:t>
            </w:r>
            <w:r>
              <w:rPr>
                <w:color w:val="292929"/>
                <w:sz w:val="22"/>
                <w:shd w:fill="FFFF00" w:color="auto" w:val="clear"/>
              </w:rPr>
              <w:t>for</w:t>
            </w:r>
            <w:r>
              <w:rPr>
                <w:color w:val="292929"/>
                <w:spacing w:val="-9"/>
                <w:sz w:val="22"/>
                <w:shd w:fill="FFFF00" w:color="auto" w:val="clear"/>
              </w:rPr>
              <w:t> </w:t>
            </w:r>
            <w:r>
              <w:rPr>
                <w:color w:val="292929"/>
                <w:sz w:val="22"/>
                <w:shd w:fill="FFFF00" w:color="auto" w:val="clear"/>
              </w:rPr>
              <w:t>SARS-CoV-</w:t>
            </w:r>
            <w:r>
              <w:rPr>
                <w:color w:val="292929"/>
                <w:spacing w:val="-10"/>
                <w:sz w:val="22"/>
                <w:shd w:fill="FFFF00" w:color="auto" w:val="clear"/>
              </w:rPr>
              <w:t>2</w:t>
            </w:r>
          </w:p>
        </w:tc>
      </w:tr>
      <w:tr>
        <w:trPr>
          <w:trHeight w:val="274" w:hRule="atLeast"/>
        </w:trPr>
        <w:tc>
          <w:tcPr>
            <w:tcW w:w="450" w:type="dxa"/>
          </w:tcPr>
          <w:p>
            <w:pPr>
              <w:pStyle w:val="TableParagraph"/>
              <w:spacing w:line="251" w:lineRule="exact" w:before="3"/>
              <w:ind w:left="34"/>
              <w:rPr>
                <w:sz w:val="22"/>
              </w:rPr>
            </w:pPr>
            <w:r>
              <w:rPr>
                <w:color w:val="292929"/>
                <w:w w:val="99"/>
                <w:sz w:val="22"/>
                <w:shd w:fill="FFFF00" w:color="auto" w:val="clear"/>
              </w:rPr>
              <w:t>3</w:t>
            </w:r>
          </w:p>
        </w:tc>
        <w:tc>
          <w:tcPr>
            <w:tcW w:w="1170" w:type="dxa"/>
          </w:tcPr>
          <w:p>
            <w:pPr>
              <w:pStyle w:val="TableParagraph"/>
              <w:spacing w:line="252" w:lineRule="exact"/>
              <w:ind w:left="62"/>
              <w:rPr>
                <w:sz w:val="22"/>
              </w:rPr>
            </w:pPr>
            <w:r>
              <w:rPr>
                <w:color w:val="444446"/>
                <w:w w:val="99"/>
                <w:sz w:val="22"/>
                <w:shd w:fill="FFFF00" w:color="auto" w:val="clear"/>
              </w:rPr>
              <w:t>+</w:t>
            </w:r>
          </w:p>
        </w:tc>
        <w:tc>
          <w:tcPr>
            <w:tcW w:w="810" w:type="dxa"/>
          </w:tcPr>
          <w:p>
            <w:pPr>
              <w:pStyle w:val="TableParagraph"/>
              <w:spacing w:line="252" w:lineRule="exact"/>
              <w:ind w:left="55"/>
              <w:rPr>
                <w:sz w:val="22"/>
              </w:rPr>
            </w:pPr>
            <w:r>
              <w:rPr>
                <w:color w:val="444446"/>
                <w:w w:val="99"/>
                <w:sz w:val="22"/>
                <w:shd w:fill="FFFF00" w:color="auto" w:val="clear"/>
              </w:rPr>
              <w:t>+</w:t>
            </w:r>
          </w:p>
        </w:tc>
        <w:tc>
          <w:tcPr>
            <w:tcW w:w="900" w:type="dxa"/>
          </w:tcPr>
          <w:p>
            <w:pPr>
              <w:pStyle w:val="TableParagraph"/>
              <w:spacing w:line="252" w:lineRule="exact" w:before="2"/>
              <w:ind w:left="63"/>
              <w:rPr>
                <w:sz w:val="22"/>
              </w:rPr>
            </w:pPr>
            <w:r>
              <w:rPr>
                <w:color w:val="292929"/>
                <w:w w:val="99"/>
                <w:sz w:val="22"/>
                <w:shd w:fill="FFFF00" w:color="auto" w:val="clear"/>
              </w:rPr>
              <w:t>-</w:t>
            </w:r>
          </w:p>
        </w:tc>
        <w:tc>
          <w:tcPr>
            <w:tcW w:w="5580" w:type="dxa"/>
          </w:tcPr>
          <w:p>
            <w:pPr>
              <w:pStyle w:val="TableParagraph"/>
              <w:spacing w:line="251" w:lineRule="exact" w:before="3"/>
              <w:ind w:left="124"/>
              <w:jc w:val="left"/>
              <w:rPr>
                <w:sz w:val="22"/>
              </w:rPr>
            </w:pPr>
            <w:r>
              <w:rPr>
                <w:color w:val="111111"/>
                <w:sz w:val="22"/>
                <w:shd w:fill="FFFF00" w:color="auto" w:val="clear"/>
              </w:rPr>
              <w:t>Valid</w:t>
            </w:r>
            <w:r>
              <w:rPr>
                <w:color w:val="111111"/>
                <w:spacing w:val="-9"/>
                <w:sz w:val="22"/>
                <w:shd w:fill="FFFF00" w:color="auto" w:val="clear"/>
              </w:rPr>
              <w:t> </w:t>
            </w:r>
            <w:r>
              <w:rPr>
                <w:color w:val="111111"/>
                <w:sz w:val="22"/>
                <w:shd w:fill="FFFF00" w:color="auto" w:val="clear"/>
              </w:rPr>
              <w:t>Test</w:t>
            </w:r>
            <w:r>
              <w:rPr>
                <w:color w:val="444446"/>
                <w:sz w:val="22"/>
                <w:shd w:fill="FFFF00" w:color="auto" w:val="clear"/>
              </w:rPr>
              <w:t>,</w:t>
            </w:r>
            <w:r>
              <w:rPr>
                <w:color w:val="444446"/>
                <w:spacing w:val="-8"/>
                <w:sz w:val="22"/>
                <w:shd w:fill="FFFF00" w:color="auto" w:val="clear"/>
              </w:rPr>
              <w:t> </w:t>
            </w:r>
            <w:r>
              <w:rPr>
                <w:color w:val="111111"/>
                <w:sz w:val="22"/>
                <w:shd w:fill="FFFF00" w:color="auto" w:val="clear"/>
              </w:rPr>
              <w:t>IgM</w:t>
            </w:r>
            <w:r>
              <w:rPr>
                <w:color w:val="111111"/>
                <w:spacing w:val="-9"/>
                <w:sz w:val="22"/>
                <w:shd w:fill="FFFF00" w:color="auto" w:val="clear"/>
              </w:rPr>
              <w:t> </w:t>
            </w:r>
            <w:r>
              <w:rPr>
                <w:color w:val="111111"/>
                <w:sz w:val="22"/>
                <w:shd w:fill="FFFF00" w:color="auto" w:val="clear"/>
              </w:rPr>
              <w:t>positiv</w:t>
            </w:r>
            <w:r>
              <w:rPr>
                <w:color w:val="444446"/>
                <w:sz w:val="22"/>
                <w:shd w:fill="FFFF00" w:color="auto" w:val="clear"/>
              </w:rPr>
              <w:t>e</w:t>
            </w:r>
            <w:r>
              <w:rPr>
                <w:color w:val="444446"/>
                <w:spacing w:val="-9"/>
                <w:sz w:val="22"/>
                <w:shd w:fill="FFFF00" w:color="auto" w:val="clear"/>
              </w:rPr>
              <w:t> </w:t>
            </w:r>
            <w:r>
              <w:rPr>
                <w:color w:val="292929"/>
                <w:sz w:val="22"/>
                <w:shd w:fill="FFFF00" w:color="auto" w:val="clear"/>
              </w:rPr>
              <w:t>for</w:t>
            </w:r>
            <w:r>
              <w:rPr>
                <w:color w:val="292929"/>
                <w:spacing w:val="-8"/>
                <w:sz w:val="22"/>
                <w:shd w:fill="FFFF00" w:color="auto" w:val="clear"/>
              </w:rPr>
              <w:t> </w:t>
            </w:r>
            <w:r>
              <w:rPr>
                <w:color w:val="292929"/>
                <w:sz w:val="22"/>
                <w:shd w:fill="FFFF00" w:color="auto" w:val="clear"/>
              </w:rPr>
              <w:t>antibodies</w:t>
            </w:r>
            <w:r>
              <w:rPr>
                <w:color w:val="292929"/>
                <w:spacing w:val="-9"/>
                <w:sz w:val="22"/>
                <w:shd w:fill="FFFF00" w:color="auto" w:val="clear"/>
              </w:rPr>
              <w:t> </w:t>
            </w:r>
            <w:r>
              <w:rPr>
                <w:color w:val="292929"/>
                <w:sz w:val="22"/>
                <w:shd w:fill="FFFF00" w:color="auto" w:val="clear"/>
              </w:rPr>
              <w:t>for</w:t>
            </w:r>
            <w:r>
              <w:rPr>
                <w:color w:val="292929"/>
                <w:spacing w:val="-9"/>
                <w:sz w:val="22"/>
                <w:shd w:fill="FFFF00" w:color="auto" w:val="clear"/>
              </w:rPr>
              <w:t> </w:t>
            </w:r>
            <w:r>
              <w:rPr>
                <w:color w:val="292929"/>
                <w:sz w:val="22"/>
                <w:shd w:fill="FFFF00" w:color="auto" w:val="clear"/>
              </w:rPr>
              <w:t>SARS-CoV-</w:t>
            </w:r>
            <w:r>
              <w:rPr>
                <w:color w:val="292929"/>
                <w:spacing w:val="-10"/>
                <w:sz w:val="22"/>
                <w:shd w:fill="FFFF00" w:color="auto" w:val="clear"/>
              </w:rPr>
              <w:t>2</w:t>
            </w:r>
          </w:p>
        </w:tc>
      </w:tr>
    </w:tbl>
    <w:p>
      <w:pPr>
        <w:spacing w:after="0" w:line="251" w:lineRule="exact"/>
        <w:jc w:val="left"/>
        <w:rPr>
          <w:sz w:val="22"/>
        </w:rPr>
        <w:sectPr>
          <w:pgSz w:w="12240" w:h="15840"/>
          <w:pgMar w:header="731" w:footer="785" w:top="1360" w:bottom="980" w:left="1280" w:right="1200"/>
        </w:sectPr>
      </w:pPr>
    </w:p>
    <w:p>
      <w:pPr>
        <w:pStyle w:val="BodyText"/>
        <w:spacing w:before="10"/>
        <w:rPr>
          <w:b/>
          <w:sz w:val="6"/>
        </w:rPr>
      </w:pPr>
    </w:p>
    <w:tbl>
      <w:tblPr>
        <w:tblW w:w="0" w:type="auto"/>
        <w:jc w:val="left"/>
        <w:tblInd w:w="52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50"/>
        <w:gridCol w:w="1170"/>
        <w:gridCol w:w="810"/>
        <w:gridCol w:w="900"/>
        <w:gridCol w:w="5580"/>
      </w:tblGrid>
      <w:tr>
        <w:trPr>
          <w:trHeight w:val="485" w:hRule="atLeast"/>
        </w:trPr>
        <w:tc>
          <w:tcPr>
            <w:tcW w:w="450" w:type="dxa"/>
          </w:tcPr>
          <w:p>
            <w:pPr>
              <w:pStyle w:val="TableParagraph"/>
              <w:spacing w:before="4"/>
              <w:ind w:left="24"/>
              <w:rPr>
                <w:sz w:val="22"/>
              </w:rPr>
            </w:pPr>
            <w:r>
              <w:rPr>
                <w:color w:val="111111"/>
                <w:w w:val="99"/>
                <w:sz w:val="22"/>
                <w:shd w:fill="FFFF00" w:color="auto" w:val="clear"/>
              </w:rPr>
              <w:t>4</w:t>
            </w:r>
          </w:p>
        </w:tc>
        <w:tc>
          <w:tcPr>
            <w:tcW w:w="1170" w:type="dxa"/>
          </w:tcPr>
          <w:p>
            <w:pPr>
              <w:pStyle w:val="TableParagraph"/>
              <w:spacing w:line="251" w:lineRule="exact"/>
              <w:ind w:left="62"/>
              <w:rPr>
                <w:sz w:val="22"/>
              </w:rPr>
            </w:pPr>
            <w:r>
              <w:rPr>
                <w:color w:val="535353"/>
                <w:w w:val="99"/>
                <w:sz w:val="22"/>
                <w:shd w:fill="FFFF00" w:color="auto" w:val="clear"/>
              </w:rPr>
              <w:t>+</w:t>
            </w:r>
          </w:p>
        </w:tc>
        <w:tc>
          <w:tcPr>
            <w:tcW w:w="810" w:type="dxa"/>
          </w:tcPr>
          <w:p>
            <w:pPr>
              <w:pStyle w:val="TableParagraph"/>
              <w:spacing w:line="251" w:lineRule="exact"/>
              <w:ind w:left="55"/>
              <w:rPr>
                <w:sz w:val="22"/>
              </w:rPr>
            </w:pPr>
            <w:r>
              <w:rPr>
                <w:color w:val="535353"/>
                <w:w w:val="99"/>
                <w:sz w:val="22"/>
                <w:shd w:fill="FFFF00" w:color="auto" w:val="clear"/>
              </w:rPr>
              <w:t>+</w:t>
            </w:r>
          </w:p>
        </w:tc>
        <w:tc>
          <w:tcPr>
            <w:tcW w:w="900" w:type="dxa"/>
          </w:tcPr>
          <w:p>
            <w:pPr>
              <w:pStyle w:val="TableParagraph"/>
              <w:spacing w:line="251" w:lineRule="exact"/>
              <w:ind w:left="61"/>
              <w:rPr>
                <w:sz w:val="22"/>
              </w:rPr>
            </w:pPr>
            <w:r>
              <w:rPr>
                <w:color w:val="444446"/>
                <w:w w:val="99"/>
                <w:sz w:val="22"/>
                <w:shd w:fill="FFFF00" w:color="auto" w:val="clear"/>
              </w:rPr>
              <w:t>+</w:t>
            </w:r>
          </w:p>
        </w:tc>
        <w:tc>
          <w:tcPr>
            <w:tcW w:w="5580" w:type="dxa"/>
          </w:tcPr>
          <w:p>
            <w:pPr>
              <w:pStyle w:val="TableParagraph"/>
              <w:spacing w:line="232" w:lineRule="exact" w:before="1"/>
              <w:ind w:left="132" w:right="237"/>
              <w:jc w:val="left"/>
              <w:rPr>
                <w:sz w:val="22"/>
              </w:rPr>
            </w:pPr>
            <w:r>
              <w:rPr>
                <w:color w:val="111111"/>
                <w:sz w:val="22"/>
                <w:shd w:fill="FFFF00" w:color="auto" w:val="clear"/>
              </w:rPr>
              <w:t>Valid</w:t>
            </w:r>
            <w:r>
              <w:rPr>
                <w:color w:val="111111"/>
                <w:spacing w:val="-4"/>
                <w:sz w:val="22"/>
                <w:shd w:fill="FFFF00" w:color="auto" w:val="clear"/>
              </w:rPr>
              <w:t> </w:t>
            </w:r>
            <w:r>
              <w:rPr>
                <w:color w:val="111111"/>
                <w:sz w:val="22"/>
                <w:shd w:fill="FFFF00" w:color="auto" w:val="clear"/>
              </w:rPr>
              <w:t>Te</w:t>
            </w:r>
            <w:r>
              <w:rPr>
                <w:color w:val="444446"/>
                <w:sz w:val="22"/>
                <w:shd w:fill="FFFF00" w:color="auto" w:val="clear"/>
              </w:rPr>
              <w:t>s</w:t>
            </w:r>
            <w:r>
              <w:rPr>
                <w:color w:val="111111"/>
                <w:sz w:val="22"/>
                <w:shd w:fill="FFFF00" w:color="auto" w:val="clear"/>
              </w:rPr>
              <w:t>t</w:t>
            </w:r>
            <w:r>
              <w:rPr>
                <w:color w:val="444446"/>
                <w:sz w:val="22"/>
                <w:shd w:fill="FFFF00" w:color="auto" w:val="clear"/>
              </w:rPr>
              <w:t>,</w:t>
            </w:r>
            <w:r>
              <w:rPr>
                <w:color w:val="444446"/>
                <w:spacing w:val="-4"/>
                <w:sz w:val="22"/>
                <w:shd w:fill="FFFF00" w:color="auto" w:val="clear"/>
              </w:rPr>
              <w:t> </w:t>
            </w:r>
            <w:r>
              <w:rPr>
                <w:color w:val="111111"/>
                <w:sz w:val="22"/>
                <w:shd w:fill="FFFF00" w:color="auto" w:val="clear"/>
              </w:rPr>
              <w:t>IgM</w:t>
            </w:r>
            <w:r>
              <w:rPr>
                <w:color w:val="111111"/>
                <w:spacing w:val="-4"/>
                <w:sz w:val="22"/>
                <w:shd w:fill="FFFF00" w:color="auto" w:val="clear"/>
              </w:rPr>
              <w:t> </w:t>
            </w:r>
            <w:r>
              <w:rPr>
                <w:color w:val="444446"/>
                <w:sz w:val="22"/>
                <w:shd w:fill="FFFF00" w:color="auto" w:val="clear"/>
              </w:rPr>
              <w:t>an</w:t>
            </w:r>
            <w:r>
              <w:rPr>
                <w:color w:val="111111"/>
                <w:sz w:val="22"/>
                <w:shd w:fill="FFFF00" w:color="auto" w:val="clear"/>
              </w:rPr>
              <w:t>d</w:t>
            </w:r>
            <w:r>
              <w:rPr>
                <w:color w:val="111111"/>
                <w:spacing w:val="-4"/>
                <w:sz w:val="22"/>
                <w:shd w:fill="FFFF00" w:color="auto" w:val="clear"/>
              </w:rPr>
              <w:t> </w:t>
            </w:r>
            <w:r>
              <w:rPr>
                <w:color w:val="111111"/>
                <w:sz w:val="22"/>
                <w:shd w:fill="FFFF00" w:color="auto" w:val="clear"/>
              </w:rPr>
              <w:t>IgG</w:t>
            </w:r>
            <w:r>
              <w:rPr>
                <w:color w:val="111111"/>
                <w:spacing w:val="-5"/>
                <w:sz w:val="22"/>
                <w:shd w:fill="FFFF00" w:color="auto" w:val="clear"/>
              </w:rPr>
              <w:t> </w:t>
            </w:r>
            <w:r>
              <w:rPr>
                <w:color w:val="111111"/>
                <w:sz w:val="22"/>
                <w:shd w:fill="FFFF00" w:color="auto" w:val="clear"/>
              </w:rPr>
              <w:t>po</w:t>
            </w:r>
            <w:r>
              <w:rPr>
                <w:color w:val="444446"/>
                <w:sz w:val="22"/>
                <w:shd w:fill="FFFF00" w:color="auto" w:val="clear"/>
              </w:rPr>
              <w:t>s</w:t>
            </w:r>
            <w:r>
              <w:rPr>
                <w:color w:val="111111"/>
                <w:sz w:val="22"/>
                <w:shd w:fill="FFFF00" w:color="auto" w:val="clear"/>
              </w:rPr>
              <w:t>itive</w:t>
            </w:r>
            <w:r>
              <w:rPr>
                <w:color w:val="111111"/>
                <w:spacing w:val="-5"/>
                <w:sz w:val="22"/>
                <w:shd w:fill="FFFF00" w:color="auto" w:val="clear"/>
              </w:rPr>
              <w:t> </w:t>
            </w:r>
            <w:r>
              <w:rPr>
                <w:color w:val="292929"/>
                <w:sz w:val="22"/>
                <w:shd w:fill="FFFF00" w:color="auto" w:val="clear"/>
              </w:rPr>
              <w:t>for</w:t>
            </w:r>
            <w:r>
              <w:rPr>
                <w:color w:val="292929"/>
                <w:spacing w:val="-4"/>
                <w:sz w:val="22"/>
                <w:shd w:fill="FFFF00" w:color="auto" w:val="clear"/>
              </w:rPr>
              <w:t> </w:t>
            </w:r>
            <w:r>
              <w:rPr>
                <w:color w:val="292929"/>
                <w:sz w:val="22"/>
                <w:shd w:fill="FFFF00" w:color="auto" w:val="clear"/>
              </w:rPr>
              <w:t>antibodies</w:t>
            </w:r>
            <w:r>
              <w:rPr>
                <w:color w:val="292929"/>
                <w:spacing w:val="-5"/>
                <w:sz w:val="22"/>
                <w:shd w:fill="FFFF00" w:color="auto" w:val="clear"/>
              </w:rPr>
              <w:t> </w:t>
            </w:r>
            <w:r>
              <w:rPr>
                <w:color w:val="292929"/>
                <w:sz w:val="22"/>
                <w:shd w:fill="FFFF00" w:color="auto" w:val="clear"/>
              </w:rPr>
              <w:t>for</w:t>
            </w:r>
            <w:r>
              <w:rPr>
                <w:color w:val="292929"/>
                <w:spacing w:val="-4"/>
                <w:sz w:val="22"/>
                <w:shd w:fill="FFFF00" w:color="auto" w:val="clear"/>
              </w:rPr>
              <w:t> </w:t>
            </w:r>
            <w:r>
              <w:rPr>
                <w:color w:val="292929"/>
                <w:sz w:val="22"/>
                <w:shd w:fill="FFFF00" w:color="auto" w:val="clear"/>
              </w:rPr>
              <w:t>SARS-</w:t>
            </w:r>
            <w:r>
              <w:rPr>
                <w:color w:val="292929"/>
                <w:sz w:val="22"/>
              </w:rPr>
              <w:t> </w:t>
            </w:r>
            <w:r>
              <w:rPr>
                <w:color w:val="292929"/>
                <w:spacing w:val="-2"/>
                <w:sz w:val="22"/>
                <w:shd w:fill="FFFF00" w:color="auto" w:val="clear"/>
              </w:rPr>
              <w:t>Cov-2</w:t>
            </w:r>
          </w:p>
        </w:tc>
      </w:tr>
      <w:tr>
        <w:trPr>
          <w:trHeight w:val="272" w:hRule="atLeast"/>
        </w:trPr>
        <w:tc>
          <w:tcPr>
            <w:tcW w:w="450" w:type="dxa"/>
          </w:tcPr>
          <w:p>
            <w:pPr>
              <w:pStyle w:val="TableParagraph"/>
              <w:spacing w:line="250" w:lineRule="exact" w:before="3"/>
              <w:ind w:left="46"/>
              <w:rPr>
                <w:sz w:val="22"/>
              </w:rPr>
            </w:pPr>
            <w:r>
              <w:rPr>
                <w:color w:val="292929"/>
                <w:w w:val="99"/>
                <w:sz w:val="22"/>
                <w:shd w:fill="FFFF00" w:color="auto" w:val="clear"/>
              </w:rPr>
              <w:t>5</w:t>
            </w:r>
          </w:p>
        </w:tc>
        <w:tc>
          <w:tcPr>
            <w:tcW w:w="1170" w:type="dxa"/>
          </w:tcPr>
          <w:p>
            <w:pPr>
              <w:pStyle w:val="TableParagraph"/>
              <w:spacing w:line="251" w:lineRule="exact"/>
              <w:ind w:left="62"/>
              <w:rPr>
                <w:sz w:val="22"/>
              </w:rPr>
            </w:pPr>
            <w:r>
              <w:rPr>
                <w:color w:val="535353"/>
                <w:w w:val="99"/>
                <w:sz w:val="22"/>
                <w:shd w:fill="FFFF00" w:color="auto" w:val="clear"/>
              </w:rPr>
              <w:t>+</w:t>
            </w:r>
          </w:p>
        </w:tc>
        <w:tc>
          <w:tcPr>
            <w:tcW w:w="810" w:type="dxa"/>
          </w:tcPr>
          <w:p>
            <w:pPr>
              <w:pStyle w:val="TableParagraph"/>
              <w:spacing w:line="251" w:lineRule="exact"/>
              <w:ind w:left="55"/>
              <w:rPr>
                <w:sz w:val="22"/>
              </w:rPr>
            </w:pPr>
            <w:r>
              <w:rPr>
                <w:color w:val="111111"/>
                <w:w w:val="99"/>
                <w:sz w:val="22"/>
                <w:shd w:fill="FFFF00" w:color="auto" w:val="clear"/>
              </w:rPr>
              <w:t>-</w:t>
            </w:r>
          </w:p>
        </w:tc>
        <w:tc>
          <w:tcPr>
            <w:tcW w:w="900" w:type="dxa"/>
          </w:tcPr>
          <w:p>
            <w:pPr>
              <w:pStyle w:val="TableParagraph"/>
              <w:spacing w:line="251" w:lineRule="exact"/>
              <w:ind w:left="61"/>
              <w:rPr>
                <w:sz w:val="22"/>
              </w:rPr>
            </w:pPr>
            <w:r>
              <w:rPr>
                <w:color w:val="444446"/>
                <w:w w:val="99"/>
                <w:sz w:val="22"/>
                <w:shd w:fill="FFFF00" w:color="auto" w:val="clear"/>
              </w:rPr>
              <w:t>+</w:t>
            </w:r>
          </w:p>
        </w:tc>
        <w:tc>
          <w:tcPr>
            <w:tcW w:w="5580" w:type="dxa"/>
          </w:tcPr>
          <w:p>
            <w:pPr>
              <w:pStyle w:val="TableParagraph"/>
              <w:spacing w:line="250" w:lineRule="exact" w:before="3"/>
              <w:ind w:left="132"/>
              <w:jc w:val="left"/>
              <w:rPr>
                <w:sz w:val="22"/>
              </w:rPr>
            </w:pPr>
            <w:r>
              <w:rPr>
                <w:color w:val="292929"/>
                <w:sz w:val="22"/>
                <w:shd w:fill="FFFF00" w:color="auto" w:val="clear"/>
              </w:rPr>
              <w:t>Valid</w:t>
            </w:r>
            <w:r>
              <w:rPr>
                <w:color w:val="292929"/>
                <w:spacing w:val="-8"/>
                <w:sz w:val="22"/>
                <w:shd w:fill="FFFF00" w:color="auto" w:val="clear"/>
              </w:rPr>
              <w:t> </w:t>
            </w:r>
            <w:r>
              <w:rPr>
                <w:color w:val="111111"/>
                <w:sz w:val="22"/>
                <w:shd w:fill="FFFF00" w:color="auto" w:val="clear"/>
              </w:rPr>
              <w:t>T</w:t>
            </w:r>
            <w:r>
              <w:rPr>
                <w:color w:val="444446"/>
                <w:sz w:val="22"/>
                <w:shd w:fill="FFFF00" w:color="auto" w:val="clear"/>
              </w:rPr>
              <w:t>es</w:t>
            </w:r>
            <w:r>
              <w:rPr>
                <w:color w:val="111111"/>
                <w:sz w:val="22"/>
                <w:shd w:fill="FFFF00" w:color="auto" w:val="clear"/>
              </w:rPr>
              <w:t>t</w:t>
            </w:r>
            <w:r>
              <w:rPr>
                <w:color w:val="444446"/>
                <w:sz w:val="22"/>
                <w:shd w:fill="FFFF00" w:color="auto" w:val="clear"/>
              </w:rPr>
              <w:t>,</w:t>
            </w:r>
            <w:r>
              <w:rPr>
                <w:color w:val="444446"/>
                <w:spacing w:val="-8"/>
                <w:sz w:val="22"/>
                <w:shd w:fill="FFFF00" w:color="auto" w:val="clear"/>
              </w:rPr>
              <w:t> </w:t>
            </w:r>
            <w:r>
              <w:rPr>
                <w:color w:val="111111"/>
                <w:sz w:val="22"/>
                <w:shd w:fill="FFFF00" w:color="auto" w:val="clear"/>
              </w:rPr>
              <w:t>IgG</w:t>
            </w:r>
            <w:r>
              <w:rPr>
                <w:color w:val="111111"/>
                <w:spacing w:val="-9"/>
                <w:sz w:val="22"/>
                <w:shd w:fill="FFFF00" w:color="auto" w:val="clear"/>
              </w:rPr>
              <w:t> </w:t>
            </w:r>
            <w:r>
              <w:rPr>
                <w:color w:val="111111"/>
                <w:sz w:val="22"/>
                <w:shd w:fill="FFFF00" w:color="auto" w:val="clear"/>
              </w:rPr>
              <w:t>po</w:t>
            </w:r>
            <w:r>
              <w:rPr>
                <w:color w:val="444446"/>
                <w:sz w:val="22"/>
                <w:shd w:fill="FFFF00" w:color="auto" w:val="clear"/>
              </w:rPr>
              <w:t>s</w:t>
            </w:r>
            <w:r>
              <w:rPr>
                <w:color w:val="111111"/>
                <w:sz w:val="22"/>
                <w:shd w:fill="FFFF00" w:color="auto" w:val="clear"/>
              </w:rPr>
              <w:t>itive</w:t>
            </w:r>
            <w:r>
              <w:rPr>
                <w:color w:val="111111"/>
                <w:spacing w:val="-9"/>
                <w:sz w:val="22"/>
                <w:shd w:fill="FFFF00" w:color="auto" w:val="clear"/>
              </w:rPr>
              <w:t> </w:t>
            </w:r>
            <w:r>
              <w:rPr>
                <w:color w:val="292929"/>
                <w:sz w:val="22"/>
                <w:shd w:fill="FFFF00" w:color="auto" w:val="clear"/>
              </w:rPr>
              <w:t>for</w:t>
            </w:r>
            <w:r>
              <w:rPr>
                <w:color w:val="292929"/>
                <w:spacing w:val="-10"/>
                <w:sz w:val="22"/>
                <w:shd w:fill="FFFF00" w:color="auto" w:val="clear"/>
              </w:rPr>
              <w:t> </w:t>
            </w:r>
            <w:r>
              <w:rPr>
                <w:color w:val="292929"/>
                <w:sz w:val="22"/>
                <w:shd w:fill="FFFF00" w:color="auto" w:val="clear"/>
              </w:rPr>
              <w:t>antibodies</w:t>
            </w:r>
            <w:r>
              <w:rPr>
                <w:color w:val="292929"/>
                <w:spacing w:val="-8"/>
                <w:sz w:val="22"/>
                <w:shd w:fill="FFFF00" w:color="auto" w:val="clear"/>
              </w:rPr>
              <w:t> </w:t>
            </w:r>
            <w:r>
              <w:rPr>
                <w:color w:val="292929"/>
                <w:sz w:val="22"/>
                <w:shd w:fill="FFFF00" w:color="auto" w:val="clear"/>
              </w:rPr>
              <w:t>for</w:t>
            </w:r>
            <w:r>
              <w:rPr>
                <w:color w:val="292929"/>
                <w:spacing w:val="-8"/>
                <w:sz w:val="22"/>
                <w:shd w:fill="FFFF00" w:color="auto" w:val="clear"/>
              </w:rPr>
              <w:t> </w:t>
            </w:r>
            <w:r>
              <w:rPr>
                <w:color w:val="292929"/>
                <w:sz w:val="22"/>
                <w:shd w:fill="FFFF00" w:color="auto" w:val="clear"/>
              </w:rPr>
              <w:t>SARS-CoV-</w:t>
            </w:r>
            <w:r>
              <w:rPr>
                <w:color w:val="292929"/>
                <w:spacing w:val="-10"/>
                <w:sz w:val="22"/>
                <w:shd w:fill="FFFF00" w:color="auto" w:val="clear"/>
              </w:rPr>
              <w:t>2</w:t>
            </w:r>
          </w:p>
        </w:tc>
      </w:tr>
    </w:tbl>
    <w:p>
      <w:pPr>
        <w:pStyle w:val="BodyText"/>
        <w:spacing w:before="3"/>
        <w:rPr>
          <w:b/>
          <w:sz w:val="16"/>
        </w:rPr>
      </w:pPr>
    </w:p>
    <w:p>
      <w:pPr>
        <w:pStyle w:val="Heading6"/>
        <w:ind w:left="520" w:right="341"/>
      </w:pPr>
      <w:r>
        <w:rPr>
          <w:color w:val="000000"/>
          <w:shd w:fill="FFFF00" w:color="auto" w:val="clear"/>
        </w:rPr>
        <w:t>If</w:t>
      </w:r>
      <w:r>
        <w:rPr>
          <w:color w:val="000000"/>
          <w:spacing w:val="-3"/>
          <w:shd w:fill="FFFF00" w:color="auto" w:val="clear"/>
        </w:rPr>
        <w:t> </w:t>
      </w:r>
      <w:r>
        <w:rPr>
          <w:color w:val="000000"/>
          <w:shd w:fill="FFFF00" w:color="auto" w:val="clear"/>
        </w:rPr>
        <w:t>you</w:t>
      </w:r>
      <w:r>
        <w:rPr>
          <w:color w:val="000000"/>
          <w:spacing w:val="-4"/>
          <w:shd w:fill="FFFF00" w:color="auto" w:val="clear"/>
        </w:rPr>
        <w:t> </w:t>
      </w:r>
      <w:r>
        <w:rPr>
          <w:color w:val="000000"/>
          <w:shd w:fill="FFFF00" w:color="auto" w:val="clear"/>
        </w:rPr>
        <w:t>have</w:t>
      </w:r>
      <w:r>
        <w:rPr>
          <w:color w:val="000000"/>
          <w:spacing w:val="-4"/>
          <w:shd w:fill="FFFF00" w:color="auto" w:val="clear"/>
        </w:rPr>
        <w:t> </w:t>
      </w:r>
      <w:r>
        <w:rPr>
          <w:color w:val="000000"/>
          <w:shd w:fill="FFFF00" w:color="auto" w:val="clear"/>
        </w:rPr>
        <w:t>a</w:t>
      </w:r>
      <w:r>
        <w:rPr>
          <w:color w:val="000000"/>
          <w:spacing w:val="-3"/>
          <w:shd w:fill="FFFF00" w:color="auto" w:val="clear"/>
        </w:rPr>
        <w:t> </w:t>
      </w:r>
      <w:r>
        <w:rPr>
          <w:color w:val="000000"/>
          <w:shd w:fill="FFFF00" w:color="auto" w:val="clear"/>
        </w:rPr>
        <w:t>lateral</w:t>
      </w:r>
      <w:r>
        <w:rPr>
          <w:color w:val="000000"/>
          <w:spacing w:val="-3"/>
          <w:shd w:fill="FFFF00" w:color="auto" w:val="clear"/>
        </w:rPr>
        <w:t> </w:t>
      </w:r>
      <w:r>
        <w:rPr>
          <w:color w:val="000000"/>
          <w:shd w:fill="FFFF00" w:color="auto" w:val="clear"/>
        </w:rPr>
        <w:t>flow</w:t>
      </w:r>
      <w:r>
        <w:rPr>
          <w:color w:val="000000"/>
          <w:spacing w:val="-4"/>
          <w:shd w:fill="FFFF00" w:color="auto" w:val="clear"/>
        </w:rPr>
        <w:t> </w:t>
      </w:r>
      <w:r>
        <w:rPr>
          <w:color w:val="000000"/>
          <w:shd w:fill="FFFF00" w:color="auto" w:val="clear"/>
        </w:rPr>
        <w:t>device,</w:t>
      </w:r>
      <w:r>
        <w:rPr>
          <w:color w:val="000000"/>
          <w:spacing w:val="-3"/>
          <w:shd w:fill="FFFF00" w:color="auto" w:val="clear"/>
        </w:rPr>
        <w:t> </w:t>
      </w:r>
      <w:r>
        <w:rPr>
          <w:color w:val="000000"/>
          <w:shd w:fill="FFFF00" w:color="auto" w:val="clear"/>
        </w:rPr>
        <w:t>please</w:t>
      </w:r>
      <w:r>
        <w:rPr>
          <w:color w:val="000000"/>
          <w:spacing w:val="-3"/>
          <w:shd w:fill="FFFF00" w:color="auto" w:val="clear"/>
        </w:rPr>
        <w:t> </w:t>
      </w:r>
      <w:r>
        <w:rPr>
          <w:color w:val="000000"/>
          <w:shd w:fill="FFFF00" w:color="auto" w:val="clear"/>
        </w:rPr>
        <w:t>include</w:t>
      </w:r>
      <w:r>
        <w:rPr>
          <w:color w:val="000000"/>
          <w:spacing w:val="-4"/>
          <w:shd w:fill="FFFF00" w:color="auto" w:val="clear"/>
        </w:rPr>
        <w:t> </w:t>
      </w:r>
      <w:r>
        <w:rPr>
          <w:color w:val="000000"/>
          <w:shd w:fill="FFFF00" w:color="auto" w:val="clear"/>
        </w:rPr>
        <w:t>a</w:t>
      </w:r>
      <w:r>
        <w:rPr>
          <w:color w:val="000000"/>
          <w:spacing w:val="-3"/>
          <w:shd w:fill="FFFF00" w:color="auto" w:val="clear"/>
        </w:rPr>
        <w:t> </w:t>
      </w:r>
      <w:r>
        <w:rPr>
          <w:color w:val="000000"/>
          <w:shd w:fill="FFFF00" w:color="auto" w:val="clear"/>
        </w:rPr>
        <w:t>schematic/picture</w:t>
      </w:r>
      <w:r>
        <w:rPr>
          <w:color w:val="000000"/>
          <w:spacing w:val="-3"/>
          <w:shd w:fill="FFFF00" w:color="auto" w:val="clear"/>
        </w:rPr>
        <w:t> </w:t>
      </w:r>
      <w:r>
        <w:rPr>
          <w:color w:val="000000"/>
          <w:shd w:fill="FFFF00" w:color="auto" w:val="clear"/>
        </w:rPr>
        <w:t>showing</w:t>
      </w:r>
      <w:r>
        <w:rPr>
          <w:color w:val="000000"/>
          <w:spacing w:val="-3"/>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location</w:t>
      </w:r>
      <w:r>
        <w:rPr>
          <w:color w:val="000000"/>
        </w:rPr>
        <w:t> </w:t>
      </w:r>
      <w:r>
        <w:rPr>
          <w:color w:val="000000"/>
          <w:shd w:fill="FFFF00" w:color="auto" w:val="clear"/>
        </w:rPr>
        <w:t>of the sample well, buffer well, and control and test lines]</w:t>
      </w:r>
    </w:p>
    <w:p>
      <w:pPr>
        <w:pStyle w:val="BodyText"/>
        <w:spacing w:before="10"/>
        <w:rPr>
          <w:rFonts w:ascii="TimesNewRomanPS-BoldItalicMT"/>
          <w:b/>
          <w:i/>
          <w:sz w:val="20"/>
        </w:rPr>
      </w:pPr>
    </w:p>
    <w:p>
      <w:pPr>
        <w:pStyle w:val="Heading4"/>
        <w:numPr>
          <w:ilvl w:val="0"/>
          <w:numId w:val="13"/>
        </w:numPr>
        <w:tabs>
          <w:tab w:pos="519" w:val="left" w:leader="none"/>
        </w:tabs>
        <w:spacing w:line="240" w:lineRule="auto" w:before="0" w:after="0"/>
        <w:ind w:left="519" w:right="0" w:hanging="359"/>
        <w:jc w:val="left"/>
      </w:pPr>
      <w:bookmarkStart w:name="I. PRODUCT MANUFACTURING" w:id="90"/>
      <w:bookmarkEnd w:id="90"/>
      <w:r>
        <w:rPr>
          <w:b w:val="0"/>
        </w:rPr>
      </w:r>
      <w:r>
        <w:rPr/>
        <w:t>PRODUCT</w:t>
      </w:r>
      <w:r>
        <w:rPr>
          <w:spacing w:val="-4"/>
        </w:rPr>
        <w:t> </w:t>
      </w:r>
      <w:r>
        <w:rPr>
          <w:spacing w:val="-2"/>
        </w:rPr>
        <w:t>MANUFACTURING</w:t>
      </w:r>
    </w:p>
    <w:p>
      <w:pPr>
        <w:pStyle w:val="Heading6"/>
        <w:numPr>
          <w:ilvl w:val="1"/>
          <w:numId w:val="13"/>
        </w:numPr>
        <w:tabs>
          <w:tab w:pos="879" w:val="left" w:leader="none"/>
        </w:tabs>
        <w:spacing w:line="240" w:lineRule="auto" w:before="120" w:after="0"/>
        <w:ind w:left="879" w:right="0" w:hanging="359"/>
        <w:jc w:val="left"/>
      </w:pPr>
      <w:r>
        <w:rPr>
          <w:u w:val="thick"/>
        </w:rPr>
        <w:t>Overview</w:t>
      </w:r>
      <w:r>
        <w:rPr>
          <w:spacing w:val="-3"/>
          <w:u w:val="thick"/>
        </w:rPr>
        <w:t> </w:t>
      </w:r>
      <w:r>
        <w:rPr>
          <w:u w:val="thick"/>
        </w:rPr>
        <w:t>of</w:t>
      </w:r>
      <w:r>
        <w:rPr>
          <w:spacing w:val="-3"/>
          <w:u w:val="thick"/>
        </w:rPr>
        <w:t> </w:t>
      </w:r>
      <w:r>
        <w:rPr>
          <w:u w:val="thick"/>
        </w:rPr>
        <w:t>Manufacturing</w:t>
      </w:r>
      <w:r>
        <w:rPr>
          <w:spacing w:val="-2"/>
          <w:u w:val="thick"/>
        </w:rPr>
        <w:t> </w:t>
      </w:r>
      <w:r>
        <w:rPr>
          <w:u w:val="thick"/>
        </w:rPr>
        <w:t>and</w:t>
      </w:r>
      <w:r>
        <w:rPr>
          <w:spacing w:val="-1"/>
          <w:u w:val="thick"/>
        </w:rPr>
        <w:t> </w:t>
      </w:r>
      <w:r>
        <w:rPr>
          <w:spacing w:val="-2"/>
          <w:u w:val="thick"/>
        </w:rPr>
        <w:t>Distribution</w:t>
      </w:r>
    </w:p>
    <w:p>
      <w:pPr>
        <w:spacing w:before="0"/>
        <w:ind w:left="880" w:right="278" w:firstLine="0"/>
        <w:jc w:val="left"/>
        <w:rPr>
          <w:sz w:val="24"/>
        </w:rPr>
      </w:pPr>
      <w:r>
        <w:rPr>
          <w:sz w:val="24"/>
        </w:rPr>
        <w:t>The product will be manufactured at </w:t>
      </w:r>
      <w:r>
        <w:rPr>
          <w:rFonts w:ascii="TimesNewRomanPS-BoldItalicMT" w:hAnsi="TimesNewRomanPS-BoldItalicMT"/>
          <w:b/>
          <w:i/>
          <w:color w:val="000000"/>
          <w:sz w:val="24"/>
          <w:shd w:fill="FFFF00" w:color="auto" w:val="clear"/>
        </w:rPr>
        <w:t>[manufacturer’s name and FDA registration</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number</w:t>
      </w:r>
      <w:r>
        <w:rPr>
          <w:rFonts w:ascii="TimesNewRomanPS-BoldItalicMT" w:hAnsi="TimesNewRomanPS-BoldItalicMT"/>
          <w:b/>
          <w:i/>
          <w:color w:val="000000"/>
          <w:spacing w:val="-4"/>
          <w:sz w:val="24"/>
          <w:shd w:fill="FFFF00" w:color="auto" w:val="clear"/>
        </w:rPr>
        <w:t> </w:t>
      </w:r>
      <w:r>
        <w:rPr>
          <w:rFonts w:ascii="TimesNewRomanPS-BoldItalicMT" w:hAnsi="TimesNewRomanPS-BoldItalicMT"/>
          <w:b/>
          <w:i/>
          <w:color w:val="000000"/>
          <w:sz w:val="24"/>
          <w:shd w:fill="FFFF00" w:color="auto" w:val="clear"/>
        </w:rPr>
        <w:t>(if</w:t>
      </w:r>
      <w:r>
        <w:rPr>
          <w:rFonts w:ascii="TimesNewRomanPS-BoldItalicMT" w:hAnsi="TimesNewRomanPS-BoldItalicMT"/>
          <w:b/>
          <w:i/>
          <w:color w:val="000000"/>
          <w:spacing w:val="-5"/>
          <w:sz w:val="24"/>
          <w:shd w:fill="FFFF00" w:color="auto" w:val="clear"/>
        </w:rPr>
        <w:t> </w:t>
      </w:r>
      <w:r>
        <w:rPr>
          <w:rFonts w:ascii="TimesNewRomanPS-BoldItalicMT" w:hAnsi="TimesNewRomanPS-BoldItalicMT"/>
          <w:b/>
          <w:i/>
          <w:color w:val="000000"/>
          <w:sz w:val="24"/>
          <w:shd w:fill="FFFF00" w:color="auto" w:val="clear"/>
        </w:rPr>
        <w:t>applicable)]</w:t>
      </w:r>
      <w:r>
        <w:rPr>
          <w:rFonts w:ascii="TimesNewRomanPS-BoldItalicMT" w:hAnsi="TimesNewRomanPS-BoldItalicMT"/>
          <w:b/>
          <w:i/>
          <w:color w:val="000000"/>
          <w:spacing w:val="-5"/>
          <w:sz w:val="24"/>
        </w:rPr>
        <w:t> </w:t>
      </w:r>
      <w:r>
        <w:rPr>
          <w:color w:val="000000"/>
          <w:sz w:val="24"/>
        </w:rPr>
        <w:t>by</w:t>
      </w:r>
      <w:r>
        <w:rPr>
          <w:color w:val="000000"/>
          <w:spacing w:val="-4"/>
          <w:sz w:val="24"/>
        </w:rPr>
        <w:t> </w:t>
      </w:r>
      <w:r>
        <w:rPr>
          <w:rFonts w:ascii="TimesNewRomanPS-BoldItalicMT" w:hAnsi="TimesNewRomanPS-BoldItalicMT"/>
          <w:b/>
          <w:i/>
          <w:color w:val="000000"/>
          <w:sz w:val="24"/>
          <w:shd w:fill="FFFF00" w:color="auto" w:val="clear"/>
        </w:rPr>
        <w:t>[manufacturer</w:t>
      </w:r>
      <w:r>
        <w:rPr>
          <w:rFonts w:ascii="TimesNewRomanPS-BoldItalicMT" w:hAnsi="TimesNewRomanPS-BoldItalicMT"/>
          <w:b/>
          <w:i/>
          <w:color w:val="000000"/>
          <w:spacing w:val="-4"/>
          <w:sz w:val="24"/>
          <w:shd w:fill="FFFF00" w:color="auto" w:val="clear"/>
        </w:rPr>
        <w:t> </w:t>
      </w:r>
      <w:r>
        <w:rPr>
          <w:rFonts w:ascii="TimesNewRomanPS-BoldItalicMT" w:hAnsi="TimesNewRomanPS-BoldItalicMT"/>
          <w:b/>
          <w:i/>
          <w:color w:val="000000"/>
          <w:sz w:val="24"/>
          <w:shd w:fill="FFFF00" w:color="auto" w:val="clear"/>
        </w:rPr>
        <w:t>name]</w:t>
      </w:r>
      <w:r>
        <w:rPr>
          <w:rFonts w:ascii="TimesNewRomanPS-BoldItalicMT" w:hAnsi="TimesNewRomanPS-BoldItalicMT"/>
          <w:b/>
          <w:i/>
          <w:color w:val="000000"/>
          <w:spacing w:val="-4"/>
          <w:sz w:val="24"/>
        </w:rPr>
        <w:t> </w:t>
      </w:r>
      <w:r>
        <w:rPr>
          <w:color w:val="000000"/>
          <w:sz w:val="24"/>
        </w:rPr>
        <w:t>personnel</w:t>
      </w:r>
      <w:r>
        <w:rPr>
          <w:color w:val="000000"/>
          <w:spacing w:val="-5"/>
          <w:sz w:val="24"/>
        </w:rPr>
        <w:t> </w:t>
      </w:r>
      <w:r>
        <w:rPr>
          <w:color w:val="000000"/>
          <w:sz w:val="24"/>
        </w:rPr>
        <w:t>consistent</w:t>
      </w:r>
      <w:r>
        <w:rPr>
          <w:color w:val="000000"/>
          <w:spacing w:val="-4"/>
          <w:sz w:val="24"/>
        </w:rPr>
        <w:t> </w:t>
      </w:r>
      <w:r>
        <w:rPr>
          <w:color w:val="000000"/>
          <w:sz w:val="24"/>
        </w:rPr>
        <w:t>with</w:t>
      </w:r>
      <w:r>
        <w:rPr>
          <w:color w:val="000000"/>
          <w:spacing w:val="-4"/>
          <w:sz w:val="24"/>
        </w:rPr>
        <w:t> </w:t>
      </w:r>
      <w:r>
        <w:rPr>
          <w:color w:val="000000"/>
          <w:sz w:val="24"/>
        </w:rPr>
        <w:t>practices</w:t>
      </w:r>
      <w:r>
        <w:rPr>
          <w:color w:val="000000"/>
          <w:spacing w:val="-5"/>
          <w:sz w:val="24"/>
        </w:rPr>
        <w:t> </w:t>
      </w:r>
      <w:r>
        <w:rPr>
          <w:color w:val="000000"/>
          <w:sz w:val="24"/>
        </w:rPr>
        <w:t>for the production of </w:t>
      </w:r>
      <w:r>
        <w:rPr>
          <w:rFonts w:ascii="TimesNewRomanPS-BoldItalicMT" w:hAnsi="TimesNewRomanPS-BoldItalicMT"/>
          <w:b/>
          <w:i/>
          <w:color w:val="000000"/>
          <w:sz w:val="24"/>
          <w:shd w:fill="FFFF00" w:color="auto" w:val="clear"/>
        </w:rPr>
        <w:t>[types of devices]</w:t>
      </w:r>
      <w:r>
        <w:rPr>
          <w:rFonts w:ascii="TimesNewRomanPS-BoldItalicMT" w:hAnsi="TimesNewRomanPS-BoldItalicMT"/>
          <w:b/>
          <w:i/>
          <w:color w:val="000000"/>
          <w:sz w:val="24"/>
        </w:rPr>
        <w:t> </w:t>
      </w:r>
      <w:r>
        <w:rPr>
          <w:color w:val="000000"/>
          <w:sz w:val="24"/>
        </w:rPr>
        <w:t>based on </w:t>
      </w:r>
      <w:r>
        <w:rPr>
          <w:b/>
          <w:color w:val="000000"/>
          <w:sz w:val="24"/>
          <w:shd w:fill="FFFF00" w:color="auto" w:val="clear"/>
        </w:rPr>
        <w:t>[</w:t>
      </w:r>
      <w:r>
        <w:rPr>
          <w:rFonts w:ascii="TimesNewRomanPS-BoldItalicMT" w:hAnsi="TimesNewRomanPS-BoldItalicMT"/>
          <w:b/>
          <w:i/>
          <w:color w:val="000000"/>
          <w:sz w:val="24"/>
          <w:shd w:fill="FFFF00" w:color="auto" w:val="clear"/>
        </w:rPr>
        <w:t>type of quality system*]</w:t>
      </w:r>
      <w:r>
        <w:rPr>
          <w:rFonts w:ascii="TimesNewRomanPS-BoldItalicMT" w:hAnsi="TimesNewRomanPS-BoldItalicMT"/>
          <w:b/>
          <w:i/>
          <w:color w:val="000000"/>
          <w:sz w:val="24"/>
        </w:rPr>
        <w:t>.</w:t>
      </w:r>
      <w:r>
        <w:rPr>
          <w:rFonts w:ascii="TimesNewRomanPS-BoldItalicMT" w:hAnsi="TimesNewRomanPS-BoldItalicMT"/>
          <w:b/>
          <w:i/>
          <w:color w:val="000000"/>
          <w:spacing w:val="40"/>
          <w:sz w:val="24"/>
        </w:rPr>
        <w:t> </w:t>
      </w:r>
      <w:r>
        <w:rPr>
          <w:color w:val="000000"/>
          <w:sz w:val="24"/>
        </w:rPr>
        <w:t>Material manufactured</w:t>
      </w:r>
      <w:r>
        <w:rPr>
          <w:color w:val="000000"/>
          <w:spacing w:val="-2"/>
          <w:sz w:val="24"/>
        </w:rPr>
        <w:t> </w:t>
      </w:r>
      <w:r>
        <w:rPr>
          <w:color w:val="000000"/>
          <w:sz w:val="24"/>
        </w:rPr>
        <w:t>by</w:t>
      </w:r>
      <w:r>
        <w:rPr>
          <w:color w:val="000000"/>
          <w:spacing w:val="-2"/>
          <w:sz w:val="24"/>
        </w:rPr>
        <w:t> </w:t>
      </w:r>
      <w:r>
        <w:rPr>
          <w:rFonts w:ascii="TimesNewRomanPS-BoldItalicMT" w:hAnsi="TimesNewRomanPS-BoldItalicMT"/>
          <w:b/>
          <w:i/>
          <w:color w:val="000000"/>
          <w:sz w:val="24"/>
          <w:shd w:fill="FFFF00" w:color="auto" w:val="clear"/>
        </w:rPr>
        <w:t>[manufacturer’s</w:t>
      </w:r>
      <w:r>
        <w:rPr>
          <w:rFonts w:ascii="TimesNewRomanPS-BoldItalicMT" w:hAnsi="TimesNewRomanPS-BoldItalicMT"/>
          <w:b/>
          <w:i/>
          <w:color w:val="000000"/>
          <w:spacing w:val="-2"/>
          <w:sz w:val="24"/>
          <w:shd w:fill="FFFF00" w:color="auto" w:val="clear"/>
        </w:rPr>
        <w:t> </w:t>
      </w:r>
      <w:r>
        <w:rPr>
          <w:rFonts w:ascii="TimesNewRomanPS-BoldItalicMT" w:hAnsi="TimesNewRomanPS-BoldItalicMT"/>
          <w:b/>
          <w:i/>
          <w:color w:val="000000"/>
          <w:sz w:val="24"/>
          <w:shd w:fill="FFFF00" w:color="auto" w:val="clear"/>
        </w:rPr>
        <w:t>name]</w:t>
      </w:r>
      <w:r>
        <w:rPr>
          <w:rFonts w:ascii="TimesNewRomanPS-BoldItalicMT" w:hAnsi="TimesNewRomanPS-BoldItalicMT"/>
          <w:b/>
          <w:i/>
          <w:color w:val="000000"/>
          <w:spacing w:val="-2"/>
          <w:sz w:val="24"/>
        </w:rPr>
        <w:t> </w:t>
      </w:r>
      <w:r>
        <w:rPr>
          <w:color w:val="000000"/>
          <w:sz w:val="24"/>
        </w:rPr>
        <w:t>may</w:t>
      </w:r>
      <w:r>
        <w:rPr>
          <w:color w:val="000000"/>
          <w:spacing w:val="-2"/>
          <w:sz w:val="24"/>
        </w:rPr>
        <w:t> </w:t>
      </w:r>
      <w:r>
        <w:rPr>
          <w:color w:val="000000"/>
          <w:sz w:val="24"/>
        </w:rPr>
        <w:t>be</w:t>
      </w:r>
      <w:r>
        <w:rPr>
          <w:color w:val="000000"/>
          <w:spacing w:val="-2"/>
          <w:sz w:val="24"/>
        </w:rPr>
        <w:t> </w:t>
      </w:r>
      <w:r>
        <w:rPr>
          <w:color w:val="000000"/>
          <w:sz w:val="24"/>
        </w:rPr>
        <w:t>bottled</w:t>
      </w:r>
      <w:r>
        <w:rPr>
          <w:color w:val="000000"/>
          <w:spacing w:val="-4"/>
          <w:sz w:val="24"/>
        </w:rPr>
        <w:t> </w:t>
      </w:r>
      <w:r>
        <w:rPr>
          <w:color w:val="000000"/>
          <w:sz w:val="24"/>
        </w:rPr>
        <w:t>and</w:t>
      </w:r>
      <w:r>
        <w:rPr>
          <w:color w:val="000000"/>
          <w:spacing w:val="-4"/>
          <w:sz w:val="24"/>
        </w:rPr>
        <w:t> </w:t>
      </w:r>
      <w:r>
        <w:rPr>
          <w:color w:val="000000"/>
          <w:sz w:val="24"/>
        </w:rPr>
        <w:t>kitted</w:t>
      </w:r>
      <w:r>
        <w:rPr>
          <w:color w:val="000000"/>
          <w:spacing w:val="-2"/>
          <w:sz w:val="24"/>
        </w:rPr>
        <w:t> </w:t>
      </w:r>
      <w:r>
        <w:rPr>
          <w:color w:val="000000"/>
          <w:sz w:val="24"/>
        </w:rPr>
        <w:t>by</w:t>
      </w:r>
      <w:r>
        <w:rPr>
          <w:color w:val="000000"/>
          <w:spacing w:val="-3"/>
          <w:sz w:val="24"/>
        </w:rPr>
        <w:t> </w:t>
      </w:r>
      <w:r>
        <w:rPr>
          <w:rFonts w:ascii="TimesNewRomanPS-BoldItalicMT" w:hAnsi="TimesNewRomanPS-BoldItalicMT"/>
          <w:b/>
          <w:i/>
          <w:color w:val="000000"/>
          <w:sz w:val="24"/>
          <w:shd w:fill="FFFF00" w:color="auto" w:val="clear"/>
        </w:rPr>
        <w:t>[packager</w:t>
      </w:r>
      <w:r>
        <w:rPr>
          <w:rFonts w:ascii="TimesNewRomanPS-BoldItalicMT" w:hAnsi="TimesNewRomanPS-BoldItalicMT"/>
          <w:b/>
          <w:i/>
          <w:color w:val="000000"/>
          <w:spacing w:val="-2"/>
          <w:sz w:val="24"/>
          <w:shd w:fill="FFFF00" w:color="auto" w:val="clear"/>
        </w:rPr>
        <w:t> </w:t>
      </w:r>
      <w:r>
        <w:rPr>
          <w:rFonts w:ascii="TimesNewRomanPS-BoldItalicMT" w:hAnsi="TimesNewRomanPS-BoldItalicMT"/>
          <w:b/>
          <w:i/>
          <w:color w:val="000000"/>
          <w:sz w:val="24"/>
          <w:shd w:fill="FFFF00" w:color="auto" w:val="clear"/>
        </w:rPr>
        <w:t>name]</w:t>
      </w:r>
      <w:r>
        <w:rPr>
          <w:rFonts w:ascii="TimesNewRomanPS-BoldItalicMT" w:hAnsi="TimesNewRomanPS-BoldItalicMT"/>
          <w:b/>
          <w:i/>
          <w:color w:val="000000"/>
          <w:sz w:val="24"/>
        </w:rPr>
        <w:t> </w:t>
      </w:r>
      <w:r>
        <w:rPr>
          <w:color w:val="000000"/>
          <w:sz w:val="24"/>
        </w:rPr>
        <w:t>manufacturing facility.</w:t>
      </w:r>
    </w:p>
    <w:p>
      <w:pPr>
        <w:pStyle w:val="BodyText"/>
        <w:spacing w:before="11"/>
        <w:rPr>
          <w:sz w:val="23"/>
        </w:rPr>
      </w:pPr>
    </w:p>
    <w:p>
      <w:pPr>
        <w:spacing w:before="0"/>
        <w:ind w:left="880" w:right="278" w:firstLine="0"/>
        <w:jc w:val="left"/>
        <w:rPr>
          <w:sz w:val="24"/>
        </w:rPr>
      </w:pPr>
      <w:r>
        <w:rPr>
          <w:sz w:val="24"/>
        </w:rPr>
        <w:t>The</w:t>
      </w:r>
      <w:r>
        <w:rPr>
          <w:spacing w:val="-4"/>
          <w:sz w:val="24"/>
        </w:rPr>
        <w:t> </w:t>
      </w:r>
      <w:r>
        <w:rPr>
          <w:sz w:val="24"/>
        </w:rPr>
        <w:t>current</w:t>
      </w:r>
      <w:r>
        <w:rPr>
          <w:spacing w:val="-5"/>
          <w:sz w:val="24"/>
        </w:rPr>
        <w:t> </w:t>
      </w:r>
      <w:r>
        <w:rPr>
          <w:sz w:val="24"/>
        </w:rPr>
        <w:t>manufacturing</w:t>
      </w:r>
      <w:r>
        <w:rPr>
          <w:spacing w:val="-4"/>
          <w:sz w:val="24"/>
        </w:rPr>
        <w:t> </w:t>
      </w:r>
      <w:r>
        <w:rPr>
          <w:sz w:val="24"/>
        </w:rPr>
        <w:t>capabilities</w:t>
      </w:r>
      <w:r>
        <w:rPr>
          <w:spacing w:val="-4"/>
          <w:sz w:val="24"/>
        </w:rPr>
        <w:t> </w:t>
      </w:r>
      <w:r>
        <w:rPr>
          <w:sz w:val="24"/>
        </w:rPr>
        <w:t>include</w:t>
      </w:r>
      <w:r>
        <w:rPr>
          <w:spacing w:val="-4"/>
          <w:sz w:val="24"/>
        </w:rPr>
        <w:t> </w:t>
      </w:r>
      <w:r>
        <w:rPr>
          <w:sz w:val="24"/>
        </w:rPr>
        <w:t>the</w:t>
      </w:r>
      <w:r>
        <w:rPr>
          <w:spacing w:val="-4"/>
          <w:sz w:val="24"/>
        </w:rPr>
        <w:t> </w:t>
      </w:r>
      <w:r>
        <w:rPr>
          <w:sz w:val="24"/>
        </w:rPr>
        <w:t>ability</w:t>
      </w:r>
      <w:r>
        <w:rPr>
          <w:spacing w:val="-6"/>
          <w:sz w:val="24"/>
        </w:rPr>
        <w:t> </w:t>
      </w:r>
      <w:r>
        <w:rPr>
          <w:sz w:val="24"/>
        </w:rPr>
        <w:t>to</w:t>
      </w:r>
      <w:r>
        <w:rPr>
          <w:spacing w:val="-6"/>
          <w:sz w:val="24"/>
        </w:rPr>
        <w:t> </w:t>
      </w:r>
      <w:r>
        <w:rPr>
          <w:sz w:val="24"/>
        </w:rPr>
        <w:t>manufacture</w:t>
      </w:r>
      <w:r>
        <w:rPr>
          <w:spacing w:val="-5"/>
          <w:sz w:val="24"/>
        </w:rPr>
        <w:t> </w:t>
      </w:r>
      <w:r>
        <w:rPr>
          <w:sz w:val="24"/>
        </w:rPr>
        <w:t>approximately </w:t>
      </w:r>
      <w:r>
        <w:rPr>
          <w:rFonts w:ascii="TimesNewRomanPS-BoldItalicMT"/>
          <w:b/>
          <w:i/>
          <w:color w:val="000000"/>
          <w:sz w:val="24"/>
          <w:shd w:fill="FFFF00" w:color="auto" w:val="clear"/>
        </w:rPr>
        <w:t>[insert</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the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approximate</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number</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of</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units/products</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that</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can</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currently</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be</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manufactured</w:t>
      </w:r>
      <w:r>
        <w:rPr>
          <w:rFonts w:ascii="TimesNewRomanPS-BoldItalicMT"/>
          <w:b/>
          <w:i/>
          <w:color w:val="000000"/>
          <w:sz w:val="24"/>
        </w:rPr>
        <w:t> </w:t>
      </w:r>
      <w:r>
        <w:rPr>
          <w:rFonts w:ascii="TimesNewRomanPS-BoldItalicMT"/>
          <w:b/>
          <w:i/>
          <w:color w:val="000000"/>
          <w:sz w:val="24"/>
          <w:shd w:fill="FFFF00" w:color="auto" w:val="clear"/>
        </w:rPr>
        <w:t>per week at the manufacturing facility]</w:t>
      </w:r>
      <w:r>
        <w:rPr>
          <w:rFonts w:ascii="TimesNewRomanPS-BoldItalicMT"/>
          <w:b/>
          <w:i/>
          <w:color w:val="000000"/>
          <w:sz w:val="24"/>
        </w:rPr>
        <w:t> </w:t>
      </w:r>
      <w:r>
        <w:rPr>
          <w:color w:val="000000"/>
          <w:sz w:val="24"/>
        </w:rPr>
        <w:t>products per week, however in the event of a surge in demand this could be increased to </w:t>
      </w:r>
      <w:r>
        <w:rPr>
          <w:rFonts w:ascii="TimesNewRomanPS-BoldItalicMT"/>
          <w:b/>
          <w:i/>
          <w:color w:val="000000"/>
          <w:sz w:val="24"/>
          <w:shd w:fill="FFFF00" w:color="auto" w:val="clear"/>
        </w:rPr>
        <w:t>[please insert the approximate maximum</w:t>
      </w:r>
      <w:r>
        <w:rPr>
          <w:rFonts w:ascii="TimesNewRomanPS-BoldItalicMT"/>
          <w:b/>
          <w:i/>
          <w:color w:val="000000"/>
          <w:sz w:val="24"/>
        </w:rPr>
        <w:t> </w:t>
      </w:r>
      <w:r>
        <w:rPr>
          <w:rFonts w:ascii="TimesNewRomanPS-BoldItalicMT"/>
          <w:b/>
          <w:i/>
          <w:color w:val="000000"/>
          <w:sz w:val="24"/>
          <w:shd w:fill="FFFF00" w:color="auto" w:val="clear"/>
        </w:rPr>
        <w:t>number of units/products that could potentially be manufactured per week at the</w:t>
      </w:r>
      <w:r>
        <w:rPr>
          <w:rFonts w:ascii="TimesNewRomanPS-BoldItalicMT"/>
          <w:b/>
          <w:i/>
          <w:color w:val="000000"/>
          <w:sz w:val="24"/>
        </w:rPr>
        <w:t> </w:t>
      </w:r>
      <w:r>
        <w:rPr>
          <w:rFonts w:ascii="TimesNewRomanPS-BoldItalicMT"/>
          <w:b/>
          <w:i/>
          <w:color w:val="000000"/>
          <w:sz w:val="24"/>
          <w:shd w:fill="FFFF00" w:color="auto" w:val="clear"/>
        </w:rPr>
        <w:t>manufacturing facility if there was a surge in demand]</w:t>
      </w:r>
      <w:r>
        <w:rPr>
          <w:rFonts w:ascii="TimesNewRomanPS-BoldItalicMT"/>
          <w:b/>
          <w:i/>
          <w:color w:val="000000"/>
          <w:sz w:val="24"/>
        </w:rPr>
        <w:t> </w:t>
      </w:r>
      <w:r>
        <w:rPr>
          <w:color w:val="000000"/>
          <w:sz w:val="24"/>
        </w:rPr>
        <w:t>product per week within a </w:t>
      </w:r>
      <w:r>
        <w:rPr>
          <w:rFonts w:ascii="TimesNewRomanPS-BoldItalicMT"/>
          <w:b/>
          <w:i/>
          <w:color w:val="000000"/>
          <w:sz w:val="24"/>
          <w:shd w:fill="FFFF00" w:color="auto" w:val="clear"/>
        </w:rPr>
        <w:t>[please specify in weeks/months the expected timeframe required to increase product</w:t>
      </w:r>
      <w:r>
        <w:rPr>
          <w:rFonts w:ascii="TimesNewRomanPS-BoldItalicMT"/>
          <w:b/>
          <w:i/>
          <w:color w:val="000000"/>
          <w:sz w:val="24"/>
        </w:rPr>
        <w:t> </w:t>
      </w:r>
      <w:r>
        <w:rPr>
          <w:rFonts w:ascii="TimesNewRomanPS-BoldItalicMT"/>
          <w:b/>
          <w:i/>
          <w:color w:val="000000"/>
          <w:sz w:val="24"/>
          <w:shd w:fill="FFFF00" w:color="auto" w:val="clear"/>
        </w:rPr>
        <w:t>production if required]</w:t>
      </w:r>
      <w:r>
        <w:rPr>
          <w:rFonts w:ascii="TimesNewRomanPS-BoldItalicMT"/>
          <w:b/>
          <w:i/>
          <w:color w:val="000000"/>
          <w:sz w:val="24"/>
        </w:rPr>
        <w:t> </w:t>
      </w:r>
      <w:r>
        <w:rPr>
          <w:color w:val="000000"/>
          <w:sz w:val="24"/>
        </w:rPr>
        <w:t>timeframe.</w:t>
      </w:r>
    </w:p>
    <w:p>
      <w:pPr>
        <w:pStyle w:val="BodyText"/>
        <w:spacing w:before="1"/>
        <w:rPr>
          <w:sz w:val="16"/>
        </w:rPr>
      </w:pPr>
    </w:p>
    <w:p>
      <w:pPr>
        <w:pStyle w:val="ListParagraph"/>
        <w:numPr>
          <w:ilvl w:val="1"/>
          <w:numId w:val="13"/>
        </w:numPr>
        <w:tabs>
          <w:tab w:pos="880" w:val="left" w:leader="none"/>
        </w:tabs>
        <w:spacing w:line="240" w:lineRule="auto" w:before="90" w:after="0"/>
        <w:ind w:left="880" w:right="438" w:hanging="360"/>
        <w:jc w:val="left"/>
        <w:rPr>
          <w:sz w:val="24"/>
        </w:rPr>
      </w:pPr>
      <w:r>
        <w:rPr>
          <w:b/>
          <w:sz w:val="24"/>
          <w:u w:val="thick"/>
        </w:rPr>
        <w:t>Component Included with the Test:</w:t>
      </w:r>
      <w:r>
        <w:rPr>
          <w:b/>
          <w:spacing w:val="40"/>
          <w:sz w:val="24"/>
        </w:rPr>
        <w:t> </w:t>
      </w:r>
      <w:r>
        <w:rPr>
          <w:sz w:val="24"/>
        </w:rPr>
        <w:t>Components manufactured </w:t>
      </w:r>
      <w:r>
        <w:rPr>
          <w:rFonts w:ascii="TimesNewRomanPS-BoldItalicMT" w:hAnsi="TimesNewRomanPS-BoldItalicMT"/>
          <w:b/>
          <w:i/>
          <w:sz w:val="24"/>
        </w:rPr>
        <w:t>by </w:t>
      </w:r>
      <w:r>
        <w:rPr>
          <w:rFonts w:ascii="TimesNewRomanPS-BoldItalicMT" w:hAnsi="TimesNewRomanPS-BoldItalicMT"/>
          <w:b/>
          <w:i/>
          <w:color w:val="000000"/>
          <w:sz w:val="24"/>
          <w:shd w:fill="FFFF00" w:color="auto" w:val="clear"/>
        </w:rPr>
        <w:t>[manufacturer’s</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name</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and</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FDA</w:t>
      </w:r>
      <w:r>
        <w:rPr>
          <w:rFonts w:ascii="TimesNewRomanPS-BoldItalicMT" w:hAnsi="TimesNewRomanPS-BoldItalicMT"/>
          <w:b/>
          <w:i/>
          <w:color w:val="000000"/>
          <w:spacing w:val="-4"/>
          <w:sz w:val="24"/>
          <w:shd w:fill="FFFF00" w:color="auto" w:val="clear"/>
        </w:rPr>
        <w:t> </w:t>
      </w:r>
      <w:r>
        <w:rPr>
          <w:rFonts w:ascii="TimesNewRomanPS-BoldItalicMT" w:hAnsi="TimesNewRomanPS-BoldItalicMT"/>
          <w:b/>
          <w:i/>
          <w:color w:val="000000"/>
          <w:sz w:val="24"/>
          <w:shd w:fill="FFFF00" w:color="auto" w:val="clear"/>
        </w:rPr>
        <w:t>registration</w:t>
      </w:r>
      <w:r>
        <w:rPr>
          <w:rFonts w:ascii="TimesNewRomanPS-BoldItalicMT" w:hAnsi="TimesNewRomanPS-BoldItalicMT"/>
          <w:b/>
          <w:i/>
          <w:color w:val="000000"/>
          <w:spacing w:val="-4"/>
          <w:sz w:val="24"/>
          <w:shd w:fill="FFFF00" w:color="auto" w:val="clear"/>
        </w:rPr>
        <w:t> </w:t>
      </w:r>
      <w:r>
        <w:rPr>
          <w:rFonts w:ascii="TimesNewRomanPS-BoldItalicMT" w:hAnsi="TimesNewRomanPS-BoldItalicMT"/>
          <w:b/>
          <w:i/>
          <w:color w:val="000000"/>
          <w:sz w:val="24"/>
          <w:shd w:fill="FFFF00" w:color="auto" w:val="clear"/>
        </w:rPr>
        <w:t>number</w:t>
      </w:r>
      <w:r>
        <w:rPr>
          <w:rFonts w:ascii="TimesNewRomanPS-BoldItalicMT" w:hAnsi="TimesNewRomanPS-BoldItalicMT"/>
          <w:b/>
          <w:i/>
          <w:color w:val="000000"/>
          <w:spacing w:val="-4"/>
          <w:sz w:val="24"/>
          <w:shd w:fill="FFFF00" w:color="auto" w:val="clear"/>
        </w:rPr>
        <w:t> </w:t>
      </w:r>
      <w:r>
        <w:rPr>
          <w:rFonts w:ascii="TimesNewRomanPS-BoldItalicMT" w:hAnsi="TimesNewRomanPS-BoldItalicMT"/>
          <w:b/>
          <w:i/>
          <w:color w:val="000000"/>
          <w:sz w:val="24"/>
          <w:shd w:fill="FFFF00" w:color="auto" w:val="clear"/>
        </w:rPr>
        <w:t>(if</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applicable)]</w:t>
      </w:r>
      <w:r>
        <w:rPr>
          <w:rFonts w:ascii="TimesNewRomanPS-BoldItalicMT" w:hAnsi="TimesNewRomanPS-BoldItalicMT"/>
          <w:b/>
          <w:i/>
          <w:color w:val="000000"/>
          <w:spacing w:val="-3"/>
          <w:sz w:val="24"/>
        </w:rPr>
        <w:t> </w:t>
      </w:r>
      <w:r>
        <w:rPr>
          <w:color w:val="000000"/>
          <w:sz w:val="24"/>
        </w:rPr>
        <w:t>and</w:t>
      </w:r>
      <w:r>
        <w:rPr>
          <w:color w:val="000000"/>
          <w:spacing w:val="-3"/>
          <w:sz w:val="24"/>
        </w:rPr>
        <w:t> </w:t>
      </w:r>
      <w:r>
        <w:rPr>
          <w:color w:val="000000"/>
          <w:sz w:val="24"/>
        </w:rPr>
        <w:t>supplied</w:t>
      </w:r>
      <w:r>
        <w:rPr>
          <w:color w:val="000000"/>
          <w:spacing w:val="-3"/>
          <w:sz w:val="24"/>
        </w:rPr>
        <w:t> </w:t>
      </w:r>
      <w:r>
        <w:rPr>
          <w:color w:val="000000"/>
          <w:sz w:val="24"/>
        </w:rPr>
        <w:t>with</w:t>
      </w:r>
      <w:r>
        <w:rPr>
          <w:color w:val="000000"/>
          <w:spacing w:val="-5"/>
          <w:sz w:val="24"/>
        </w:rPr>
        <w:t> </w:t>
      </w:r>
      <w:r>
        <w:rPr>
          <w:color w:val="000000"/>
          <w:sz w:val="24"/>
        </w:rPr>
        <w:t>the</w:t>
      </w:r>
      <w:r>
        <w:rPr>
          <w:color w:val="000000"/>
          <w:spacing w:val="-4"/>
          <w:sz w:val="24"/>
        </w:rPr>
        <w:t> </w:t>
      </w:r>
      <w:r>
        <w:rPr>
          <w:color w:val="000000"/>
          <w:sz w:val="24"/>
        </w:rPr>
        <w:t>test</w:t>
      </w:r>
      <w:r>
        <w:rPr>
          <w:color w:val="000000"/>
          <w:spacing w:val="-4"/>
          <w:sz w:val="24"/>
        </w:rPr>
        <w:t> </w:t>
      </w:r>
      <w:r>
        <w:rPr>
          <w:color w:val="000000"/>
          <w:sz w:val="24"/>
        </w:rPr>
        <w:t>include:</w:t>
      </w:r>
    </w:p>
    <w:p>
      <w:pPr>
        <w:pStyle w:val="BodyText"/>
        <w:spacing w:before="2"/>
        <w:rPr>
          <w:sz w:val="16"/>
        </w:rPr>
      </w:pPr>
    </w:p>
    <w:p>
      <w:pPr>
        <w:pStyle w:val="Heading6"/>
      </w:pPr>
      <w:r>
        <w:rPr>
          <w:color w:val="000000"/>
          <w:shd w:fill="FFFF00" w:color="auto" w:val="clear"/>
        </w:rPr>
        <w:t>[List</w:t>
      </w:r>
      <w:r>
        <w:rPr>
          <w:color w:val="000000"/>
          <w:spacing w:val="-4"/>
          <w:shd w:fill="FFFF00" w:color="auto" w:val="clear"/>
        </w:rPr>
        <w:t> </w:t>
      </w:r>
      <w:r>
        <w:rPr>
          <w:color w:val="000000"/>
          <w:shd w:fill="FFFF00" w:color="auto" w:val="clear"/>
        </w:rPr>
        <w:t>all</w:t>
      </w:r>
      <w:r>
        <w:rPr>
          <w:color w:val="000000"/>
          <w:spacing w:val="-4"/>
          <w:shd w:fill="FFFF00" w:color="auto" w:val="clear"/>
        </w:rPr>
        <w:t> </w:t>
      </w:r>
      <w:r>
        <w:rPr>
          <w:color w:val="000000"/>
          <w:shd w:fill="FFFF00" w:color="auto" w:val="clear"/>
        </w:rPr>
        <w:t>components</w:t>
      </w:r>
      <w:r>
        <w:rPr>
          <w:color w:val="000000"/>
          <w:spacing w:val="-4"/>
          <w:shd w:fill="FFFF00" w:color="auto" w:val="clear"/>
        </w:rPr>
        <w:t> </w:t>
      </w:r>
      <w:r>
        <w:rPr>
          <w:color w:val="000000"/>
          <w:shd w:fill="FFFF00" w:color="auto" w:val="clear"/>
        </w:rPr>
        <w:t>and</w:t>
      </w:r>
      <w:r>
        <w:rPr>
          <w:color w:val="000000"/>
          <w:spacing w:val="-4"/>
          <w:shd w:fill="FFFF00" w:color="auto" w:val="clear"/>
        </w:rPr>
        <w:t> </w:t>
      </w:r>
      <w:r>
        <w:rPr>
          <w:color w:val="000000"/>
          <w:shd w:fill="FFFF00" w:color="auto" w:val="clear"/>
        </w:rPr>
        <w:t>reagents</w:t>
      </w:r>
      <w:r>
        <w:rPr>
          <w:color w:val="000000"/>
          <w:spacing w:val="-5"/>
          <w:shd w:fill="FFFF00" w:color="auto" w:val="clear"/>
        </w:rPr>
        <w:t> </w:t>
      </w:r>
      <w:r>
        <w:rPr>
          <w:color w:val="000000"/>
          <w:shd w:fill="FFFF00" w:color="auto" w:val="clear"/>
        </w:rPr>
        <w:t>provided</w:t>
      </w:r>
      <w:r>
        <w:rPr>
          <w:color w:val="000000"/>
          <w:spacing w:val="-4"/>
          <w:shd w:fill="FFFF00" w:color="auto" w:val="clear"/>
        </w:rPr>
        <w:t> </w:t>
      </w:r>
      <w:r>
        <w:rPr>
          <w:color w:val="000000"/>
          <w:shd w:fill="FFFF00" w:color="auto" w:val="clear"/>
        </w:rPr>
        <w:t>for</w:t>
      </w:r>
      <w:r>
        <w:rPr>
          <w:color w:val="000000"/>
          <w:spacing w:val="-5"/>
          <w:shd w:fill="FFFF00" w:color="auto" w:val="clear"/>
        </w:rPr>
        <w:t> </w:t>
      </w:r>
      <w:r>
        <w:rPr>
          <w:color w:val="000000"/>
          <w:shd w:fill="FFFF00" w:color="auto" w:val="clear"/>
        </w:rPr>
        <w:t>your</w:t>
      </w:r>
      <w:r>
        <w:rPr>
          <w:color w:val="000000"/>
          <w:spacing w:val="-4"/>
          <w:shd w:fill="FFFF00" w:color="auto" w:val="clear"/>
        </w:rPr>
        <w:t> </w:t>
      </w:r>
      <w:r>
        <w:rPr>
          <w:color w:val="000000"/>
          <w:shd w:fill="FFFF00" w:color="auto" w:val="clear"/>
        </w:rPr>
        <w:t>test,</w:t>
      </w:r>
      <w:r>
        <w:rPr>
          <w:color w:val="000000"/>
          <w:spacing w:val="-6"/>
          <w:shd w:fill="FFFF00" w:color="auto" w:val="clear"/>
        </w:rPr>
        <w:t> </w:t>
      </w:r>
      <w:r>
        <w:rPr>
          <w:color w:val="000000"/>
          <w:shd w:fill="FFFF00" w:color="auto" w:val="clear"/>
        </w:rPr>
        <w:t>including</w:t>
      </w:r>
      <w:r>
        <w:rPr>
          <w:color w:val="000000"/>
          <w:spacing w:val="-4"/>
          <w:shd w:fill="FFFF00" w:color="auto" w:val="clear"/>
        </w:rPr>
        <w:t> </w:t>
      </w:r>
      <w:r>
        <w:rPr>
          <w:color w:val="000000"/>
          <w:shd w:fill="FFFF00" w:color="auto" w:val="clear"/>
        </w:rPr>
        <w:t>volumes,</w:t>
      </w:r>
      <w:r>
        <w:rPr>
          <w:color w:val="000000"/>
        </w:rPr>
        <w:t> </w:t>
      </w:r>
      <w:r>
        <w:rPr>
          <w:color w:val="000000"/>
          <w:shd w:fill="FFFF00" w:color="auto" w:val="clear"/>
        </w:rPr>
        <w:t>concentrations, quantities, etc.]</w:t>
      </w:r>
    </w:p>
    <w:p>
      <w:pPr>
        <w:pStyle w:val="BodyText"/>
        <w:rPr>
          <w:rFonts w:ascii="TimesNewRomanPS-BoldItalicMT"/>
          <w:b/>
          <w:i/>
          <w:sz w:val="16"/>
        </w:rPr>
      </w:pPr>
    </w:p>
    <w:p>
      <w:pPr>
        <w:spacing w:before="90" w:after="33"/>
        <w:ind w:left="880" w:right="0" w:firstLine="0"/>
        <w:jc w:val="left"/>
        <w:rPr>
          <w:b/>
          <w:sz w:val="22"/>
        </w:rPr>
      </w:pPr>
      <w:r>
        <w:rPr>
          <w:b/>
          <w:color w:val="000000"/>
          <w:sz w:val="22"/>
          <w:shd w:fill="FFFF00" w:color="auto" w:val="clear"/>
        </w:rPr>
        <w:t>Example:</w:t>
      </w:r>
      <w:r>
        <w:rPr>
          <w:b/>
          <w:color w:val="000000"/>
          <w:spacing w:val="51"/>
          <w:sz w:val="22"/>
          <w:shd w:fill="FFFF00" w:color="auto" w:val="clear"/>
        </w:rPr>
        <w:t> </w:t>
      </w:r>
      <w:r>
        <w:rPr>
          <w:b/>
          <w:color w:val="000000"/>
          <w:sz w:val="22"/>
          <w:shd w:fill="FFFF00" w:color="auto" w:val="clear"/>
        </w:rPr>
        <w:t>Table Kit</w:t>
      </w:r>
      <w:r>
        <w:rPr>
          <w:b/>
          <w:color w:val="000000"/>
          <w:spacing w:val="1"/>
          <w:sz w:val="22"/>
          <w:shd w:fill="FFFF00" w:color="auto" w:val="clear"/>
        </w:rPr>
        <w:t> </w:t>
      </w:r>
      <w:r>
        <w:rPr>
          <w:b/>
          <w:color w:val="000000"/>
          <w:spacing w:val="-2"/>
          <w:sz w:val="22"/>
          <w:shd w:fill="FFFF00" w:color="auto" w:val="clear"/>
        </w:rPr>
        <w:t>Components</w:t>
      </w:r>
    </w:p>
    <w:tbl>
      <w:tblPr>
        <w:tblW w:w="0" w:type="auto"/>
        <w:jc w:val="left"/>
        <w:tblInd w:w="89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790"/>
        <w:gridCol w:w="2335"/>
      </w:tblGrid>
      <w:tr>
        <w:trPr>
          <w:trHeight w:val="258" w:hRule="atLeast"/>
        </w:trPr>
        <w:tc>
          <w:tcPr>
            <w:tcW w:w="2790" w:type="dxa"/>
          </w:tcPr>
          <w:p>
            <w:pPr>
              <w:pStyle w:val="TableParagraph"/>
              <w:spacing w:line="239" w:lineRule="exact"/>
              <w:ind w:left="125"/>
              <w:jc w:val="left"/>
              <w:rPr>
                <w:b/>
                <w:sz w:val="22"/>
              </w:rPr>
            </w:pPr>
            <w:r>
              <w:rPr>
                <w:b/>
                <w:color w:val="000000"/>
                <w:w w:val="105"/>
                <w:sz w:val="22"/>
                <w:shd w:fill="FFFF00" w:color="auto" w:val="clear"/>
              </w:rPr>
              <w:t>Kit</w:t>
            </w:r>
            <w:r>
              <w:rPr>
                <w:b/>
                <w:color w:val="000000"/>
                <w:spacing w:val="-10"/>
                <w:w w:val="105"/>
                <w:sz w:val="22"/>
                <w:shd w:fill="FFFF00" w:color="auto" w:val="clear"/>
              </w:rPr>
              <w:t> </w:t>
            </w:r>
            <w:r>
              <w:rPr>
                <w:b/>
                <w:color w:val="000000"/>
                <w:w w:val="105"/>
                <w:sz w:val="22"/>
                <w:shd w:fill="FFFF00" w:color="auto" w:val="clear"/>
              </w:rPr>
              <w:t>components</w:t>
            </w:r>
            <w:r>
              <w:rPr>
                <w:b/>
                <w:color w:val="000000"/>
                <w:spacing w:val="-10"/>
                <w:w w:val="105"/>
                <w:sz w:val="22"/>
                <w:shd w:fill="FFFF00" w:color="auto" w:val="clear"/>
              </w:rPr>
              <w:t> </w:t>
            </w:r>
            <w:r>
              <w:rPr>
                <w:b/>
                <w:color w:val="000000"/>
                <w:spacing w:val="-2"/>
                <w:w w:val="105"/>
                <w:sz w:val="22"/>
                <w:shd w:fill="FFFF00" w:color="auto" w:val="clear"/>
              </w:rPr>
              <w:t>(example)</w:t>
            </w:r>
          </w:p>
        </w:tc>
        <w:tc>
          <w:tcPr>
            <w:tcW w:w="2335" w:type="dxa"/>
          </w:tcPr>
          <w:p>
            <w:pPr>
              <w:pStyle w:val="TableParagraph"/>
              <w:spacing w:line="239" w:lineRule="exact"/>
              <w:ind w:left="118"/>
              <w:jc w:val="left"/>
              <w:rPr>
                <w:b/>
                <w:sz w:val="22"/>
              </w:rPr>
            </w:pPr>
            <w:r>
              <w:rPr>
                <w:b/>
                <w:color w:val="000000"/>
                <w:spacing w:val="-2"/>
                <w:w w:val="105"/>
                <w:sz w:val="22"/>
                <w:shd w:fill="FFFF00" w:color="auto" w:val="clear"/>
              </w:rPr>
              <w:t>Manufacturer</w:t>
            </w:r>
          </w:p>
        </w:tc>
      </w:tr>
      <w:tr>
        <w:trPr>
          <w:trHeight w:val="257" w:hRule="atLeast"/>
        </w:trPr>
        <w:tc>
          <w:tcPr>
            <w:tcW w:w="2790" w:type="dxa"/>
          </w:tcPr>
          <w:p>
            <w:pPr>
              <w:pStyle w:val="TableParagraph"/>
              <w:spacing w:line="238" w:lineRule="exact"/>
              <w:ind w:left="123"/>
              <w:jc w:val="left"/>
              <w:rPr>
                <w:sz w:val="22"/>
              </w:rPr>
            </w:pPr>
            <w:r>
              <w:rPr>
                <w:color w:val="000000"/>
                <w:w w:val="105"/>
                <w:sz w:val="22"/>
                <w:shd w:fill="FFFF00" w:color="auto" w:val="clear"/>
              </w:rPr>
              <w:t>Test</w:t>
            </w:r>
            <w:r>
              <w:rPr>
                <w:color w:val="000000"/>
                <w:spacing w:val="-5"/>
                <w:w w:val="105"/>
                <w:sz w:val="22"/>
                <w:shd w:fill="FFFF00" w:color="auto" w:val="clear"/>
              </w:rPr>
              <w:t> </w:t>
            </w:r>
            <w:r>
              <w:rPr>
                <w:color w:val="000000"/>
                <w:w w:val="105"/>
                <w:sz w:val="22"/>
                <w:shd w:fill="FFFF00" w:color="auto" w:val="clear"/>
              </w:rPr>
              <w:t>Cassette</w:t>
            </w:r>
            <w:r>
              <w:rPr>
                <w:color w:val="000000"/>
                <w:spacing w:val="-6"/>
                <w:w w:val="105"/>
                <w:sz w:val="22"/>
                <w:shd w:fill="FFFF00" w:color="auto" w:val="clear"/>
              </w:rPr>
              <w:t> </w:t>
            </w:r>
            <w:r>
              <w:rPr>
                <w:color w:val="000000"/>
                <w:w w:val="105"/>
                <w:sz w:val="22"/>
                <w:shd w:fill="FFFF00" w:color="auto" w:val="clear"/>
              </w:rPr>
              <w:t>with</w:t>
            </w:r>
            <w:r>
              <w:rPr>
                <w:color w:val="000000"/>
                <w:spacing w:val="-7"/>
                <w:w w:val="105"/>
                <w:sz w:val="22"/>
                <w:shd w:fill="FFFF00" w:color="auto" w:val="clear"/>
              </w:rPr>
              <w:t> </w:t>
            </w:r>
            <w:r>
              <w:rPr>
                <w:color w:val="000000"/>
                <w:w w:val="105"/>
                <w:sz w:val="22"/>
                <w:shd w:fill="FFFF00" w:color="auto" w:val="clear"/>
              </w:rPr>
              <w:t>test</w:t>
            </w:r>
            <w:r>
              <w:rPr>
                <w:color w:val="000000"/>
                <w:spacing w:val="-7"/>
                <w:w w:val="105"/>
                <w:sz w:val="22"/>
                <w:shd w:fill="FFFF00" w:color="auto" w:val="clear"/>
              </w:rPr>
              <w:t> </w:t>
            </w:r>
            <w:r>
              <w:rPr>
                <w:color w:val="000000"/>
                <w:spacing w:val="-2"/>
                <w:w w:val="105"/>
                <w:sz w:val="22"/>
                <w:shd w:fill="FFFF00" w:color="auto" w:val="clear"/>
              </w:rPr>
              <w:t>strip</w:t>
            </w:r>
          </w:p>
        </w:tc>
        <w:tc>
          <w:tcPr>
            <w:tcW w:w="2335" w:type="dxa"/>
          </w:tcPr>
          <w:p>
            <w:pPr>
              <w:pStyle w:val="TableParagraph"/>
              <w:jc w:val="left"/>
              <w:rPr>
                <w:sz w:val="18"/>
              </w:rPr>
            </w:pPr>
          </w:p>
        </w:tc>
      </w:tr>
      <w:tr>
        <w:trPr>
          <w:trHeight w:val="233" w:hRule="atLeast"/>
        </w:trPr>
        <w:tc>
          <w:tcPr>
            <w:tcW w:w="2790" w:type="dxa"/>
          </w:tcPr>
          <w:p>
            <w:pPr>
              <w:pStyle w:val="TableParagraph"/>
              <w:spacing w:line="214" w:lineRule="exact"/>
              <w:ind w:left="126"/>
              <w:jc w:val="left"/>
              <w:rPr>
                <w:sz w:val="22"/>
              </w:rPr>
            </w:pPr>
            <w:r>
              <w:rPr>
                <w:color w:val="000000"/>
                <w:sz w:val="22"/>
                <w:shd w:fill="FFFF00" w:color="auto" w:val="clear"/>
              </w:rPr>
              <w:t>Negative</w:t>
            </w:r>
            <w:r>
              <w:rPr>
                <w:color w:val="000000"/>
                <w:spacing w:val="29"/>
                <w:sz w:val="22"/>
                <w:shd w:fill="FFFF00" w:color="auto" w:val="clear"/>
              </w:rPr>
              <w:t> </w:t>
            </w:r>
            <w:r>
              <w:rPr>
                <w:color w:val="000000"/>
                <w:spacing w:val="-2"/>
                <w:sz w:val="22"/>
                <w:shd w:fill="FFFF00" w:color="auto" w:val="clear"/>
              </w:rPr>
              <w:t>control</w:t>
            </w:r>
          </w:p>
        </w:tc>
        <w:tc>
          <w:tcPr>
            <w:tcW w:w="2335" w:type="dxa"/>
          </w:tcPr>
          <w:p>
            <w:pPr>
              <w:pStyle w:val="TableParagraph"/>
              <w:jc w:val="left"/>
              <w:rPr>
                <w:sz w:val="16"/>
              </w:rPr>
            </w:pPr>
          </w:p>
        </w:tc>
      </w:tr>
      <w:tr>
        <w:trPr>
          <w:trHeight w:val="264" w:hRule="atLeast"/>
        </w:trPr>
        <w:tc>
          <w:tcPr>
            <w:tcW w:w="2790" w:type="dxa"/>
          </w:tcPr>
          <w:p>
            <w:pPr>
              <w:pStyle w:val="TableParagraph"/>
              <w:spacing w:line="245" w:lineRule="exact"/>
              <w:ind w:left="119"/>
              <w:jc w:val="left"/>
              <w:rPr>
                <w:sz w:val="22"/>
              </w:rPr>
            </w:pPr>
            <w:r>
              <w:rPr>
                <w:color w:val="000000"/>
                <w:w w:val="105"/>
                <w:sz w:val="22"/>
                <w:shd w:fill="FFFF00" w:color="auto" w:val="clear"/>
              </w:rPr>
              <w:t>Positive</w:t>
            </w:r>
            <w:r>
              <w:rPr>
                <w:color w:val="000000"/>
                <w:spacing w:val="-10"/>
                <w:w w:val="105"/>
                <w:sz w:val="22"/>
                <w:shd w:fill="FFFF00" w:color="auto" w:val="clear"/>
              </w:rPr>
              <w:t> </w:t>
            </w:r>
            <w:r>
              <w:rPr>
                <w:color w:val="000000"/>
                <w:spacing w:val="-2"/>
                <w:w w:val="105"/>
                <w:sz w:val="22"/>
                <w:shd w:fill="FFFF00" w:color="auto" w:val="clear"/>
              </w:rPr>
              <w:t>control</w:t>
            </w:r>
          </w:p>
        </w:tc>
        <w:tc>
          <w:tcPr>
            <w:tcW w:w="2335" w:type="dxa"/>
          </w:tcPr>
          <w:p>
            <w:pPr>
              <w:pStyle w:val="TableParagraph"/>
              <w:jc w:val="left"/>
              <w:rPr>
                <w:sz w:val="18"/>
              </w:rPr>
            </w:pPr>
          </w:p>
        </w:tc>
      </w:tr>
      <w:tr>
        <w:trPr>
          <w:trHeight w:val="250" w:hRule="atLeast"/>
        </w:trPr>
        <w:tc>
          <w:tcPr>
            <w:tcW w:w="2790" w:type="dxa"/>
          </w:tcPr>
          <w:p>
            <w:pPr>
              <w:pStyle w:val="TableParagraph"/>
              <w:spacing w:line="230" w:lineRule="exact"/>
              <w:ind w:left="123"/>
              <w:jc w:val="left"/>
              <w:rPr>
                <w:sz w:val="22"/>
              </w:rPr>
            </w:pPr>
            <w:r>
              <w:rPr>
                <w:color w:val="000000"/>
                <w:w w:val="105"/>
                <w:sz w:val="22"/>
                <w:shd w:fill="FFFF00" w:color="auto" w:val="clear"/>
              </w:rPr>
              <w:t>Sample</w:t>
            </w:r>
            <w:r>
              <w:rPr>
                <w:color w:val="000000"/>
                <w:spacing w:val="-10"/>
                <w:w w:val="105"/>
                <w:sz w:val="22"/>
                <w:shd w:fill="FFFF00" w:color="auto" w:val="clear"/>
              </w:rPr>
              <w:t> </w:t>
            </w:r>
            <w:r>
              <w:rPr>
                <w:color w:val="000000"/>
                <w:w w:val="105"/>
                <w:sz w:val="22"/>
                <w:shd w:fill="FFFF00" w:color="auto" w:val="clear"/>
              </w:rPr>
              <w:t>buffer</w:t>
            </w:r>
            <w:r>
              <w:rPr>
                <w:color w:val="000000"/>
                <w:spacing w:val="-10"/>
                <w:w w:val="105"/>
                <w:sz w:val="22"/>
                <w:shd w:fill="FFFF00" w:color="auto" w:val="clear"/>
              </w:rPr>
              <w:t> </w:t>
            </w:r>
            <w:r>
              <w:rPr>
                <w:color w:val="000000"/>
                <w:spacing w:val="-2"/>
                <w:w w:val="105"/>
                <w:sz w:val="22"/>
                <w:shd w:fill="FFFF00" w:color="auto" w:val="clear"/>
              </w:rPr>
              <w:t>(bottle)</w:t>
            </w:r>
          </w:p>
        </w:tc>
        <w:tc>
          <w:tcPr>
            <w:tcW w:w="2335" w:type="dxa"/>
          </w:tcPr>
          <w:p>
            <w:pPr>
              <w:pStyle w:val="TableParagraph"/>
              <w:jc w:val="left"/>
              <w:rPr>
                <w:sz w:val="18"/>
              </w:rPr>
            </w:pPr>
          </w:p>
        </w:tc>
      </w:tr>
      <w:tr>
        <w:trPr>
          <w:trHeight w:val="286" w:hRule="atLeast"/>
        </w:trPr>
        <w:tc>
          <w:tcPr>
            <w:tcW w:w="2790" w:type="dxa"/>
          </w:tcPr>
          <w:p>
            <w:pPr>
              <w:pStyle w:val="TableParagraph"/>
              <w:spacing w:line="244" w:lineRule="exact" w:before="22"/>
              <w:ind w:left="123"/>
              <w:jc w:val="left"/>
              <w:rPr>
                <w:sz w:val="22"/>
              </w:rPr>
            </w:pPr>
            <w:r>
              <w:rPr>
                <w:color w:val="000000"/>
                <w:sz w:val="22"/>
                <w:shd w:fill="FFFF00" w:color="auto" w:val="clear"/>
              </w:rPr>
              <w:t>Transfer</w:t>
            </w:r>
            <w:r>
              <w:rPr>
                <w:color w:val="000000"/>
                <w:spacing w:val="27"/>
                <w:sz w:val="22"/>
                <w:shd w:fill="FFFF00" w:color="auto" w:val="clear"/>
              </w:rPr>
              <w:t> </w:t>
            </w:r>
            <w:r>
              <w:rPr>
                <w:color w:val="000000"/>
                <w:spacing w:val="-2"/>
                <w:sz w:val="22"/>
                <w:shd w:fill="FFFF00" w:color="auto" w:val="clear"/>
              </w:rPr>
              <w:t>pipette</w:t>
            </w:r>
          </w:p>
        </w:tc>
        <w:tc>
          <w:tcPr>
            <w:tcW w:w="2335" w:type="dxa"/>
          </w:tcPr>
          <w:p>
            <w:pPr>
              <w:pStyle w:val="TableParagraph"/>
              <w:jc w:val="left"/>
              <w:rPr>
                <w:sz w:val="20"/>
              </w:rPr>
            </w:pPr>
          </w:p>
        </w:tc>
      </w:tr>
      <w:tr>
        <w:trPr>
          <w:trHeight w:val="286" w:hRule="atLeast"/>
        </w:trPr>
        <w:tc>
          <w:tcPr>
            <w:tcW w:w="2790" w:type="dxa"/>
          </w:tcPr>
          <w:p>
            <w:pPr>
              <w:pStyle w:val="TableParagraph"/>
              <w:spacing w:line="245" w:lineRule="exact" w:before="21"/>
              <w:ind w:left="123"/>
              <w:jc w:val="left"/>
              <w:rPr>
                <w:sz w:val="22"/>
              </w:rPr>
            </w:pPr>
            <w:r>
              <w:rPr>
                <w:color w:val="000000"/>
                <w:w w:val="105"/>
                <w:sz w:val="22"/>
                <w:shd w:fill="FFFF00" w:color="auto" w:val="clear"/>
              </w:rPr>
              <w:t>Lancet</w:t>
            </w:r>
            <w:r>
              <w:rPr>
                <w:color w:val="000000"/>
                <w:spacing w:val="-11"/>
                <w:w w:val="105"/>
                <w:sz w:val="22"/>
                <w:shd w:fill="FFFF00" w:color="auto" w:val="clear"/>
              </w:rPr>
              <w:t> </w:t>
            </w:r>
            <w:r>
              <w:rPr>
                <w:color w:val="000000"/>
                <w:w w:val="105"/>
                <w:sz w:val="22"/>
                <w:shd w:fill="FFFF00" w:color="auto" w:val="clear"/>
              </w:rPr>
              <w:t>(for</w:t>
            </w:r>
            <w:r>
              <w:rPr>
                <w:color w:val="000000"/>
                <w:spacing w:val="-10"/>
                <w:w w:val="105"/>
                <w:sz w:val="22"/>
                <w:shd w:fill="FFFF00" w:color="auto" w:val="clear"/>
              </w:rPr>
              <w:t> </w:t>
            </w:r>
            <w:r>
              <w:rPr>
                <w:color w:val="000000"/>
                <w:w w:val="105"/>
                <w:sz w:val="22"/>
                <w:shd w:fill="FFFF00" w:color="auto" w:val="clear"/>
              </w:rPr>
              <w:t>fingerstick</w:t>
            </w:r>
            <w:r>
              <w:rPr>
                <w:color w:val="000000"/>
                <w:spacing w:val="-10"/>
                <w:w w:val="105"/>
                <w:sz w:val="22"/>
                <w:shd w:fill="FFFF00" w:color="auto" w:val="clear"/>
              </w:rPr>
              <w:t> </w:t>
            </w:r>
            <w:r>
              <w:rPr>
                <w:color w:val="000000"/>
                <w:spacing w:val="-2"/>
                <w:w w:val="105"/>
                <w:sz w:val="22"/>
                <w:shd w:fill="FFFF00" w:color="auto" w:val="clear"/>
              </w:rPr>
              <w:t>only)</w:t>
            </w:r>
          </w:p>
        </w:tc>
        <w:tc>
          <w:tcPr>
            <w:tcW w:w="2335" w:type="dxa"/>
          </w:tcPr>
          <w:p>
            <w:pPr>
              <w:pStyle w:val="TableParagraph"/>
              <w:jc w:val="left"/>
              <w:rPr>
                <w:sz w:val="20"/>
              </w:rPr>
            </w:pPr>
          </w:p>
        </w:tc>
      </w:tr>
      <w:tr>
        <w:trPr>
          <w:trHeight w:val="214" w:hRule="atLeast"/>
        </w:trPr>
        <w:tc>
          <w:tcPr>
            <w:tcW w:w="2790" w:type="dxa"/>
          </w:tcPr>
          <w:p>
            <w:pPr>
              <w:pStyle w:val="TableParagraph"/>
              <w:spacing w:line="194" w:lineRule="exact"/>
              <w:ind w:left="132"/>
              <w:jc w:val="left"/>
              <w:rPr>
                <w:sz w:val="22"/>
              </w:rPr>
            </w:pPr>
            <w:r>
              <w:rPr>
                <w:color w:val="000000"/>
                <w:w w:val="105"/>
                <w:sz w:val="22"/>
                <w:shd w:fill="FFFF00" w:color="auto" w:val="clear"/>
              </w:rPr>
              <w:t>Instructions</w:t>
            </w:r>
            <w:r>
              <w:rPr>
                <w:color w:val="000000"/>
                <w:spacing w:val="-9"/>
                <w:w w:val="105"/>
                <w:sz w:val="22"/>
                <w:shd w:fill="FFFF00" w:color="auto" w:val="clear"/>
              </w:rPr>
              <w:t> </w:t>
            </w:r>
            <w:r>
              <w:rPr>
                <w:color w:val="000000"/>
                <w:w w:val="105"/>
                <w:sz w:val="22"/>
                <w:shd w:fill="FFFF00" w:color="auto" w:val="clear"/>
              </w:rPr>
              <w:t>for</w:t>
            </w:r>
            <w:r>
              <w:rPr>
                <w:color w:val="000000"/>
                <w:spacing w:val="-9"/>
                <w:w w:val="105"/>
                <w:sz w:val="22"/>
                <w:shd w:fill="FFFF00" w:color="auto" w:val="clear"/>
              </w:rPr>
              <w:t> </w:t>
            </w:r>
            <w:r>
              <w:rPr>
                <w:color w:val="000000"/>
                <w:w w:val="105"/>
                <w:sz w:val="22"/>
                <w:shd w:fill="FFFF00" w:color="auto" w:val="clear"/>
              </w:rPr>
              <w:t>Use</w:t>
            </w:r>
            <w:r>
              <w:rPr>
                <w:color w:val="000000"/>
                <w:spacing w:val="-8"/>
                <w:w w:val="105"/>
                <w:sz w:val="22"/>
                <w:shd w:fill="FFFF00" w:color="auto" w:val="clear"/>
              </w:rPr>
              <w:t> </w:t>
            </w:r>
            <w:r>
              <w:rPr>
                <w:color w:val="000000"/>
                <w:spacing w:val="-2"/>
                <w:w w:val="105"/>
                <w:sz w:val="22"/>
                <w:shd w:fill="FFFF00" w:color="auto" w:val="clear"/>
              </w:rPr>
              <w:t>leaflet</w:t>
            </w:r>
          </w:p>
        </w:tc>
        <w:tc>
          <w:tcPr>
            <w:tcW w:w="2335" w:type="dxa"/>
          </w:tcPr>
          <w:p>
            <w:pPr>
              <w:pStyle w:val="TableParagraph"/>
              <w:jc w:val="left"/>
              <w:rPr>
                <w:sz w:val="14"/>
              </w:rPr>
            </w:pPr>
          </w:p>
        </w:tc>
      </w:tr>
      <w:tr>
        <w:trPr>
          <w:trHeight w:val="260" w:hRule="atLeast"/>
        </w:trPr>
        <w:tc>
          <w:tcPr>
            <w:tcW w:w="2790" w:type="dxa"/>
          </w:tcPr>
          <w:p>
            <w:pPr>
              <w:pStyle w:val="TableParagraph"/>
              <w:spacing w:line="229" w:lineRule="exact"/>
              <w:ind w:left="119"/>
              <w:jc w:val="left"/>
              <w:rPr>
                <w:sz w:val="22"/>
              </w:rPr>
            </w:pPr>
            <w:r>
              <w:rPr>
                <w:color w:val="000000"/>
                <w:w w:val="105"/>
                <w:sz w:val="22"/>
                <w:shd w:fill="FFFF00" w:color="auto" w:val="clear"/>
              </w:rPr>
              <w:t>Packing</w:t>
            </w:r>
            <w:r>
              <w:rPr>
                <w:color w:val="000000"/>
                <w:spacing w:val="-11"/>
                <w:w w:val="105"/>
                <w:sz w:val="22"/>
                <w:shd w:fill="FFFF00" w:color="auto" w:val="clear"/>
              </w:rPr>
              <w:t> </w:t>
            </w:r>
            <w:r>
              <w:rPr>
                <w:color w:val="000000"/>
                <w:spacing w:val="-2"/>
                <w:w w:val="105"/>
                <w:sz w:val="22"/>
                <w:shd w:fill="FFFF00" w:color="auto" w:val="clear"/>
              </w:rPr>
              <w:t>materials</w:t>
            </w:r>
          </w:p>
        </w:tc>
        <w:tc>
          <w:tcPr>
            <w:tcW w:w="2335" w:type="dxa"/>
          </w:tcPr>
          <w:p>
            <w:pPr>
              <w:pStyle w:val="TableParagraph"/>
              <w:jc w:val="left"/>
              <w:rPr>
                <w:sz w:val="18"/>
              </w:rPr>
            </w:pPr>
          </w:p>
        </w:tc>
      </w:tr>
    </w:tbl>
    <w:p>
      <w:pPr>
        <w:pStyle w:val="Heading6"/>
        <w:numPr>
          <w:ilvl w:val="1"/>
          <w:numId w:val="13"/>
        </w:numPr>
        <w:tabs>
          <w:tab w:pos="879" w:val="left" w:leader="none"/>
        </w:tabs>
        <w:spacing w:line="240" w:lineRule="auto" w:before="41" w:after="0"/>
        <w:ind w:left="879" w:right="0" w:hanging="359"/>
        <w:jc w:val="left"/>
      </w:pPr>
      <w:r>
        <w:rPr>
          <w:u w:val="thick"/>
        </w:rPr>
        <w:t>Components</w:t>
      </w:r>
      <w:r>
        <w:rPr>
          <w:spacing w:val="-4"/>
          <w:u w:val="thick"/>
        </w:rPr>
        <w:t> </w:t>
      </w:r>
      <w:r>
        <w:rPr>
          <w:u w:val="thick"/>
        </w:rPr>
        <w:t>required</w:t>
      </w:r>
      <w:r>
        <w:rPr>
          <w:spacing w:val="-2"/>
          <w:u w:val="thick"/>
        </w:rPr>
        <w:t> </w:t>
      </w:r>
      <w:r>
        <w:rPr>
          <w:u w:val="thick"/>
        </w:rPr>
        <w:t>but</w:t>
      </w:r>
      <w:r>
        <w:rPr>
          <w:spacing w:val="-2"/>
          <w:u w:val="thick"/>
        </w:rPr>
        <w:t> </w:t>
      </w:r>
      <w:r>
        <w:rPr>
          <w:u w:val="thick"/>
        </w:rPr>
        <w:t>not</w:t>
      </w:r>
      <w:r>
        <w:rPr>
          <w:spacing w:val="-2"/>
          <w:u w:val="thick"/>
        </w:rPr>
        <w:t> </w:t>
      </w:r>
      <w:r>
        <w:rPr>
          <w:u w:val="thick"/>
        </w:rPr>
        <w:t>included</w:t>
      </w:r>
      <w:r>
        <w:rPr>
          <w:spacing w:val="-2"/>
          <w:u w:val="thick"/>
        </w:rPr>
        <w:t> </w:t>
      </w:r>
      <w:r>
        <w:rPr>
          <w:u w:val="thick"/>
        </w:rPr>
        <w:t>with</w:t>
      </w:r>
      <w:r>
        <w:rPr>
          <w:spacing w:val="-3"/>
          <w:u w:val="thick"/>
        </w:rPr>
        <w:t> </w:t>
      </w:r>
      <w:r>
        <w:rPr>
          <w:u w:val="thick"/>
        </w:rPr>
        <w:t>the</w:t>
      </w:r>
      <w:r>
        <w:rPr>
          <w:spacing w:val="-2"/>
          <w:u w:val="thick"/>
        </w:rPr>
        <w:t> test:</w:t>
      </w:r>
    </w:p>
    <w:p>
      <w:pPr>
        <w:pStyle w:val="BodyText"/>
        <w:ind w:left="880"/>
        <w:rPr>
          <w:rFonts w:ascii="TimesNewRomanPS-BoldItalicMT"/>
          <w:sz w:val="20"/>
        </w:rPr>
      </w:pPr>
      <w:r>
        <w:rPr>
          <w:rFonts w:ascii="TimesNewRomanPS-BoldItalicMT"/>
          <w:sz w:val="20"/>
        </w:rPr>
        <mc:AlternateContent>
          <mc:Choice Requires="wps">
            <w:drawing>
              <wp:inline distT="0" distB="0" distL="0" distR="0">
                <wp:extent cx="5436870" cy="875665"/>
                <wp:effectExtent l="0" t="0" r="0" b="0"/>
                <wp:docPr id="19" name="Textbox 19"/>
                <wp:cNvGraphicFramePr>
                  <a:graphicFrameLocks/>
                </wp:cNvGraphicFramePr>
                <a:graphic>
                  <a:graphicData uri="http://schemas.microsoft.com/office/word/2010/wordprocessingShape">
                    <wps:wsp>
                      <wps:cNvPr id="19" name="Textbox 19"/>
                      <wps:cNvSpPr txBox="1"/>
                      <wps:spPr>
                        <a:xfrm>
                          <a:off x="0" y="0"/>
                          <a:ext cx="5436870" cy="875665"/>
                        </a:xfrm>
                        <a:prstGeom prst="rect">
                          <a:avLst/>
                        </a:prstGeom>
                        <a:solidFill>
                          <a:srgbClr val="FFFF00"/>
                        </a:solidFill>
                      </wps:spPr>
                      <wps:txbx>
                        <w:txbxContent>
                          <w:p>
                            <w:pPr>
                              <w:spacing w:before="0"/>
                              <w:ind w:left="0" w:right="-12" w:firstLine="0"/>
                              <w:jc w:val="left"/>
                              <w:rPr>
                                <w:rFonts w:ascii="TimesNewRomanPS-BoldItalicMT"/>
                                <w:b/>
                                <w:i/>
                                <w:color w:val="000000"/>
                                <w:sz w:val="24"/>
                              </w:rPr>
                            </w:pPr>
                            <w:r>
                              <w:rPr>
                                <w:rFonts w:ascii="TimesNewRomanPS-BoldItalicMT"/>
                                <w:b/>
                                <w:i/>
                                <w:color w:val="000000"/>
                                <w:sz w:val="24"/>
                              </w:rPr>
                              <w:t>[List all components (e.g., timer, analyzer/reader) and reagents not included with the test that must be supplied by the user to perform the test, with specific supplier names and</w:t>
                            </w:r>
                            <w:r>
                              <w:rPr>
                                <w:rFonts w:ascii="TimesNewRomanPS-BoldItalicMT"/>
                                <w:b/>
                                <w:i/>
                                <w:color w:val="000000"/>
                                <w:spacing w:val="-2"/>
                                <w:sz w:val="24"/>
                              </w:rPr>
                              <w:t> </w:t>
                            </w:r>
                            <w:r>
                              <w:rPr>
                                <w:rFonts w:ascii="TimesNewRomanPS-BoldItalicMT"/>
                                <w:b/>
                                <w:i/>
                                <w:color w:val="000000"/>
                                <w:sz w:val="24"/>
                              </w:rPr>
                              <w:t>catalog</w:t>
                            </w:r>
                            <w:r>
                              <w:rPr>
                                <w:rFonts w:ascii="TimesNewRomanPS-BoldItalicMT"/>
                                <w:b/>
                                <w:i/>
                                <w:color w:val="000000"/>
                                <w:spacing w:val="-4"/>
                                <w:sz w:val="24"/>
                              </w:rPr>
                              <w:t> </w:t>
                            </w:r>
                            <w:r>
                              <w:rPr>
                                <w:rFonts w:ascii="TimesNewRomanPS-BoldItalicMT"/>
                                <w:b/>
                                <w:i/>
                                <w:color w:val="000000"/>
                                <w:sz w:val="24"/>
                              </w:rPr>
                              <w:t>numbers</w:t>
                            </w:r>
                            <w:r>
                              <w:rPr>
                                <w:rFonts w:ascii="TimesNewRomanPS-BoldItalicMT"/>
                                <w:b/>
                                <w:i/>
                                <w:color w:val="000000"/>
                                <w:spacing w:val="-2"/>
                                <w:sz w:val="24"/>
                              </w:rPr>
                              <w:t> </w:t>
                            </w:r>
                            <w:r>
                              <w:rPr>
                                <w:rFonts w:ascii="TimesNewRomanPS-BoldItalicMT"/>
                                <w:b/>
                                <w:i/>
                                <w:color w:val="000000"/>
                                <w:sz w:val="24"/>
                              </w:rPr>
                              <w:t>or</w:t>
                            </w:r>
                            <w:r>
                              <w:rPr>
                                <w:rFonts w:ascii="TimesNewRomanPS-BoldItalicMT"/>
                                <w:b/>
                                <w:i/>
                                <w:color w:val="000000"/>
                                <w:spacing w:val="-3"/>
                                <w:sz w:val="24"/>
                              </w:rPr>
                              <w:t> </w:t>
                            </w:r>
                            <w:r>
                              <w:rPr>
                                <w:rFonts w:ascii="TimesNewRomanPS-BoldItalicMT"/>
                                <w:b/>
                                <w:i/>
                                <w:color w:val="000000"/>
                                <w:sz w:val="24"/>
                              </w:rPr>
                              <w:t>other</w:t>
                            </w:r>
                            <w:r>
                              <w:rPr>
                                <w:rFonts w:ascii="TimesNewRomanPS-BoldItalicMT"/>
                                <w:b/>
                                <w:i/>
                                <w:color w:val="000000"/>
                                <w:spacing w:val="-2"/>
                                <w:sz w:val="24"/>
                              </w:rPr>
                              <w:t> </w:t>
                            </w:r>
                            <w:r>
                              <w:rPr>
                                <w:rFonts w:ascii="TimesNewRomanPS-BoldItalicMT"/>
                                <w:b/>
                                <w:i/>
                                <w:color w:val="000000"/>
                                <w:sz w:val="24"/>
                              </w:rPr>
                              <w:t>identifiers</w:t>
                            </w:r>
                            <w:r>
                              <w:rPr>
                                <w:rFonts w:ascii="TimesNewRomanPS-BoldItalicMT"/>
                                <w:b/>
                                <w:i/>
                                <w:color w:val="000000"/>
                                <w:spacing w:val="-2"/>
                                <w:sz w:val="24"/>
                              </w:rPr>
                              <w:t> </w:t>
                            </w:r>
                            <w:r>
                              <w:rPr>
                                <w:rFonts w:ascii="TimesNewRomanPS-BoldItalicMT"/>
                                <w:b/>
                                <w:i/>
                                <w:color w:val="000000"/>
                                <w:sz w:val="24"/>
                              </w:rPr>
                              <w:t>for</w:t>
                            </w:r>
                            <w:r>
                              <w:rPr>
                                <w:rFonts w:ascii="TimesNewRomanPS-BoldItalicMT"/>
                                <w:b/>
                                <w:i/>
                                <w:color w:val="000000"/>
                                <w:spacing w:val="-2"/>
                                <w:sz w:val="24"/>
                              </w:rPr>
                              <w:t> </w:t>
                            </w:r>
                            <w:r>
                              <w:rPr>
                                <w:rFonts w:ascii="TimesNewRomanPS-BoldItalicMT"/>
                                <w:b/>
                                <w:i/>
                                <w:color w:val="000000"/>
                                <w:sz w:val="24"/>
                              </w:rPr>
                              <w:t>obtaining</w:t>
                            </w:r>
                            <w:r>
                              <w:rPr>
                                <w:rFonts w:ascii="TimesNewRomanPS-BoldItalicMT"/>
                                <w:b/>
                                <w:i/>
                                <w:color w:val="000000"/>
                                <w:spacing w:val="-2"/>
                                <w:sz w:val="24"/>
                              </w:rPr>
                              <w:t> </w:t>
                            </w:r>
                            <w:r>
                              <w:rPr>
                                <w:rFonts w:ascii="TimesNewRomanPS-BoldItalicMT"/>
                                <w:b/>
                                <w:i/>
                                <w:color w:val="000000"/>
                                <w:sz w:val="24"/>
                              </w:rPr>
                              <w:t>these</w:t>
                            </w:r>
                            <w:r>
                              <w:rPr>
                                <w:rFonts w:ascii="TimesNewRomanPS-BoldItalicMT"/>
                                <w:b/>
                                <w:i/>
                                <w:color w:val="000000"/>
                                <w:spacing w:val="-3"/>
                                <w:sz w:val="24"/>
                              </w:rPr>
                              <w:t> </w:t>
                            </w:r>
                            <w:r>
                              <w:rPr>
                                <w:rFonts w:ascii="TimesNewRomanPS-BoldItalicMT"/>
                                <w:b/>
                                <w:i/>
                                <w:color w:val="000000"/>
                                <w:sz w:val="24"/>
                              </w:rPr>
                              <w:t>components</w:t>
                            </w:r>
                            <w:r>
                              <w:rPr>
                                <w:rFonts w:ascii="TimesNewRomanPS-BoldItalicMT"/>
                                <w:b/>
                                <w:i/>
                                <w:color w:val="000000"/>
                                <w:spacing w:val="-3"/>
                                <w:sz w:val="24"/>
                              </w:rPr>
                              <w:t> </w:t>
                            </w:r>
                            <w:r>
                              <w:rPr>
                                <w:rFonts w:ascii="TimesNewRomanPS-BoldItalicMT"/>
                                <w:b/>
                                <w:i/>
                                <w:color w:val="000000"/>
                                <w:sz w:val="24"/>
                              </w:rPr>
                              <w:t>and</w:t>
                            </w:r>
                            <w:r>
                              <w:rPr>
                                <w:rFonts w:ascii="TimesNewRomanPS-BoldItalicMT"/>
                                <w:b/>
                                <w:i/>
                                <w:color w:val="000000"/>
                                <w:spacing w:val="-2"/>
                                <w:sz w:val="24"/>
                              </w:rPr>
                              <w:t> </w:t>
                            </w:r>
                            <w:r>
                              <w:rPr>
                                <w:rFonts w:ascii="TimesNewRomanPS-BoldItalicMT"/>
                                <w:b/>
                                <w:i/>
                                <w:color w:val="000000"/>
                                <w:sz w:val="24"/>
                              </w:rPr>
                              <w:t>reagents. Please include here all specific consumables that were validated for use with your device, that are not interchangeable with other products and that are needed to</w:t>
                            </w:r>
                          </w:p>
                        </w:txbxContent>
                      </wps:txbx>
                      <wps:bodyPr wrap="square" lIns="0" tIns="0" rIns="0" bIns="0" rtlCol="0">
                        <a:noAutofit/>
                      </wps:bodyPr>
                    </wps:wsp>
                  </a:graphicData>
                </a:graphic>
              </wp:inline>
            </w:drawing>
          </mc:Choice>
          <mc:Fallback>
            <w:pict>
              <v:shape style="width:428.1pt;height:68.95pt;mso-position-horizontal-relative:char;mso-position-vertical-relative:line" type="#_x0000_t202" id="docshape19" filled="true" fillcolor="#ffff00" stroked="false">
                <w10:anchorlock/>
                <v:textbox inset="0,0,0,0">
                  <w:txbxContent>
                    <w:p>
                      <w:pPr>
                        <w:spacing w:before="0"/>
                        <w:ind w:left="0" w:right="-12" w:firstLine="0"/>
                        <w:jc w:val="left"/>
                        <w:rPr>
                          <w:rFonts w:ascii="TimesNewRomanPS-BoldItalicMT"/>
                          <w:b/>
                          <w:i/>
                          <w:color w:val="000000"/>
                          <w:sz w:val="24"/>
                        </w:rPr>
                      </w:pPr>
                      <w:r>
                        <w:rPr>
                          <w:rFonts w:ascii="TimesNewRomanPS-BoldItalicMT"/>
                          <w:b/>
                          <w:i/>
                          <w:color w:val="000000"/>
                          <w:sz w:val="24"/>
                        </w:rPr>
                        <w:t>[List all components (e.g., timer, analyzer/reader) and reagents not included with the test that must be supplied by the user to perform the test, with specific supplier names and</w:t>
                      </w:r>
                      <w:r>
                        <w:rPr>
                          <w:rFonts w:ascii="TimesNewRomanPS-BoldItalicMT"/>
                          <w:b/>
                          <w:i/>
                          <w:color w:val="000000"/>
                          <w:spacing w:val="-2"/>
                          <w:sz w:val="24"/>
                        </w:rPr>
                        <w:t> </w:t>
                      </w:r>
                      <w:r>
                        <w:rPr>
                          <w:rFonts w:ascii="TimesNewRomanPS-BoldItalicMT"/>
                          <w:b/>
                          <w:i/>
                          <w:color w:val="000000"/>
                          <w:sz w:val="24"/>
                        </w:rPr>
                        <w:t>catalog</w:t>
                      </w:r>
                      <w:r>
                        <w:rPr>
                          <w:rFonts w:ascii="TimesNewRomanPS-BoldItalicMT"/>
                          <w:b/>
                          <w:i/>
                          <w:color w:val="000000"/>
                          <w:spacing w:val="-4"/>
                          <w:sz w:val="24"/>
                        </w:rPr>
                        <w:t> </w:t>
                      </w:r>
                      <w:r>
                        <w:rPr>
                          <w:rFonts w:ascii="TimesNewRomanPS-BoldItalicMT"/>
                          <w:b/>
                          <w:i/>
                          <w:color w:val="000000"/>
                          <w:sz w:val="24"/>
                        </w:rPr>
                        <w:t>numbers</w:t>
                      </w:r>
                      <w:r>
                        <w:rPr>
                          <w:rFonts w:ascii="TimesNewRomanPS-BoldItalicMT"/>
                          <w:b/>
                          <w:i/>
                          <w:color w:val="000000"/>
                          <w:spacing w:val="-2"/>
                          <w:sz w:val="24"/>
                        </w:rPr>
                        <w:t> </w:t>
                      </w:r>
                      <w:r>
                        <w:rPr>
                          <w:rFonts w:ascii="TimesNewRomanPS-BoldItalicMT"/>
                          <w:b/>
                          <w:i/>
                          <w:color w:val="000000"/>
                          <w:sz w:val="24"/>
                        </w:rPr>
                        <w:t>or</w:t>
                      </w:r>
                      <w:r>
                        <w:rPr>
                          <w:rFonts w:ascii="TimesNewRomanPS-BoldItalicMT"/>
                          <w:b/>
                          <w:i/>
                          <w:color w:val="000000"/>
                          <w:spacing w:val="-3"/>
                          <w:sz w:val="24"/>
                        </w:rPr>
                        <w:t> </w:t>
                      </w:r>
                      <w:r>
                        <w:rPr>
                          <w:rFonts w:ascii="TimesNewRomanPS-BoldItalicMT"/>
                          <w:b/>
                          <w:i/>
                          <w:color w:val="000000"/>
                          <w:sz w:val="24"/>
                        </w:rPr>
                        <w:t>other</w:t>
                      </w:r>
                      <w:r>
                        <w:rPr>
                          <w:rFonts w:ascii="TimesNewRomanPS-BoldItalicMT"/>
                          <w:b/>
                          <w:i/>
                          <w:color w:val="000000"/>
                          <w:spacing w:val="-2"/>
                          <w:sz w:val="24"/>
                        </w:rPr>
                        <w:t> </w:t>
                      </w:r>
                      <w:r>
                        <w:rPr>
                          <w:rFonts w:ascii="TimesNewRomanPS-BoldItalicMT"/>
                          <w:b/>
                          <w:i/>
                          <w:color w:val="000000"/>
                          <w:sz w:val="24"/>
                        </w:rPr>
                        <w:t>identifiers</w:t>
                      </w:r>
                      <w:r>
                        <w:rPr>
                          <w:rFonts w:ascii="TimesNewRomanPS-BoldItalicMT"/>
                          <w:b/>
                          <w:i/>
                          <w:color w:val="000000"/>
                          <w:spacing w:val="-2"/>
                          <w:sz w:val="24"/>
                        </w:rPr>
                        <w:t> </w:t>
                      </w:r>
                      <w:r>
                        <w:rPr>
                          <w:rFonts w:ascii="TimesNewRomanPS-BoldItalicMT"/>
                          <w:b/>
                          <w:i/>
                          <w:color w:val="000000"/>
                          <w:sz w:val="24"/>
                        </w:rPr>
                        <w:t>for</w:t>
                      </w:r>
                      <w:r>
                        <w:rPr>
                          <w:rFonts w:ascii="TimesNewRomanPS-BoldItalicMT"/>
                          <w:b/>
                          <w:i/>
                          <w:color w:val="000000"/>
                          <w:spacing w:val="-2"/>
                          <w:sz w:val="24"/>
                        </w:rPr>
                        <w:t> </w:t>
                      </w:r>
                      <w:r>
                        <w:rPr>
                          <w:rFonts w:ascii="TimesNewRomanPS-BoldItalicMT"/>
                          <w:b/>
                          <w:i/>
                          <w:color w:val="000000"/>
                          <w:sz w:val="24"/>
                        </w:rPr>
                        <w:t>obtaining</w:t>
                      </w:r>
                      <w:r>
                        <w:rPr>
                          <w:rFonts w:ascii="TimesNewRomanPS-BoldItalicMT"/>
                          <w:b/>
                          <w:i/>
                          <w:color w:val="000000"/>
                          <w:spacing w:val="-2"/>
                          <w:sz w:val="24"/>
                        </w:rPr>
                        <w:t> </w:t>
                      </w:r>
                      <w:r>
                        <w:rPr>
                          <w:rFonts w:ascii="TimesNewRomanPS-BoldItalicMT"/>
                          <w:b/>
                          <w:i/>
                          <w:color w:val="000000"/>
                          <w:sz w:val="24"/>
                        </w:rPr>
                        <w:t>these</w:t>
                      </w:r>
                      <w:r>
                        <w:rPr>
                          <w:rFonts w:ascii="TimesNewRomanPS-BoldItalicMT"/>
                          <w:b/>
                          <w:i/>
                          <w:color w:val="000000"/>
                          <w:spacing w:val="-3"/>
                          <w:sz w:val="24"/>
                        </w:rPr>
                        <w:t> </w:t>
                      </w:r>
                      <w:r>
                        <w:rPr>
                          <w:rFonts w:ascii="TimesNewRomanPS-BoldItalicMT"/>
                          <w:b/>
                          <w:i/>
                          <w:color w:val="000000"/>
                          <w:sz w:val="24"/>
                        </w:rPr>
                        <w:t>components</w:t>
                      </w:r>
                      <w:r>
                        <w:rPr>
                          <w:rFonts w:ascii="TimesNewRomanPS-BoldItalicMT"/>
                          <w:b/>
                          <w:i/>
                          <w:color w:val="000000"/>
                          <w:spacing w:val="-3"/>
                          <w:sz w:val="24"/>
                        </w:rPr>
                        <w:t> </w:t>
                      </w:r>
                      <w:r>
                        <w:rPr>
                          <w:rFonts w:ascii="TimesNewRomanPS-BoldItalicMT"/>
                          <w:b/>
                          <w:i/>
                          <w:color w:val="000000"/>
                          <w:sz w:val="24"/>
                        </w:rPr>
                        <w:t>and</w:t>
                      </w:r>
                      <w:r>
                        <w:rPr>
                          <w:rFonts w:ascii="TimesNewRomanPS-BoldItalicMT"/>
                          <w:b/>
                          <w:i/>
                          <w:color w:val="000000"/>
                          <w:spacing w:val="-2"/>
                          <w:sz w:val="24"/>
                        </w:rPr>
                        <w:t> </w:t>
                      </w:r>
                      <w:r>
                        <w:rPr>
                          <w:rFonts w:ascii="TimesNewRomanPS-BoldItalicMT"/>
                          <w:b/>
                          <w:i/>
                          <w:color w:val="000000"/>
                          <w:sz w:val="24"/>
                        </w:rPr>
                        <w:t>reagents. Please include here all specific consumables that were validated for use with your device, that are not interchangeable with other products and that are needed to</w:t>
                      </w:r>
                    </w:p>
                  </w:txbxContent>
                </v:textbox>
                <v:fill type="solid"/>
              </v:shape>
            </w:pict>
          </mc:Fallback>
        </mc:AlternateContent>
      </w:r>
      <w:r>
        <w:rPr>
          <w:rFonts w:ascii="TimesNewRomanPS-BoldItalicMT"/>
          <w:sz w:val="20"/>
        </w:rPr>
      </w:r>
    </w:p>
    <w:p>
      <w:pPr>
        <w:spacing w:after="0"/>
        <w:rPr>
          <w:rFonts w:ascii="TimesNewRomanPS-BoldItalicMT"/>
          <w:sz w:val="20"/>
        </w:rPr>
        <w:sectPr>
          <w:pgSz w:w="12240" w:h="15840"/>
          <w:pgMar w:header="731" w:footer="785" w:top="1360" w:bottom="980" w:left="1280" w:right="1200"/>
        </w:sectPr>
      </w:pPr>
    </w:p>
    <w:p>
      <w:pPr>
        <w:pStyle w:val="Heading6"/>
        <w:spacing w:before="80"/>
        <w:ind w:right="278"/>
      </w:pPr>
      <w:r>
        <w:rPr>
          <w:color w:val="000000"/>
          <w:shd w:fill="FFFF00" w:color="auto" w:val="clear"/>
        </w:rPr>
        <w:t>guarantee</w:t>
      </w:r>
      <w:r>
        <w:rPr>
          <w:color w:val="000000"/>
          <w:spacing w:val="-3"/>
          <w:shd w:fill="FFFF00" w:color="auto" w:val="clear"/>
        </w:rPr>
        <w:t> </w:t>
      </w:r>
      <w:r>
        <w:rPr>
          <w:color w:val="000000"/>
          <w:shd w:fill="FFFF00" w:color="auto" w:val="clear"/>
        </w:rPr>
        <w:t>device</w:t>
      </w:r>
      <w:r>
        <w:rPr>
          <w:color w:val="000000"/>
          <w:spacing w:val="-3"/>
          <w:shd w:fill="FFFF00" w:color="auto" w:val="clear"/>
        </w:rPr>
        <w:t> </w:t>
      </w:r>
      <w:r>
        <w:rPr>
          <w:color w:val="000000"/>
          <w:shd w:fill="FFFF00" w:color="auto" w:val="clear"/>
        </w:rPr>
        <w:t>performance</w:t>
      </w:r>
      <w:r>
        <w:rPr>
          <w:color w:val="000000"/>
          <w:spacing w:val="-3"/>
          <w:shd w:fill="FFFF00" w:color="auto" w:val="clear"/>
        </w:rPr>
        <w:t> </w:t>
      </w:r>
      <w:r>
        <w:rPr>
          <w:color w:val="000000"/>
          <w:shd w:fill="FFFF00" w:color="auto" w:val="clear"/>
        </w:rPr>
        <w:t>as</w:t>
      </w:r>
      <w:r>
        <w:rPr>
          <w:color w:val="000000"/>
          <w:spacing w:val="-3"/>
          <w:shd w:fill="FFFF00" w:color="auto" w:val="clear"/>
        </w:rPr>
        <w:t> </w:t>
      </w:r>
      <w:r>
        <w:rPr>
          <w:color w:val="000000"/>
          <w:shd w:fill="FFFF00" w:color="auto" w:val="clear"/>
        </w:rPr>
        <w:t>established</w:t>
      </w:r>
      <w:r>
        <w:rPr>
          <w:color w:val="000000"/>
          <w:spacing w:val="-5"/>
          <w:shd w:fill="FFFF00" w:color="auto" w:val="clear"/>
        </w:rPr>
        <w:t> </w:t>
      </w:r>
      <w:r>
        <w:rPr>
          <w:color w:val="000000"/>
          <w:shd w:fill="FFFF00" w:color="auto" w:val="clear"/>
        </w:rPr>
        <w:t>in</w:t>
      </w:r>
      <w:r>
        <w:rPr>
          <w:color w:val="000000"/>
          <w:spacing w:val="-5"/>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EUA</w:t>
      </w:r>
      <w:r>
        <w:rPr>
          <w:color w:val="000000"/>
          <w:spacing w:val="-4"/>
          <w:shd w:fill="FFFF00" w:color="auto" w:val="clear"/>
        </w:rPr>
        <w:t> </w:t>
      </w:r>
      <w:r>
        <w:rPr>
          <w:color w:val="000000"/>
          <w:shd w:fill="FFFF00" w:color="auto" w:val="clear"/>
        </w:rPr>
        <w:t>validation</w:t>
      </w:r>
      <w:r>
        <w:rPr>
          <w:color w:val="000000"/>
          <w:spacing w:val="-4"/>
          <w:shd w:fill="FFFF00" w:color="auto" w:val="clear"/>
        </w:rPr>
        <w:t> </w:t>
      </w:r>
      <w:r>
        <w:rPr>
          <w:color w:val="000000"/>
          <w:shd w:fill="FFFF00" w:color="auto" w:val="clear"/>
        </w:rPr>
        <w:t>studies</w:t>
      </w:r>
      <w:r>
        <w:rPr>
          <w:color w:val="000000"/>
          <w:spacing w:val="-3"/>
          <w:shd w:fill="FFFF00" w:color="auto" w:val="clear"/>
        </w:rPr>
        <w:t> </w:t>
      </w:r>
      <w:r>
        <w:rPr>
          <w:color w:val="000000"/>
          <w:shd w:fill="FFFF00" w:color="auto" w:val="clear"/>
        </w:rPr>
        <w:t>listed</w:t>
      </w:r>
      <w:r>
        <w:rPr>
          <w:color w:val="000000"/>
          <w:spacing w:val="-5"/>
          <w:shd w:fill="FFFF00" w:color="auto" w:val="clear"/>
        </w:rPr>
        <w:t> </w:t>
      </w:r>
      <w:r>
        <w:rPr>
          <w:color w:val="000000"/>
          <w:shd w:fill="FFFF00" w:color="auto" w:val="clear"/>
        </w:rPr>
        <w:t>in</w:t>
      </w:r>
      <w:r>
        <w:rPr>
          <w:color w:val="000000"/>
        </w:rPr>
        <w:t> </w:t>
      </w:r>
      <w:r>
        <w:rPr>
          <w:color w:val="000000"/>
          <w:shd w:fill="FFFF00" w:color="auto" w:val="clear"/>
        </w:rPr>
        <w:t>section J below].</w:t>
      </w:r>
    </w:p>
    <w:p>
      <w:pPr>
        <w:pStyle w:val="BodyText"/>
        <w:rPr>
          <w:rFonts w:ascii="TimesNewRomanPS-BoldItalicMT"/>
          <w:b/>
          <w:i/>
          <w:sz w:val="16"/>
        </w:rPr>
      </w:pPr>
    </w:p>
    <w:p>
      <w:pPr>
        <w:pStyle w:val="Heading6"/>
        <w:numPr>
          <w:ilvl w:val="1"/>
          <w:numId w:val="13"/>
        </w:numPr>
        <w:tabs>
          <w:tab w:pos="880" w:val="left" w:leader="none"/>
        </w:tabs>
        <w:spacing w:line="240" w:lineRule="auto" w:before="90" w:after="0"/>
        <w:ind w:left="880" w:right="430" w:hanging="360"/>
        <w:jc w:val="left"/>
      </w:pPr>
      <w:r>
        <w:rPr>
          <w:rFonts w:ascii="Times New Roman"/>
          <w:b w:val="0"/>
          <w:i w:val="0"/>
        </w:rPr>
        <w:t>The </w:t>
      </w:r>
      <w:r>
        <w:rPr>
          <w:color w:val="000000"/>
          <w:shd w:fill="FFFF00" w:color="auto" w:val="clear"/>
        </w:rPr>
        <w:t>[test name]</w:t>
      </w:r>
      <w:r>
        <w:rPr>
          <w:color w:val="000000"/>
        </w:rPr>
        <w:t> </w:t>
      </w:r>
      <w:r>
        <w:rPr>
          <w:rFonts w:ascii="Times New Roman"/>
          <w:b w:val="0"/>
          <w:i w:val="0"/>
          <w:color w:val="000000"/>
        </w:rPr>
        <w:t>has been validated using only the components referenced above.</w:t>
      </w:r>
      <w:r>
        <w:rPr>
          <w:rFonts w:ascii="Times New Roman"/>
          <w:b w:val="0"/>
          <w:i w:val="0"/>
          <w:color w:val="000000"/>
          <w:spacing w:val="40"/>
        </w:rPr>
        <w:t> </w:t>
      </w:r>
      <w:r>
        <w:rPr>
          <w:rFonts w:ascii="Times New Roman"/>
          <w:b w:val="0"/>
          <w:i w:val="0"/>
          <w:color w:val="000000"/>
        </w:rPr>
        <w:t>The </w:t>
      </w:r>
      <w:r>
        <w:rPr>
          <w:color w:val="000000"/>
          <w:shd w:fill="FFFF00" w:color="auto" w:val="clear"/>
        </w:rPr>
        <w:t>[test name]</w:t>
      </w:r>
      <w:r>
        <w:rPr>
          <w:color w:val="000000"/>
        </w:rPr>
        <w:t> </w:t>
      </w:r>
      <w:r>
        <w:rPr>
          <w:rFonts w:ascii="Times New Roman"/>
          <w:b w:val="0"/>
          <w:i w:val="0"/>
          <w:color w:val="000000"/>
        </w:rPr>
        <w:t>was developed using </w:t>
      </w:r>
      <w:r>
        <w:rPr>
          <w:color w:val="000000"/>
          <w:shd w:fill="FFFF00" w:color="auto" w:val="clear"/>
        </w:rPr>
        <w:t>[briefly describe the capture antigens and antibodies</w:t>
      </w:r>
      <w:r>
        <w:rPr>
          <w:color w:val="000000"/>
        </w:rPr>
        <w:t> </w:t>
      </w:r>
      <w:r>
        <w:rPr>
          <w:color w:val="000000"/>
          <w:shd w:fill="FFFF00" w:color="auto" w:val="clear"/>
        </w:rPr>
        <w:t>used</w:t>
      </w:r>
      <w:r>
        <w:rPr>
          <w:color w:val="000000"/>
          <w:spacing w:val="-3"/>
          <w:shd w:fill="FFFF00" w:color="auto" w:val="clear"/>
        </w:rPr>
        <w:t> </w:t>
      </w:r>
      <w:r>
        <w:rPr>
          <w:color w:val="000000"/>
          <w:shd w:fill="FFFF00" w:color="auto" w:val="clear"/>
        </w:rPr>
        <w:t>in</w:t>
      </w:r>
      <w:r>
        <w:rPr>
          <w:color w:val="000000"/>
          <w:spacing w:val="-4"/>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test,</w:t>
      </w:r>
      <w:r>
        <w:rPr>
          <w:color w:val="000000"/>
          <w:spacing w:val="-3"/>
          <w:shd w:fill="FFFF00" w:color="auto" w:val="clear"/>
        </w:rPr>
        <w:t> </w:t>
      </w:r>
      <w:r>
        <w:rPr>
          <w:color w:val="000000"/>
          <w:shd w:fill="FFFF00" w:color="auto" w:val="clear"/>
        </w:rPr>
        <w:t>how</w:t>
      </w:r>
      <w:r>
        <w:rPr>
          <w:color w:val="000000"/>
          <w:spacing w:val="-4"/>
          <w:shd w:fill="FFFF00" w:color="auto" w:val="clear"/>
        </w:rPr>
        <w:t> </w:t>
      </w:r>
      <w:r>
        <w:rPr>
          <w:color w:val="000000"/>
          <w:shd w:fill="FFFF00" w:color="auto" w:val="clear"/>
        </w:rPr>
        <w:t>they</w:t>
      </w:r>
      <w:r>
        <w:rPr>
          <w:color w:val="000000"/>
          <w:spacing w:val="-3"/>
          <w:shd w:fill="FFFF00" w:color="auto" w:val="clear"/>
        </w:rPr>
        <w:t> </w:t>
      </w:r>
      <w:r>
        <w:rPr>
          <w:color w:val="000000"/>
          <w:shd w:fill="FFFF00" w:color="auto" w:val="clear"/>
        </w:rPr>
        <w:t>were</w:t>
      </w:r>
      <w:r>
        <w:rPr>
          <w:color w:val="000000"/>
          <w:spacing w:val="-3"/>
          <w:shd w:fill="FFFF00" w:color="auto" w:val="clear"/>
        </w:rPr>
        <w:t> </w:t>
      </w:r>
      <w:r>
        <w:rPr>
          <w:color w:val="000000"/>
          <w:shd w:fill="FFFF00" w:color="auto" w:val="clear"/>
        </w:rPr>
        <w:t>designed</w:t>
      </w:r>
      <w:r>
        <w:rPr>
          <w:color w:val="000000"/>
          <w:spacing w:val="-3"/>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purified</w:t>
      </w:r>
      <w:r>
        <w:rPr>
          <w:color w:val="000000"/>
          <w:spacing w:val="-5"/>
          <w:shd w:fill="FFFF00" w:color="auto" w:val="clear"/>
        </w:rPr>
        <w:t> </w:t>
      </w:r>
      <w:r>
        <w:rPr>
          <w:color w:val="000000"/>
          <w:shd w:fill="FFFF00" w:color="auto" w:val="clear"/>
        </w:rPr>
        <w:t>(e.g.,</w:t>
      </w:r>
      <w:r>
        <w:rPr>
          <w:color w:val="000000"/>
          <w:spacing w:val="-3"/>
          <w:shd w:fill="FFFF00" w:color="auto" w:val="clear"/>
        </w:rPr>
        <w:t> </w:t>
      </w:r>
      <w:r>
        <w:rPr>
          <w:color w:val="000000"/>
          <w:shd w:fill="FFFF00" w:color="auto" w:val="clear"/>
        </w:rPr>
        <w:t>are</w:t>
      </w:r>
      <w:r>
        <w:rPr>
          <w:color w:val="000000"/>
          <w:spacing w:val="-3"/>
          <w:shd w:fill="FFFF00" w:color="auto" w:val="clear"/>
        </w:rPr>
        <w:t> </w:t>
      </w:r>
      <w:r>
        <w:rPr>
          <w:color w:val="000000"/>
          <w:shd w:fill="FFFF00" w:color="auto" w:val="clear"/>
        </w:rPr>
        <w:t>monoclonal</w:t>
      </w:r>
      <w:r>
        <w:rPr>
          <w:color w:val="000000"/>
          <w:spacing w:val="-3"/>
          <w:shd w:fill="FFFF00" w:color="auto" w:val="clear"/>
        </w:rPr>
        <w:t> </w:t>
      </w:r>
      <w:r>
        <w:rPr>
          <w:color w:val="000000"/>
          <w:shd w:fill="FFFF00" w:color="auto" w:val="clear"/>
        </w:rPr>
        <w:t>antibodies</w:t>
      </w:r>
      <w:r>
        <w:rPr>
          <w:color w:val="000000"/>
        </w:rPr>
        <w:t> </w:t>
      </w:r>
      <w:r>
        <w:rPr>
          <w:color w:val="000000"/>
          <w:shd w:fill="FFFF00" w:color="auto" w:val="clear"/>
        </w:rPr>
        <w:t>used, are they manufactured in house or purchased commercially, what species they</w:t>
      </w:r>
      <w:r>
        <w:rPr>
          <w:color w:val="000000"/>
        </w:rPr>
        <w:t> </w:t>
      </w:r>
      <w:r>
        <w:rPr>
          <w:color w:val="000000"/>
          <w:shd w:fill="FFFF00" w:color="auto" w:val="clear"/>
        </w:rPr>
        <w:t>derive from, what epitope is targeted by the antibodies used in the assay, and if</w:t>
      </w:r>
      <w:r>
        <w:rPr>
          <w:color w:val="000000"/>
        </w:rPr>
        <w:t> </w:t>
      </w:r>
      <w:r>
        <w:rPr>
          <w:color w:val="000000"/>
          <w:shd w:fill="FFFF00" w:color="auto" w:val="clear"/>
        </w:rPr>
        <w:t>commercial products is there a certificate of analysis, etc.).</w:t>
      </w:r>
    </w:p>
    <w:p>
      <w:pPr>
        <w:pStyle w:val="BodyText"/>
        <w:spacing w:before="1"/>
        <w:rPr>
          <w:rFonts w:ascii="TimesNewRomanPS-BoldItalicMT"/>
          <w:b/>
          <w:i/>
          <w:sz w:val="16"/>
        </w:rPr>
      </w:pPr>
    </w:p>
    <w:p>
      <w:pPr>
        <w:pStyle w:val="Heading6"/>
        <w:numPr>
          <w:ilvl w:val="1"/>
          <w:numId w:val="13"/>
        </w:numPr>
        <w:tabs>
          <w:tab w:pos="880" w:val="left" w:leader="none"/>
        </w:tabs>
        <w:spacing w:line="240" w:lineRule="auto" w:before="90" w:after="0"/>
        <w:ind w:left="880" w:right="350" w:hanging="360"/>
        <w:jc w:val="left"/>
      </w:pPr>
      <w:r>
        <w:rPr>
          <w:u w:val="thick"/>
        </w:rPr>
        <w:t>Testing Capabilities:</w:t>
      </w:r>
      <w:r>
        <w:rPr>
          <w:spacing w:val="40"/>
        </w:rPr>
        <w:t> </w:t>
      </w:r>
      <w:r>
        <w:rPr>
          <w:color w:val="000000"/>
          <w:shd w:fill="FFFF00" w:color="auto" w:val="clear"/>
        </w:rPr>
        <w:t>[Briefly describe current sample throughput capacity, total time</w:t>
      </w:r>
      <w:r>
        <w:rPr>
          <w:color w:val="000000"/>
        </w:rPr>
        <w:t> </w:t>
      </w:r>
      <w:r>
        <w:rPr>
          <w:color w:val="000000"/>
          <w:shd w:fill="FFFF00" w:color="auto" w:val="clear"/>
        </w:rPr>
        <w:t>required to perform the test (from clinical specimen collection to result), and number</w:t>
      </w:r>
      <w:r>
        <w:rPr>
          <w:color w:val="000000"/>
        </w:rPr>
        <w:t> </w:t>
      </w:r>
      <w:r>
        <w:rPr>
          <w:color w:val="000000"/>
          <w:shd w:fill="FFFF00" w:color="auto" w:val="clear"/>
        </w:rPr>
        <w:t>of</w:t>
      </w:r>
      <w:r>
        <w:rPr>
          <w:color w:val="000000"/>
          <w:spacing w:val="-3"/>
          <w:shd w:fill="FFFF00" w:color="auto" w:val="clear"/>
        </w:rPr>
        <w:t> </w:t>
      </w:r>
      <w:r>
        <w:rPr>
          <w:color w:val="000000"/>
          <w:shd w:fill="FFFF00" w:color="auto" w:val="clear"/>
        </w:rPr>
        <w:t>tests</w:t>
      </w:r>
      <w:r>
        <w:rPr>
          <w:color w:val="000000"/>
          <w:spacing w:val="-3"/>
          <w:shd w:fill="FFFF00" w:color="auto" w:val="clear"/>
        </w:rPr>
        <w:t> </w:t>
      </w:r>
      <w:r>
        <w:rPr>
          <w:color w:val="000000"/>
          <w:shd w:fill="FFFF00" w:color="auto" w:val="clear"/>
        </w:rPr>
        <w:t>that</w:t>
      </w:r>
      <w:r>
        <w:rPr>
          <w:color w:val="000000"/>
          <w:spacing w:val="-4"/>
          <w:shd w:fill="FFFF00" w:color="auto" w:val="clear"/>
        </w:rPr>
        <w:t> </w:t>
      </w:r>
      <w:r>
        <w:rPr>
          <w:color w:val="000000"/>
          <w:shd w:fill="FFFF00" w:color="auto" w:val="clear"/>
        </w:rPr>
        <w:t>can</w:t>
      </w:r>
      <w:r>
        <w:rPr>
          <w:color w:val="000000"/>
          <w:spacing w:val="-4"/>
          <w:shd w:fill="FFFF00" w:color="auto" w:val="clear"/>
        </w:rPr>
        <w:t> </w:t>
      </w:r>
      <w:r>
        <w:rPr>
          <w:color w:val="000000"/>
          <w:shd w:fill="FFFF00" w:color="auto" w:val="clear"/>
        </w:rPr>
        <w:t>be</w:t>
      </w:r>
      <w:r>
        <w:rPr>
          <w:color w:val="000000"/>
          <w:spacing w:val="-3"/>
          <w:shd w:fill="FFFF00" w:color="auto" w:val="clear"/>
        </w:rPr>
        <w:t> </w:t>
      </w:r>
      <w:r>
        <w:rPr>
          <w:color w:val="000000"/>
          <w:shd w:fill="FFFF00" w:color="auto" w:val="clear"/>
        </w:rPr>
        <w:t>performed.</w:t>
      </w:r>
      <w:r>
        <w:rPr>
          <w:color w:val="000000"/>
          <w:spacing w:val="-3"/>
          <w:shd w:fill="FFFF00" w:color="auto" w:val="clear"/>
        </w:rPr>
        <w:t> </w:t>
      </w:r>
      <w:r>
        <w:rPr>
          <w:color w:val="000000"/>
          <w:shd w:fill="FFFF00" w:color="auto" w:val="clear"/>
        </w:rPr>
        <w:t>Please</w:t>
      </w:r>
      <w:r>
        <w:rPr>
          <w:color w:val="000000"/>
          <w:spacing w:val="-3"/>
          <w:shd w:fill="FFFF00" w:color="auto" w:val="clear"/>
        </w:rPr>
        <w:t> </w:t>
      </w:r>
      <w:r>
        <w:rPr>
          <w:color w:val="000000"/>
          <w:shd w:fill="FFFF00" w:color="auto" w:val="clear"/>
        </w:rPr>
        <w:t>provide</w:t>
      </w:r>
      <w:r>
        <w:rPr>
          <w:color w:val="000000"/>
          <w:spacing w:val="-4"/>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number</w:t>
      </w:r>
      <w:r>
        <w:rPr>
          <w:color w:val="000000"/>
          <w:spacing w:val="-3"/>
          <w:shd w:fill="FFFF00" w:color="auto" w:val="clear"/>
        </w:rPr>
        <w:t> </w:t>
      </w:r>
      <w:r>
        <w:rPr>
          <w:color w:val="000000"/>
          <w:shd w:fill="FFFF00" w:color="auto" w:val="clear"/>
        </w:rPr>
        <w:t>of</w:t>
      </w:r>
      <w:r>
        <w:rPr>
          <w:color w:val="000000"/>
          <w:spacing w:val="-4"/>
          <w:shd w:fill="FFFF00" w:color="auto" w:val="clear"/>
        </w:rPr>
        <w:t> </w:t>
      </w:r>
      <w:r>
        <w:rPr>
          <w:color w:val="000000"/>
          <w:shd w:fill="FFFF00" w:color="auto" w:val="clear"/>
        </w:rPr>
        <w:t>kits</w:t>
      </w:r>
      <w:r>
        <w:rPr>
          <w:color w:val="000000"/>
          <w:spacing w:val="-3"/>
          <w:shd w:fill="FFFF00" w:color="auto" w:val="clear"/>
        </w:rPr>
        <w:t> </w:t>
      </w:r>
      <w:r>
        <w:rPr>
          <w:color w:val="000000"/>
          <w:shd w:fill="FFFF00" w:color="auto" w:val="clear"/>
        </w:rPr>
        <w:t>you</w:t>
      </w:r>
      <w:r>
        <w:rPr>
          <w:color w:val="000000"/>
          <w:spacing w:val="-4"/>
          <w:shd w:fill="FFFF00" w:color="auto" w:val="clear"/>
        </w:rPr>
        <w:t> </w:t>
      </w:r>
      <w:r>
        <w:rPr>
          <w:color w:val="000000"/>
          <w:shd w:fill="FFFF00" w:color="auto" w:val="clear"/>
        </w:rPr>
        <w:t>can</w:t>
      </w:r>
      <w:r>
        <w:rPr>
          <w:color w:val="000000"/>
          <w:spacing w:val="-4"/>
          <w:shd w:fill="FFFF00" w:color="auto" w:val="clear"/>
        </w:rPr>
        <w:t> </w:t>
      </w:r>
      <w:r>
        <w:rPr>
          <w:color w:val="000000"/>
          <w:shd w:fill="FFFF00" w:color="auto" w:val="clear"/>
        </w:rPr>
        <w:t>manufacture</w:t>
      </w:r>
      <w:r>
        <w:rPr>
          <w:color w:val="000000"/>
        </w:rPr>
        <w:t> </w:t>
      </w:r>
      <w:r>
        <w:rPr>
          <w:color w:val="000000"/>
          <w:shd w:fill="FFFF00" w:color="auto" w:val="clear"/>
        </w:rPr>
        <w:t>per day/week.]</w:t>
      </w:r>
    </w:p>
    <w:p>
      <w:pPr>
        <w:pStyle w:val="BodyText"/>
        <w:spacing w:before="11"/>
        <w:rPr>
          <w:rFonts w:ascii="TimesNewRomanPS-BoldItalicMT"/>
          <w:b/>
          <w:i/>
          <w:sz w:val="23"/>
        </w:rPr>
      </w:pPr>
    </w:p>
    <w:p>
      <w:pPr>
        <w:pStyle w:val="Heading6"/>
        <w:numPr>
          <w:ilvl w:val="1"/>
          <w:numId w:val="13"/>
        </w:numPr>
        <w:tabs>
          <w:tab w:pos="789" w:val="left" w:leader="none"/>
        </w:tabs>
        <w:spacing w:line="240" w:lineRule="auto" w:before="0" w:after="0"/>
        <w:ind w:left="789" w:right="0" w:hanging="359"/>
        <w:jc w:val="left"/>
      </w:pPr>
      <w:r>
        <w:rPr>
          <w:u w:val="thick"/>
        </w:rPr>
        <w:t>Distribution</w:t>
      </w:r>
      <w:r>
        <w:rPr>
          <w:spacing w:val="-7"/>
          <w:u w:val="thick"/>
        </w:rPr>
        <w:t> </w:t>
      </w:r>
      <w:r>
        <w:rPr>
          <w:spacing w:val="-4"/>
          <w:u w:val="thick"/>
        </w:rPr>
        <w:t>Plan</w:t>
      </w:r>
    </w:p>
    <w:p>
      <w:pPr>
        <w:pStyle w:val="Heading6"/>
        <w:spacing w:before="0"/>
        <w:ind w:left="790"/>
      </w:pPr>
      <w:r>
        <w:rPr>
          <w:color w:val="000000"/>
          <w:shd w:fill="FFFF00" w:color="auto" w:val="clear"/>
        </w:rPr>
        <w:t>[Describe</w:t>
      </w:r>
      <w:r>
        <w:rPr>
          <w:color w:val="000000"/>
          <w:spacing w:val="-5"/>
          <w:shd w:fill="FFFF00" w:color="auto" w:val="clear"/>
        </w:rPr>
        <w:t> </w:t>
      </w:r>
      <w:r>
        <w:rPr>
          <w:color w:val="000000"/>
          <w:shd w:fill="FFFF00" w:color="auto" w:val="clear"/>
        </w:rPr>
        <w:t>if</w:t>
      </w:r>
      <w:r>
        <w:rPr>
          <w:color w:val="000000"/>
          <w:spacing w:val="-2"/>
          <w:shd w:fill="FFFF00" w:color="auto" w:val="clear"/>
        </w:rPr>
        <w:t> </w:t>
      </w:r>
      <w:r>
        <w:rPr>
          <w:color w:val="000000"/>
          <w:shd w:fill="FFFF00" w:color="auto" w:val="clear"/>
        </w:rPr>
        <w:t>you</w:t>
      </w:r>
      <w:r>
        <w:rPr>
          <w:color w:val="000000"/>
          <w:spacing w:val="-3"/>
          <w:shd w:fill="FFFF00" w:color="auto" w:val="clear"/>
        </w:rPr>
        <w:t> </w:t>
      </w:r>
      <w:r>
        <w:rPr>
          <w:color w:val="000000"/>
          <w:shd w:fill="FFFF00" w:color="auto" w:val="clear"/>
        </w:rPr>
        <w:t>will</w:t>
      </w:r>
      <w:r>
        <w:rPr>
          <w:color w:val="000000"/>
          <w:spacing w:val="-1"/>
          <w:shd w:fill="FFFF00" w:color="auto" w:val="clear"/>
        </w:rPr>
        <w:t> </w:t>
      </w:r>
      <w:r>
        <w:rPr>
          <w:color w:val="000000"/>
          <w:shd w:fill="FFFF00" w:color="auto" w:val="clear"/>
        </w:rPr>
        <w:t>partner</w:t>
      </w:r>
      <w:r>
        <w:rPr>
          <w:color w:val="000000"/>
          <w:spacing w:val="-1"/>
          <w:shd w:fill="FFFF00" w:color="auto" w:val="clear"/>
        </w:rPr>
        <w:t> </w:t>
      </w:r>
      <w:r>
        <w:rPr>
          <w:color w:val="000000"/>
          <w:shd w:fill="FFFF00" w:color="auto" w:val="clear"/>
        </w:rPr>
        <w:t>with</w:t>
      </w:r>
      <w:r>
        <w:rPr>
          <w:color w:val="000000"/>
          <w:spacing w:val="-3"/>
          <w:shd w:fill="FFFF00" w:color="auto" w:val="clear"/>
        </w:rPr>
        <w:t> </w:t>
      </w:r>
      <w:r>
        <w:rPr>
          <w:color w:val="000000"/>
          <w:shd w:fill="FFFF00" w:color="auto" w:val="clear"/>
        </w:rPr>
        <w:t>other</w:t>
      </w:r>
      <w:r>
        <w:rPr>
          <w:color w:val="000000"/>
          <w:spacing w:val="-1"/>
          <w:shd w:fill="FFFF00" w:color="auto" w:val="clear"/>
        </w:rPr>
        <w:t> </w:t>
      </w:r>
      <w:r>
        <w:rPr>
          <w:color w:val="000000"/>
          <w:shd w:fill="FFFF00" w:color="auto" w:val="clear"/>
        </w:rPr>
        <w:t>companies</w:t>
      </w:r>
      <w:r>
        <w:rPr>
          <w:color w:val="000000"/>
          <w:spacing w:val="-2"/>
          <w:shd w:fill="FFFF00" w:color="auto" w:val="clear"/>
        </w:rPr>
        <w:t> </w:t>
      </w:r>
      <w:r>
        <w:rPr>
          <w:color w:val="000000"/>
          <w:shd w:fill="FFFF00" w:color="auto" w:val="clear"/>
        </w:rPr>
        <w:t>for</w:t>
      </w:r>
      <w:r>
        <w:rPr>
          <w:color w:val="000000"/>
          <w:spacing w:val="-2"/>
          <w:shd w:fill="FFFF00" w:color="auto" w:val="clear"/>
        </w:rPr>
        <w:t> </w:t>
      </w:r>
      <w:r>
        <w:rPr>
          <w:color w:val="000000"/>
          <w:shd w:fill="FFFF00" w:color="auto" w:val="clear"/>
        </w:rPr>
        <w:t>the</w:t>
      </w:r>
      <w:r>
        <w:rPr>
          <w:color w:val="000000"/>
          <w:spacing w:val="-1"/>
          <w:shd w:fill="FFFF00" w:color="auto" w:val="clear"/>
        </w:rPr>
        <w:t> </w:t>
      </w:r>
      <w:r>
        <w:rPr>
          <w:color w:val="000000"/>
          <w:shd w:fill="FFFF00" w:color="auto" w:val="clear"/>
        </w:rPr>
        <w:t>distribution</w:t>
      </w:r>
      <w:r>
        <w:rPr>
          <w:color w:val="000000"/>
          <w:spacing w:val="-3"/>
          <w:shd w:fill="FFFF00" w:color="auto" w:val="clear"/>
        </w:rPr>
        <w:t> </w:t>
      </w:r>
      <w:r>
        <w:rPr>
          <w:color w:val="000000"/>
          <w:shd w:fill="FFFF00" w:color="auto" w:val="clear"/>
        </w:rPr>
        <w:t>of</w:t>
      </w:r>
      <w:r>
        <w:rPr>
          <w:color w:val="000000"/>
          <w:spacing w:val="-1"/>
          <w:shd w:fill="FFFF00" w:color="auto" w:val="clear"/>
        </w:rPr>
        <w:t> </w:t>
      </w:r>
      <w:r>
        <w:rPr>
          <w:color w:val="000000"/>
          <w:shd w:fill="FFFF00" w:color="auto" w:val="clear"/>
        </w:rPr>
        <w:t>the</w:t>
      </w:r>
      <w:r>
        <w:rPr>
          <w:color w:val="000000"/>
          <w:spacing w:val="-1"/>
          <w:shd w:fill="FFFF00" w:color="auto" w:val="clear"/>
        </w:rPr>
        <w:t> </w:t>
      </w:r>
      <w:r>
        <w:rPr>
          <w:color w:val="000000"/>
          <w:spacing w:val="-2"/>
          <w:shd w:fill="FFFF00" w:color="auto" w:val="clear"/>
        </w:rPr>
        <w:t>device]</w:t>
      </w:r>
    </w:p>
    <w:p>
      <w:pPr>
        <w:pStyle w:val="BodyText"/>
        <w:rPr>
          <w:rFonts w:ascii="TimesNewRomanPS-BoldItalicMT"/>
          <w:b/>
          <w:i/>
        </w:rPr>
      </w:pPr>
    </w:p>
    <w:p>
      <w:pPr>
        <w:pStyle w:val="Heading6"/>
        <w:numPr>
          <w:ilvl w:val="1"/>
          <w:numId w:val="13"/>
        </w:numPr>
        <w:tabs>
          <w:tab w:pos="789" w:val="left" w:leader="none"/>
        </w:tabs>
        <w:spacing w:line="240" w:lineRule="auto" w:before="0" w:after="0"/>
        <w:ind w:left="789" w:right="0" w:hanging="359"/>
        <w:jc w:val="left"/>
      </w:pPr>
      <w:r>
        <w:rPr>
          <w:u w:val="thick"/>
        </w:rPr>
        <w:t>Reagent</w:t>
      </w:r>
      <w:r>
        <w:rPr>
          <w:spacing w:val="-2"/>
          <w:u w:val="thick"/>
        </w:rPr>
        <w:t> Stability</w:t>
      </w:r>
    </w:p>
    <w:p>
      <w:pPr>
        <w:pStyle w:val="Heading6"/>
        <w:spacing w:before="0"/>
        <w:ind w:left="790" w:right="278"/>
      </w:pPr>
      <w:r>
        <w:rPr>
          <w:color w:val="000000"/>
          <w:shd w:fill="FFFF00" w:color="auto" w:val="clear"/>
        </w:rPr>
        <w:t>[Describe</w:t>
      </w:r>
      <w:r>
        <w:rPr>
          <w:color w:val="000000"/>
          <w:spacing w:val="-5"/>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information</w:t>
      </w:r>
      <w:r>
        <w:rPr>
          <w:color w:val="000000"/>
          <w:spacing w:val="-5"/>
          <w:shd w:fill="FFFF00" w:color="auto" w:val="clear"/>
        </w:rPr>
        <w:t> </w:t>
      </w:r>
      <w:r>
        <w:rPr>
          <w:color w:val="000000"/>
          <w:shd w:fill="FFFF00" w:color="auto" w:val="clear"/>
        </w:rPr>
        <w:t>that</w:t>
      </w:r>
      <w:r>
        <w:rPr>
          <w:color w:val="000000"/>
          <w:spacing w:val="-4"/>
          <w:shd w:fill="FFFF00" w:color="auto" w:val="clear"/>
        </w:rPr>
        <w:t> </w:t>
      </w:r>
      <w:r>
        <w:rPr>
          <w:color w:val="000000"/>
          <w:shd w:fill="FFFF00" w:color="auto" w:val="clear"/>
        </w:rPr>
        <w:t>supports</w:t>
      </w:r>
      <w:r>
        <w:rPr>
          <w:color w:val="000000"/>
          <w:spacing w:val="-4"/>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stability</w:t>
      </w:r>
      <w:r>
        <w:rPr>
          <w:color w:val="000000"/>
          <w:spacing w:val="-4"/>
          <w:shd w:fill="FFFF00" w:color="auto" w:val="clear"/>
        </w:rPr>
        <w:t> </w:t>
      </w:r>
      <w:r>
        <w:rPr>
          <w:color w:val="000000"/>
          <w:shd w:fill="FFFF00" w:color="auto" w:val="clear"/>
        </w:rPr>
        <w:t>claims</w:t>
      </w:r>
      <w:r>
        <w:rPr>
          <w:color w:val="000000"/>
          <w:spacing w:val="-4"/>
          <w:shd w:fill="FFFF00" w:color="auto" w:val="clear"/>
        </w:rPr>
        <w:t> </w:t>
      </w:r>
      <w:r>
        <w:rPr>
          <w:color w:val="000000"/>
          <w:shd w:fill="FFFF00" w:color="auto" w:val="clear"/>
        </w:rPr>
        <w:t>for</w:t>
      </w:r>
      <w:r>
        <w:rPr>
          <w:color w:val="000000"/>
          <w:spacing w:val="-4"/>
          <w:shd w:fill="FFFF00" w:color="auto" w:val="clear"/>
        </w:rPr>
        <w:t> </w:t>
      </w:r>
      <w:r>
        <w:rPr>
          <w:color w:val="000000"/>
          <w:shd w:fill="FFFF00" w:color="auto" w:val="clear"/>
        </w:rPr>
        <w:t>your</w:t>
      </w:r>
      <w:r>
        <w:rPr>
          <w:color w:val="000000"/>
          <w:spacing w:val="-4"/>
          <w:shd w:fill="FFFF00" w:color="auto" w:val="clear"/>
        </w:rPr>
        <w:t> </w:t>
      </w:r>
      <w:r>
        <w:rPr>
          <w:color w:val="000000"/>
          <w:shd w:fill="FFFF00" w:color="auto" w:val="clear"/>
        </w:rPr>
        <w:t>device.</w:t>
      </w:r>
      <w:r>
        <w:rPr>
          <w:color w:val="000000"/>
          <w:spacing w:val="-4"/>
          <w:shd w:fill="FFFF00" w:color="auto" w:val="clear"/>
        </w:rPr>
        <w:t> </w:t>
      </w:r>
      <w:r>
        <w:rPr>
          <w:color w:val="000000"/>
          <w:shd w:fill="FFFF00" w:color="auto" w:val="clear"/>
        </w:rPr>
        <w:t>Please</w:t>
      </w:r>
      <w:r>
        <w:rPr>
          <w:color w:val="000000"/>
        </w:rPr>
        <w:t> </w:t>
      </w:r>
      <w:r>
        <w:rPr>
          <w:color w:val="000000"/>
          <w:shd w:fill="FFFF00" w:color="auto" w:val="clear"/>
        </w:rPr>
        <w:t>indicate if the test is already in use in other parts of the world.]</w:t>
      </w:r>
    </w:p>
    <w:p>
      <w:pPr>
        <w:pStyle w:val="BodyText"/>
        <w:spacing w:before="10"/>
        <w:rPr>
          <w:rFonts w:ascii="TimesNewRomanPS-BoldItalicMT"/>
          <w:b/>
          <w:i/>
          <w:sz w:val="20"/>
        </w:rPr>
      </w:pPr>
    </w:p>
    <w:p>
      <w:pPr>
        <w:pStyle w:val="Heading4"/>
        <w:numPr>
          <w:ilvl w:val="0"/>
          <w:numId w:val="13"/>
        </w:numPr>
        <w:tabs>
          <w:tab w:pos="520" w:val="left" w:leader="none"/>
        </w:tabs>
        <w:spacing w:line="240" w:lineRule="auto" w:before="0" w:after="0"/>
        <w:ind w:left="520" w:right="0" w:hanging="360"/>
        <w:jc w:val="left"/>
      </w:pPr>
      <w:bookmarkStart w:name="J. PERFORMANCE EVALUATION" w:id="91"/>
      <w:bookmarkEnd w:id="91"/>
      <w:r>
        <w:rPr>
          <w:b w:val="0"/>
        </w:rPr>
      </w:r>
      <w:r>
        <w:rPr/>
        <w:t>PERFORMANCE</w:t>
      </w:r>
      <w:r>
        <w:rPr>
          <w:spacing w:val="-7"/>
        </w:rPr>
        <w:t> </w:t>
      </w:r>
      <w:r>
        <w:rPr>
          <w:spacing w:val="-2"/>
        </w:rPr>
        <w:t>EVALUATION</w:t>
      </w:r>
    </w:p>
    <w:p>
      <w:pPr>
        <w:pStyle w:val="BodyText"/>
        <w:spacing w:before="10"/>
        <w:rPr>
          <w:b/>
          <w:sz w:val="20"/>
        </w:rPr>
      </w:pPr>
    </w:p>
    <w:p>
      <w:pPr>
        <w:pStyle w:val="Heading6"/>
        <w:numPr>
          <w:ilvl w:val="1"/>
          <w:numId w:val="13"/>
        </w:numPr>
        <w:tabs>
          <w:tab w:pos="879" w:val="left" w:leader="none"/>
        </w:tabs>
        <w:spacing w:line="240" w:lineRule="auto" w:before="0" w:after="0"/>
        <w:ind w:left="879" w:right="0" w:hanging="359"/>
        <w:jc w:val="left"/>
      </w:pPr>
      <w:bookmarkStart w:name="1) Analytical Sensitivity and Specificit" w:id="92"/>
      <w:bookmarkEnd w:id="92"/>
      <w:r>
        <w:rPr>
          <w:b w:val="0"/>
          <w:i w:val="0"/>
        </w:rPr>
      </w:r>
      <w:r>
        <w:rPr>
          <w:u w:val="thick"/>
        </w:rPr>
        <w:t>Analytical</w:t>
      </w:r>
      <w:r>
        <w:rPr>
          <w:spacing w:val="-4"/>
          <w:u w:val="thick"/>
        </w:rPr>
        <w:t> </w:t>
      </w:r>
      <w:r>
        <w:rPr>
          <w:u w:val="thick"/>
        </w:rPr>
        <w:t>Sensitivity</w:t>
      </w:r>
      <w:r>
        <w:rPr>
          <w:spacing w:val="-3"/>
          <w:u w:val="thick"/>
        </w:rPr>
        <w:t> </w:t>
      </w:r>
      <w:r>
        <w:rPr>
          <w:u w:val="thick"/>
        </w:rPr>
        <w:t>and</w:t>
      </w:r>
      <w:r>
        <w:rPr>
          <w:spacing w:val="-3"/>
          <w:u w:val="thick"/>
        </w:rPr>
        <w:t> </w:t>
      </w:r>
      <w:r>
        <w:rPr>
          <w:spacing w:val="-2"/>
          <w:u w:val="thick"/>
        </w:rPr>
        <w:t>Specificity</w:t>
      </w:r>
    </w:p>
    <w:p>
      <w:pPr>
        <w:pStyle w:val="ListParagraph"/>
        <w:numPr>
          <w:ilvl w:val="2"/>
          <w:numId w:val="13"/>
        </w:numPr>
        <w:tabs>
          <w:tab w:pos="1238" w:val="left" w:leader="none"/>
        </w:tabs>
        <w:spacing w:line="240" w:lineRule="auto" w:before="120" w:after="0"/>
        <w:ind w:left="1238" w:right="0" w:hanging="358"/>
        <w:jc w:val="left"/>
        <w:rPr>
          <w:i/>
          <w:sz w:val="24"/>
        </w:rPr>
      </w:pPr>
      <w:r>
        <w:rPr>
          <w:i/>
          <w:spacing w:val="-2"/>
          <w:sz w:val="24"/>
        </w:rPr>
        <w:t>Reactivity/lnclusivity:</w:t>
      </w:r>
    </w:p>
    <w:p>
      <w:pPr>
        <w:pStyle w:val="BodyText"/>
        <w:ind w:left="1239" w:right="250"/>
      </w:pPr>
      <w:r>
        <w:rPr/>
        <w:t>Although</w:t>
      </w:r>
      <w:r>
        <w:rPr>
          <w:spacing w:val="-3"/>
        </w:rPr>
        <w:t> </w:t>
      </w:r>
      <w:r>
        <w:rPr/>
        <w:t>mutations</w:t>
      </w:r>
      <w:r>
        <w:rPr>
          <w:spacing w:val="-3"/>
        </w:rPr>
        <w:t> </w:t>
      </w:r>
      <w:r>
        <w:rPr/>
        <w:t>in</w:t>
      </w:r>
      <w:r>
        <w:rPr>
          <w:spacing w:val="-5"/>
        </w:rPr>
        <w:t> </w:t>
      </w:r>
      <w:r>
        <w:rPr/>
        <w:t>the</w:t>
      </w:r>
      <w:r>
        <w:rPr>
          <w:spacing w:val="-3"/>
        </w:rPr>
        <w:t> </w:t>
      </w:r>
      <w:r>
        <w:rPr/>
        <w:t>SARS-CoV-2</w:t>
      </w:r>
      <w:r>
        <w:rPr>
          <w:spacing w:val="-3"/>
        </w:rPr>
        <w:t> </w:t>
      </w:r>
      <w:r>
        <w:rPr/>
        <w:t>genome</w:t>
      </w:r>
      <w:r>
        <w:rPr>
          <w:spacing w:val="-3"/>
        </w:rPr>
        <w:t> </w:t>
      </w:r>
      <w:r>
        <w:rPr/>
        <w:t>have</w:t>
      </w:r>
      <w:r>
        <w:rPr>
          <w:spacing w:val="-3"/>
        </w:rPr>
        <w:t> </w:t>
      </w:r>
      <w:r>
        <w:rPr/>
        <w:t>been</w:t>
      </w:r>
      <w:r>
        <w:rPr>
          <w:spacing w:val="-5"/>
        </w:rPr>
        <w:t> </w:t>
      </w:r>
      <w:r>
        <w:rPr/>
        <w:t>identified</w:t>
      </w:r>
      <w:r>
        <w:rPr>
          <w:spacing w:val="-3"/>
        </w:rPr>
        <w:t> </w:t>
      </w:r>
      <w:r>
        <w:rPr/>
        <w:t>as</w:t>
      </w:r>
      <w:r>
        <w:rPr>
          <w:spacing w:val="-4"/>
        </w:rPr>
        <w:t> </w:t>
      </w:r>
      <w:r>
        <w:rPr/>
        <w:t>the</w:t>
      </w:r>
      <w:r>
        <w:rPr>
          <w:spacing w:val="-3"/>
        </w:rPr>
        <w:t> </w:t>
      </w:r>
      <w:r>
        <w:rPr/>
        <w:t>virus</w:t>
      </w:r>
      <w:r>
        <w:rPr>
          <w:spacing w:val="-3"/>
        </w:rPr>
        <w:t> </w:t>
      </w:r>
      <w:r>
        <w:rPr/>
        <w:t>has spread, no serologically unique strains have been described relative to the originally isolated virus (this research is exceptionally limited at present).</w:t>
      </w:r>
    </w:p>
    <w:p>
      <w:pPr>
        <w:pStyle w:val="BodyText"/>
      </w:pPr>
    </w:p>
    <w:p>
      <w:pPr>
        <w:pStyle w:val="ListParagraph"/>
        <w:numPr>
          <w:ilvl w:val="2"/>
          <w:numId w:val="13"/>
        </w:numPr>
        <w:tabs>
          <w:tab w:pos="1237" w:val="left" w:leader="none"/>
        </w:tabs>
        <w:spacing w:line="240" w:lineRule="auto" w:before="0" w:after="0"/>
        <w:ind w:left="1237" w:right="0" w:hanging="358"/>
        <w:jc w:val="left"/>
        <w:rPr>
          <w:i/>
          <w:sz w:val="24"/>
        </w:rPr>
      </w:pPr>
      <w:r>
        <w:rPr>
          <w:i/>
          <w:spacing w:val="-2"/>
          <w:sz w:val="24"/>
        </w:rPr>
        <w:t>Cross-Reactivity:</w:t>
      </w:r>
    </w:p>
    <w:p>
      <w:pPr>
        <w:pStyle w:val="Heading5"/>
        <w:spacing w:before="120"/>
        <w:ind w:left="1239" w:right="303"/>
      </w:pPr>
      <w:r>
        <w:rPr/>
        <w:t>If a large number of known negative samples (e.g., ≥75 samples collected in the US</w:t>
      </w:r>
      <w:r>
        <w:rPr>
          <w:spacing w:val="-4"/>
        </w:rPr>
        <w:t> </w:t>
      </w:r>
      <w:r>
        <w:rPr/>
        <w:t>prior</w:t>
      </w:r>
      <w:r>
        <w:rPr>
          <w:spacing w:val="-3"/>
        </w:rPr>
        <w:t> </w:t>
      </w:r>
      <w:r>
        <w:rPr/>
        <w:t>to</w:t>
      </w:r>
      <w:r>
        <w:rPr>
          <w:spacing w:val="-3"/>
        </w:rPr>
        <w:t> </w:t>
      </w:r>
      <w:r>
        <w:rPr/>
        <w:t>December</w:t>
      </w:r>
      <w:r>
        <w:rPr>
          <w:spacing w:val="-3"/>
        </w:rPr>
        <w:t> </w:t>
      </w:r>
      <w:r>
        <w:rPr/>
        <w:t>2019)</w:t>
      </w:r>
      <w:r>
        <w:rPr>
          <w:spacing w:val="-3"/>
        </w:rPr>
        <w:t> </w:t>
      </w:r>
      <w:r>
        <w:rPr/>
        <w:t>are</w:t>
      </w:r>
      <w:r>
        <w:rPr>
          <w:spacing w:val="-3"/>
        </w:rPr>
        <w:t> </w:t>
      </w:r>
      <w:r>
        <w:rPr/>
        <w:t>tested</w:t>
      </w:r>
      <w:r>
        <w:rPr>
          <w:spacing w:val="-4"/>
        </w:rPr>
        <w:t> </w:t>
      </w:r>
      <w:r>
        <w:rPr/>
        <w:t>from</w:t>
      </w:r>
      <w:r>
        <w:rPr>
          <w:spacing w:val="-3"/>
        </w:rPr>
        <w:t> </w:t>
      </w:r>
      <w:r>
        <w:rPr/>
        <w:t>a</w:t>
      </w:r>
      <w:r>
        <w:rPr>
          <w:spacing w:val="-5"/>
        </w:rPr>
        <w:t> </w:t>
      </w:r>
      <w:r>
        <w:rPr/>
        <w:t>population</w:t>
      </w:r>
      <w:r>
        <w:rPr>
          <w:spacing w:val="-4"/>
        </w:rPr>
        <w:t> </w:t>
      </w:r>
      <w:r>
        <w:rPr/>
        <w:t>with</w:t>
      </w:r>
      <w:r>
        <w:rPr>
          <w:spacing w:val="-4"/>
        </w:rPr>
        <w:t> </w:t>
      </w:r>
      <w:r>
        <w:rPr/>
        <w:t>a</w:t>
      </w:r>
      <w:r>
        <w:rPr>
          <w:spacing w:val="-4"/>
        </w:rPr>
        <w:t> </w:t>
      </w:r>
      <w:r>
        <w:rPr/>
        <w:t>high</w:t>
      </w:r>
      <w:r>
        <w:rPr>
          <w:spacing w:val="-3"/>
        </w:rPr>
        <w:t> </w:t>
      </w:r>
      <w:r>
        <w:rPr/>
        <w:t>prevalence of vaccination against, and/or infection with, the following viruses, and specificity &gt;98% is observed, cross-reactivity testing for the following viruses would not be expected at this time:</w:t>
      </w:r>
    </w:p>
    <w:p>
      <w:pPr>
        <w:pStyle w:val="BodyText"/>
        <w:spacing w:before="5"/>
        <w:rPr>
          <w:b/>
          <w:sz w:val="10"/>
        </w:rPr>
      </w:pPr>
    </w:p>
    <w:tbl>
      <w:tblPr>
        <w:tblW w:w="0" w:type="auto"/>
        <w:jc w:val="left"/>
        <w:tblInd w:w="2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485"/>
      </w:tblGrid>
      <w:tr>
        <w:trPr>
          <w:trHeight w:val="275" w:hRule="atLeast"/>
        </w:trPr>
        <w:tc>
          <w:tcPr>
            <w:tcW w:w="5485" w:type="dxa"/>
          </w:tcPr>
          <w:p>
            <w:pPr>
              <w:pStyle w:val="TableParagraph"/>
              <w:spacing w:line="255" w:lineRule="exact"/>
              <w:ind w:left="361" w:right="350"/>
              <w:rPr>
                <w:b/>
                <w:sz w:val="24"/>
              </w:rPr>
            </w:pPr>
            <w:r>
              <w:rPr>
                <w:b/>
                <w:sz w:val="24"/>
              </w:rPr>
              <w:t>anti-influenza</w:t>
            </w:r>
            <w:r>
              <w:rPr>
                <w:b/>
                <w:spacing w:val="-3"/>
                <w:sz w:val="24"/>
              </w:rPr>
              <w:t> </w:t>
            </w:r>
            <w:r>
              <w:rPr>
                <w:b/>
                <w:sz w:val="24"/>
              </w:rPr>
              <w:t>A</w:t>
            </w:r>
            <w:r>
              <w:rPr>
                <w:b/>
                <w:spacing w:val="-2"/>
                <w:sz w:val="24"/>
              </w:rPr>
              <w:t> </w:t>
            </w:r>
            <w:r>
              <w:rPr>
                <w:b/>
                <w:sz w:val="24"/>
              </w:rPr>
              <w:t>(IgG</w:t>
            </w:r>
            <w:r>
              <w:rPr>
                <w:b/>
                <w:spacing w:val="-3"/>
                <w:sz w:val="24"/>
              </w:rPr>
              <w:t> </w:t>
            </w:r>
            <w:r>
              <w:rPr>
                <w:b/>
                <w:sz w:val="24"/>
              </w:rPr>
              <w:t>and</w:t>
            </w:r>
            <w:r>
              <w:rPr>
                <w:b/>
                <w:spacing w:val="-2"/>
                <w:sz w:val="24"/>
              </w:rPr>
              <w:t> </w:t>
            </w:r>
            <w:r>
              <w:rPr>
                <w:b/>
                <w:spacing w:val="-4"/>
                <w:sz w:val="24"/>
              </w:rPr>
              <w:t>IgM)</w:t>
            </w:r>
          </w:p>
        </w:tc>
      </w:tr>
      <w:tr>
        <w:trPr>
          <w:trHeight w:val="275" w:hRule="atLeast"/>
        </w:trPr>
        <w:tc>
          <w:tcPr>
            <w:tcW w:w="5485" w:type="dxa"/>
          </w:tcPr>
          <w:p>
            <w:pPr>
              <w:pStyle w:val="TableParagraph"/>
              <w:spacing w:line="255" w:lineRule="exact"/>
              <w:ind w:left="360" w:right="350"/>
              <w:rPr>
                <w:b/>
                <w:sz w:val="24"/>
              </w:rPr>
            </w:pPr>
            <w:r>
              <w:rPr>
                <w:b/>
                <w:sz w:val="24"/>
              </w:rPr>
              <w:t>anti-influenza</w:t>
            </w:r>
            <w:r>
              <w:rPr>
                <w:b/>
                <w:spacing w:val="-3"/>
                <w:sz w:val="24"/>
              </w:rPr>
              <w:t> </w:t>
            </w:r>
            <w:r>
              <w:rPr>
                <w:b/>
                <w:sz w:val="24"/>
              </w:rPr>
              <w:t>B</w:t>
            </w:r>
            <w:r>
              <w:rPr>
                <w:b/>
                <w:spacing w:val="-2"/>
                <w:sz w:val="24"/>
              </w:rPr>
              <w:t> </w:t>
            </w:r>
            <w:r>
              <w:rPr>
                <w:b/>
                <w:sz w:val="24"/>
              </w:rPr>
              <w:t>(IgG</w:t>
            </w:r>
            <w:r>
              <w:rPr>
                <w:b/>
                <w:spacing w:val="-3"/>
                <w:sz w:val="24"/>
              </w:rPr>
              <w:t> </w:t>
            </w:r>
            <w:r>
              <w:rPr>
                <w:b/>
                <w:sz w:val="24"/>
              </w:rPr>
              <w:t>and</w:t>
            </w:r>
            <w:r>
              <w:rPr>
                <w:b/>
                <w:spacing w:val="-2"/>
                <w:sz w:val="24"/>
              </w:rPr>
              <w:t> </w:t>
            </w:r>
            <w:r>
              <w:rPr>
                <w:b/>
                <w:spacing w:val="-4"/>
                <w:sz w:val="24"/>
              </w:rPr>
              <w:t>IgM)</w:t>
            </w:r>
          </w:p>
        </w:tc>
      </w:tr>
      <w:tr>
        <w:trPr>
          <w:trHeight w:val="276" w:hRule="atLeast"/>
        </w:trPr>
        <w:tc>
          <w:tcPr>
            <w:tcW w:w="5485" w:type="dxa"/>
          </w:tcPr>
          <w:p>
            <w:pPr>
              <w:pStyle w:val="TableParagraph"/>
              <w:spacing w:line="255" w:lineRule="exact" w:before="1"/>
              <w:ind w:left="361" w:right="350"/>
              <w:rPr>
                <w:b/>
                <w:sz w:val="24"/>
              </w:rPr>
            </w:pPr>
            <w:r>
              <w:rPr>
                <w:b/>
                <w:sz w:val="24"/>
              </w:rPr>
              <w:t>anti-HCV</w:t>
            </w:r>
            <w:r>
              <w:rPr>
                <w:b/>
                <w:spacing w:val="-3"/>
                <w:sz w:val="24"/>
              </w:rPr>
              <w:t> </w:t>
            </w:r>
            <w:r>
              <w:rPr>
                <w:b/>
                <w:sz w:val="24"/>
              </w:rPr>
              <w:t>(IgG</w:t>
            </w:r>
            <w:r>
              <w:rPr>
                <w:b/>
                <w:spacing w:val="-1"/>
                <w:sz w:val="24"/>
              </w:rPr>
              <w:t> </w:t>
            </w:r>
            <w:r>
              <w:rPr>
                <w:b/>
                <w:sz w:val="24"/>
              </w:rPr>
              <w:t>and</w:t>
            </w:r>
            <w:r>
              <w:rPr>
                <w:b/>
                <w:spacing w:val="-2"/>
                <w:sz w:val="24"/>
              </w:rPr>
              <w:t> </w:t>
            </w:r>
            <w:r>
              <w:rPr>
                <w:b/>
                <w:spacing w:val="-4"/>
                <w:sz w:val="24"/>
              </w:rPr>
              <w:t>IgM)</w:t>
            </w:r>
          </w:p>
        </w:tc>
      </w:tr>
      <w:tr>
        <w:trPr>
          <w:trHeight w:val="275" w:hRule="atLeast"/>
        </w:trPr>
        <w:tc>
          <w:tcPr>
            <w:tcW w:w="5485" w:type="dxa"/>
          </w:tcPr>
          <w:p>
            <w:pPr>
              <w:pStyle w:val="TableParagraph"/>
              <w:spacing w:line="255" w:lineRule="exact"/>
              <w:ind w:left="361" w:right="349"/>
              <w:rPr>
                <w:b/>
                <w:sz w:val="24"/>
              </w:rPr>
            </w:pPr>
            <w:r>
              <w:rPr>
                <w:b/>
                <w:sz w:val="24"/>
              </w:rPr>
              <w:t>anti-HBV</w:t>
            </w:r>
            <w:r>
              <w:rPr>
                <w:b/>
                <w:spacing w:val="-3"/>
                <w:sz w:val="24"/>
              </w:rPr>
              <w:t> </w:t>
            </w:r>
            <w:r>
              <w:rPr>
                <w:b/>
                <w:sz w:val="24"/>
              </w:rPr>
              <w:t>(IgG</w:t>
            </w:r>
            <w:r>
              <w:rPr>
                <w:b/>
                <w:spacing w:val="-1"/>
                <w:sz w:val="24"/>
              </w:rPr>
              <w:t> </w:t>
            </w:r>
            <w:r>
              <w:rPr>
                <w:b/>
                <w:sz w:val="24"/>
              </w:rPr>
              <w:t>and</w:t>
            </w:r>
            <w:r>
              <w:rPr>
                <w:b/>
                <w:spacing w:val="-2"/>
                <w:sz w:val="24"/>
              </w:rPr>
              <w:t> </w:t>
            </w:r>
            <w:r>
              <w:rPr>
                <w:b/>
                <w:spacing w:val="-4"/>
                <w:sz w:val="24"/>
              </w:rPr>
              <w:t>IgM)</w:t>
            </w:r>
          </w:p>
        </w:tc>
      </w:tr>
      <w:tr>
        <w:trPr>
          <w:trHeight w:val="275" w:hRule="atLeast"/>
        </w:trPr>
        <w:tc>
          <w:tcPr>
            <w:tcW w:w="5485" w:type="dxa"/>
          </w:tcPr>
          <w:p>
            <w:pPr>
              <w:pStyle w:val="TableParagraph"/>
              <w:spacing w:line="255" w:lineRule="exact"/>
              <w:ind w:left="360" w:right="350"/>
              <w:rPr>
                <w:b/>
                <w:sz w:val="24"/>
              </w:rPr>
            </w:pPr>
            <w:r>
              <w:rPr>
                <w:b/>
                <w:sz w:val="24"/>
              </w:rPr>
              <w:t>anti-Haemophilus</w:t>
            </w:r>
            <w:r>
              <w:rPr>
                <w:b/>
                <w:spacing w:val="-6"/>
                <w:sz w:val="24"/>
              </w:rPr>
              <w:t> </w:t>
            </w:r>
            <w:r>
              <w:rPr>
                <w:b/>
                <w:sz w:val="24"/>
              </w:rPr>
              <w:t>influenzae</w:t>
            </w:r>
            <w:r>
              <w:rPr>
                <w:b/>
                <w:spacing w:val="-4"/>
                <w:sz w:val="24"/>
              </w:rPr>
              <w:t> </w:t>
            </w:r>
            <w:r>
              <w:rPr>
                <w:b/>
                <w:sz w:val="24"/>
              </w:rPr>
              <w:t>(IgG</w:t>
            </w:r>
            <w:r>
              <w:rPr>
                <w:b/>
                <w:spacing w:val="-4"/>
                <w:sz w:val="24"/>
              </w:rPr>
              <w:t> </w:t>
            </w:r>
            <w:r>
              <w:rPr>
                <w:b/>
                <w:sz w:val="24"/>
              </w:rPr>
              <w:t>and</w:t>
            </w:r>
            <w:r>
              <w:rPr>
                <w:b/>
                <w:spacing w:val="-4"/>
                <w:sz w:val="24"/>
              </w:rPr>
              <w:t> IgM)</w:t>
            </w:r>
          </w:p>
        </w:tc>
      </w:tr>
      <w:tr>
        <w:trPr>
          <w:trHeight w:val="276" w:hRule="atLeast"/>
        </w:trPr>
        <w:tc>
          <w:tcPr>
            <w:tcW w:w="5485" w:type="dxa"/>
          </w:tcPr>
          <w:p>
            <w:pPr>
              <w:pStyle w:val="TableParagraph"/>
              <w:spacing w:line="255" w:lineRule="exact" w:before="1"/>
              <w:ind w:left="361" w:right="349"/>
              <w:rPr>
                <w:b/>
                <w:sz w:val="24"/>
              </w:rPr>
            </w:pPr>
            <w:r>
              <w:rPr>
                <w:b/>
                <w:sz w:val="24"/>
              </w:rPr>
              <w:t>anti-229E</w:t>
            </w:r>
            <w:r>
              <w:rPr>
                <w:b/>
                <w:spacing w:val="-3"/>
                <w:sz w:val="24"/>
              </w:rPr>
              <w:t> </w:t>
            </w:r>
            <w:r>
              <w:rPr>
                <w:b/>
                <w:sz w:val="24"/>
              </w:rPr>
              <w:t>(alpha</w:t>
            </w:r>
            <w:r>
              <w:rPr>
                <w:b/>
                <w:spacing w:val="-2"/>
                <w:sz w:val="24"/>
              </w:rPr>
              <w:t> coronavirus)</w:t>
            </w:r>
          </w:p>
        </w:tc>
      </w:tr>
      <w:tr>
        <w:trPr>
          <w:trHeight w:val="275" w:hRule="atLeast"/>
        </w:trPr>
        <w:tc>
          <w:tcPr>
            <w:tcW w:w="5485" w:type="dxa"/>
          </w:tcPr>
          <w:p>
            <w:pPr>
              <w:pStyle w:val="TableParagraph"/>
              <w:spacing w:line="255" w:lineRule="exact"/>
              <w:ind w:left="361" w:right="349"/>
              <w:rPr>
                <w:b/>
                <w:sz w:val="24"/>
              </w:rPr>
            </w:pPr>
            <w:r>
              <w:rPr>
                <w:b/>
                <w:sz w:val="24"/>
              </w:rPr>
              <w:t>anti-NL63</w:t>
            </w:r>
            <w:r>
              <w:rPr>
                <w:b/>
                <w:spacing w:val="-3"/>
                <w:sz w:val="24"/>
              </w:rPr>
              <w:t> </w:t>
            </w:r>
            <w:r>
              <w:rPr>
                <w:b/>
                <w:sz w:val="24"/>
              </w:rPr>
              <w:t>(alpha</w:t>
            </w:r>
            <w:r>
              <w:rPr>
                <w:b/>
                <w:spacing w:val="-3"/>
                <w:sz w:val="24"/>
              </w:rPr>
              <w:t> </w:t>
            </w:r>
            <w:r>
              <w:rPr>
                <w:b/>
                <w:spacing w:val="-2"/>
                <w:sz w:val="24"/>
              </w:rPr>
              <w:t>coronavirus)</w:t>
            </w:r>
          </w:p>
        </w:tc>
      </w:tr>
      <w:tr>
        <w:trPr>
          <w:trHeight w:val="275" w:hRule="atLeast"/>
        </w:trPr>
        <w:tc>
          <w:tcPr>
            <w:tcW w:w="5485" w:type="dxa"/>
          </w:tcPr>
          <w:p>
            <w:pPr>
              <w:pStyle w:val="TableParagraph"/>
              <w:spacing w:line="255" w:lineRule="exact"/>
              <w:ind w:left="361" w:right="350"/>
              <w:rPr>
                <w:b/>
                <w:sz w:val="24"/>
              </w:rPr>
            </w:pPr>
            <w:r>
              <w:rPr>
                <w:b/>
                <w:sz w:val="24"/>
              </w:rPr>
              <w:t>anti-OC43</w:t>
            </w:r>
            <w:r>
              <w:rPr>
                <w:b/>
                <w:spacing w:val="-2"/>
                <w:sz w:val="24"/>
              </w:rPr>
              <w:t> </w:t>
            </w:r>
            <w:r>
              <w:rPr>
                <w:b/>
                <w:sz w:val="24"/>
              </w:rPr>
              <w:t>(beta</w:t>
            </w:r>
            <w:r>
              <w:rPr>
                <w:b/>
                <w:spacing w:val="-2"/>
                <w:sz w:val="24"/>
              </w:rPr>
              <w:t> coronavirus)</w:t>
            </w:r>
          </w:p>
        </w:tc>
      </w:tr>
      <w:tr>
        <w:trPr>
          <w:trHeight w:val="276" w:hRule="atLeast"/>
        </w:trPr>
        <w:tc>
          <w:tcPr>
            <w:tcW w:w="5485" w:type="dxa"/>
          </w:tcPr>
          <w:p>
            <w:pPr>
              <w:pStyle w:val="TableParagraph"/>
              <w:spacing w:line="257" w:lineRule="exact"/>
              <w:ind w:left="304" w:right="350"/>
              <w:rPr>
                <w:b/>
                <w:sz w:val="24"/>
              </w:rPr>
            </w:pPr>
            <w:r>
              <w:rPr>
                <w:b/>
                <w:sz w:val="24"/>
              </w:rPr>
              <w:t>anti-HKU1</w:t>
            </w:r>
            <w:r>
              <w:rPr>
                <w:b/>
                <w:spacing w:val="-2"/>
                <w:sz w:val="24"/>
              </w:rPr>
              <w:t> </w:t>
            </w:r>
            <w:r>
              <w:rPr>
                <w:b/>
                <w:sz w:val="24"/>
              </w:rPr>
              <w:t>(beta</w:t>
            </w:r>
            <w:r>
              <w:rPr>
                <w:b/>
                <w:spacing w:val="-2"/>
                <w:sz w:val="24"/>
              </w:rPr>
              <w:t> coronavirus)</w:t>
            </w:r>
          </w:p>
        </w:tc>
      </w:tr>
    </w:tbl>
    <w:p>
      <w:pPr>
        <w:spacing w:after="0" w:line="257" w:lineRule="exact"/>
        <w:rPr>
          <w:sz w:val="24"/>
        </w:rPr>
        <w:sectPr>
          <w:pgSz w:w="12240" w:h="15840"/>
          <w:pgMar w:header="731" w:footer="785" w:top="1360" w:bottom="980" w:left="1280" w:right="1200"/>
        </w:sectPr>
      </w:pPr>
    </w:p>
    <w:p>
      <w:pPr>
        <w:pStyle w:val="BodyText"/>
        <w:spacing w:before="10"/>
        <w:rPr>
          <w:b/>
          <w:sz w:val="6"/>
        </w:rPr>
      </w:pPr>
    </w:p>
    <w:tbl>
      <w:tblPr>
        <w:tblW w:w="0" w:type="auto"/>
        <w:jc w:val="left"/>
        <w:tblInd w:w="21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5485"/>
      </w:tblGrid>
      <w:tr>
        <w:trPr>
          <w:trHeight w:val="275" w:hRule="atLeast"/>
        </w:trPr>
        <w:tc>
          <w:tcPr>
            <w:tcW w:w="5485" w:type="dxa"/>
          </w:tcPr>
          <w:p>
            <w:pPr>
              <w:pStyle w:val="TableParagraph"/>
              <w:spacing w:line="255" w:lineRule="exact"/>
              <w:ind w:left="361" w:right="350"/>
              <w:rPr>
                <w:b/>
                <w:sz w:val="24"/>
              </w:rPr>
            </w:pPr>
            <w:r>
              <w:rPr>
                <w:b/>
                <w:spacing w:val="-5"/>
                <w:sz w:val="24"/>
              </w:rPr>
              <w:t>ANA</w:t>
            </w:r>
          </w:p>
        </w:tc>
      </w:tr>
      <w:tr>
        <w:trPr>
          <w:trHeight w:val="276" w:hRule="atLeast"/>
        </w:trPr>
        <w:tc>
          <w:tcPr>
            <w:tcW w:w="5485" w:type="dxa"/>
          </w:tcPr>
          <w:p>
            <w:pPr>
              <w:pStyle w:val="TableParagraph"/>
              <w:spacing w:line="255" w:lineRule="exact" w:before="1"/>
              <w:ind w:left="361" w:right="350"/>
              <w:rPr>
                <w:b/>
                <w:sz w:val="24"/>
              </w:rPr>
            </w:pPr>
            <w:r>
              <w:rPr>
                <w:b/>
                <w:sz w:val="24"/>
              </w:rPr>
              <w:t>anti-respiratory</w:t>
            </w:r>
            <w:r>
              <w:rPr>
                <w:b/>
                <w:spacing w:val="-3"/>
                <w:sz w:val="24"/>
              </w:rPr>
              <w:t> </w:t>
            </w:r>
            <w:r>
              <w:rPr>
                <w:b/>
                <w:sz w:val="24"/>
              </w:rPr>
              <w:t>syncytial</w:t>
            </w:r>
            <w:r>
              <w:rPr>
                <w:b/>
                <w:spacing w:val="-3"/>
                <w:sz w:val="24"/>
              </w:rPr>
              <w:t> </w:t>
            </w:r>
            <w:r>
              <w:rPr>
                <w:b/>
                <w:sz w:val="24"/>
              </w:rPr>
              <w:t>virus</w:t>
            </w:r>
            <w:r>
              <w:rPr>
                <w:b/>
                <w:spacing w:val="-2"/>
                <w:sz w:val="24"/>
              </w:rPr>
              <w:t> </w:t>
            </w:r>
            <w:r>
              <w:rPr>
                <w:b/>
                <w:sz w:val="24"/>
              </w:rPr>
              <w:t>(IgG</w:t>
            </w:r>
            <w:r>
              <w:rPr>
                <w:b/>
                <w:spacing w:val="-3"/>
                <w:sz w:val="24"/>
              </w:rPr>
              <w:t> </w:t>
            </w:r>
            <w:r>
              <w:rPr>
                <w:b/>
                <w:sz w:val="24"/>
              </w:rPr>
              <w:t>and</w:t>
            </w:r>
            <w:r>
              <w:rPr>
                <w:b/>
                <w:spacing w:val="-3"/>
                <w:sz w:val="24"/>
              </w:rPr>
              <w:t> </w:t>
            </w:r>
            <w:r>
              <w:rPr>
                <w:b/>
                <w:spacing w:val="-4"/>
                <w:sz w:val="24"/>
              </w:rPr>
              <w:t>IgM)</w:t>
            </w:r>
          </w:p>
        </w:tc>
      </w:tr>
      <w:tr>
        <w:trPr>
          <w:trHeight w:val="275" w:hRule="atLeast"/>
        </w:trPr>
        <w:tc>
          <w:tcPr>
            <w:tcW w:w="5485" w:type="dxa"/>
          </w:tcPr>
          <w:p>
            <w:pPr>
              <w:pStyle w:val="TableParagraph"/>
              <w:spacing w:line="255" w:lineRule="exact"/>
              <w:ind w:left="361" w:right="350"/>
              <w:rPr>
                <w:b/>
                <w:sz w:val="24"/>
              </w:rPr>
            </w:pPr>
            <w:r>
              <w:rPr>
                <w:b/>
                <w:spacing w:val="-2"/>
                <w:sz w:val="24"/>
              </w:rPr>
              <w:t>anti-</w:t>
            </w:r>
            <w:r>
              <w:rPr>
                <w:b/>
                <w:spacing w:val="-5"/>
                <w:sz w:val="24"/>
              </w:rPr>
              <w:t>HIV</w:t>
            </w:r>
          </w:p>
        </w:tc>
      </w:tr>
    </w:tbl>
    <w:p>
      <w:pPr>
        <w:pStyle w:val="BodyText"/>
        <w:spacing w:before="4"/>
        <w:rPr>
          <w:b/>
          <w:sz w:val="16"/>
        </w:rPr>
      </w:pPr>
    </w:p>
    <w:p>
      <w:pPr>
        <w:pStyle w:val="Heading6"/>
        <w:ind w:left="1240" w:right="270"/>
      </w:pPr>
      <w:r>
        <w:rPr>
          <w:color w:val="000000"/>
          <w:shd w:fill="FFFF00" w:color="auto" w:val="clear"/>
        </w:rPr>
        <w:t>[If</w:t>
      </w:r>
      <w:r>
        <w:rPr>
          <w:color w:val="000000"/>
          <w:spacing w:val="-3"/>
          <w:shd w:fill="FFFF00" w:color="auto" w:val="clear"/>
        </w:rPr>
        <w:t> </w:t>
      </w:r>
      <w:r>
        <w:rPr>
          <w:color w:val="000000"/>
          <w:shd w:fill="FFFF00" w:color="auto" w:val="clear"/>
        </w:rPr>
        <w:t>a</w:t>
      </w:r>
      <w:r>
        <w:rPr>
          <w:color w:val="000000"/>
          <w:spacing w:val="-3"/>
          <w:shd w:fill="FFFF00" w:color="auto" w:val="clear"/>
        </w:rPr>
        <w:t> </w:t>
      </w:r>
      <w:r>
        <w:rPr>
          <w:color w:val="000000"/>
          <w:shd w:fill="FFFF00" w:color="auto" w:val="clear"/>
        </w:rPr>
        <w:t>large</w:t>
      </w:r>
      <w:r>
        <w:rPr>
          <w:color w:val="000000"/>
          <w:spacing w:val="-3"/>
          <w:shd w:fill="FFFF00" w:color="auto" w:val="clear"/>
        </w:rPr>
        <w:t> </w:t>
      </w:r>
      <w:r>
        <w:rPr>
          <w:color w:val="000000"/>
          <w:shd w:fill="FFFF00" w:color="auto" w:val="clear"/>
        </w:rPr>
        <w:t>number</w:t>
      </w:r>
      <w:r>
        <w:rPr>
          <w:color w:val="000000"/>
          <w:spacing w:val="-3"/>
          <w:shd w:fill="FFFF00" w:color="auto" w:val="clear"/>
        </w:rPr>
        <w:t> </w:t>
      </w:r>
      <w:r>
        <w:rPr>
          <w:color w:val="000000"/>
          <w:shd w:fill="FFFF00" w:color="auto" w:val="clear"/>
        </w:rPr>
        <w:t>of</w:t>
      </w:r>
      <w:r>
        <w:rPr>
          <w:color w:val="000000"/>
          <w:spacing w:val="-3"/>
          <w:shd w:fill="FFFF00" w:color="auto" w:val="clear"/>
        </w:rPr>
        <w:t> </w:t>
      </w:r>
      <w:r>
        <w:rPr>
          <w:color w:val="000000"/>
          <w:shd w:fill="FFFF00" w:color="auto" w:val="clear"/>
        </w:rPr>
        <w:t>known</w:t>
      </w:r>
      <w:r>
        <w:rPr>
          <w:color w:val="000000"/>
          <w:spacing w:val="-4"/>
          <w:shd w:fill="FFFF00" w:color="auto" w:val="clear"/>
        </w:rPr>
        <w:t> </w:t>
      </w:r>
      <w:r>
        <w:rPr>
          <w:color w:val="000000"/>
          <w:shd w:fill="FFFF00" w:color="auto" w:val="clear"/>
        </w:rPr>
        <w:t>negative</w:t>
      </w:r>
      <w:r>
        <w:rPr>
          <w:color w:val="000000"/>
          <w:spacing w:val="-3"/>
          <w:shd w:fill="FFFF00" w:color="auto" w:val="clear"/>
        </w:rPr>
        <w:t> </w:t>
      </w:r>
      <w:r>
        <w:rPr>
          <w:color w:val="000000"/>
          <w:shd w:fill="FFFF00" w:color="auto" w:val="clear"/>
        </w:rPr>
        <w:t>samples</w:t>
      </w:r>
      <w:r>
        <w:rPr>
          <w:color w:val="000000"/>
          <w:spacing w:val="-3"/>
          <w:shd w:fill="FFFF00" w:color="auto" w:val="clear"/>
        </w:rPr>
        <w:t> </w:t>
      </w:r>
      <w:r>
        <w:rPr>
          <w:color w:val="000000"/>
          <w:shd w:fill="FFFF00" w:color="auto" w:val="clear"/>
        </w:rPr>
        <w:t>are</w:t>
      </w:r>
      <w:r>
        <w:rPr>
          <w:color w:val="000000"/>
          <w:spacing w:val="-3"/>
          <w:shd w:fill="FFFF00" w:color="auto" w:val="clear"/>
        </w:rPr>
        <w:t> </w:t>
      </w:r>
      <w:r>
        <w:rPr>
          <w:color w:val="000000"/>
          <w:shd w:fill="FFFF00" w:color="auto" w:val="clear"/>
        </w:rPr>
        <w:t>not</w:t>
      </w:r>
      <w:r>
        <w:rPr>
          <w:color w:val="000000"/>
          <w:spacing w:val="-3"/>
          <w:shd w:fill="FFFF00" w:color="auto" w:val="clear"/>
        </w:rPr>
        <w:t> </w:t>
      </w:r>
      <w:r>
        <w:rPr>
          <w:color w:val="000000"/>
          <w:shd w:fill="FFFF00" w:color="auto" w:val="clear"/>
        </w:rPr>
        <w:t>evaluated,</w:t>
      </w:r>
      <w:r>
        <w:rPr>
          <w:color w:val="000000"/>
          <w:spacing w:val="-3"/>
          <w:shd w:fill="FFFF00" w:color="auto" w:val="clear"/>
        </w:rPr>
        <w:t> </w:t>
      </w:r>
      <w:r>
        <w:rPr>
          <w:color w:val="000000"/>
          <w:shd w:fill="FFFF00" w:color="auto" w:val="clear"/>
        </w:rPr>
        <w:t>or</w:t>
      </w:r>
      <w:r>
        <w:rPr>
          <w:color w:val="000000"/>
          <w:spacing w:val="-3"/>
          <w:shd w:fill="FFFF00" w:color="auto" w:val="clear"/>
        </w:rPr>
        <w:t> </w:t>
      </w:r>
      <w:r>
        <w:rPr>
          <w:color w:val="000000"/>
          <w:shd w:fill="FFFF00" w:color="auto" w:val="clear"/>
        </w:rPr>
        <w:t>lower</w:t>
      </w:r>
      <w:r>
        <w:rPr>
          <w:color w:val="000000"/>
          <w:spacing w:val="-3"/>
          <w:shd w:fill="FFFF00" w:color="auto" w:val="clear"/>
        </w:rPr>
        <w:t> </w:t>
      </w:r>
      <w:r>
        <w:rPr>
          <w:color w:val="000000"/>
          <w:shd w:fill="FFFF00" w:color="auto" w:val="clear"/>
        </w:rPr>
        <w:t>than</w:t>
      </w:r>
      <w:r>
        <w:rPr>
          <w:color w:val="000000"/>
          <w:spacing w:val="-4"/>
          <w:shd w:fill="FFFF00" w:color="auto" w:val="clear"/>
        </w:rPr>
        <w:t> </w:t>
      </w:r>
      <w:r>
        <w:rPr>
          <w:color w:val="000000"/>
          <w:shd w:fill="FFFF00" w:color="auto" w:val="clear"/>
        </w:rPr>
        <w:t>95%</w:t>
      </w:r>
      <w:r>
        <w:rPr>
          <w:color w:val="000000"/>
        </w:rPr>
        <w:t> </w:t>
      </w:r>
      <w:r>
        <w:rPr>
          <w:color w:val="000000"/>
          <w:shd w:fill="FFFF00" w:color="auto" w:val="clear"/>
        </w:rPr>
        <w:t>specificity is observed, describe the cross-reactivity testing performed to evaluate</w:t>
      </w:r>
      <w:r>
        <w:rPr>
          <w:color w:val="000000"/>
          <w:spacing w:val="40"/>
        </w:rPr>
        <w:t> </w:t>
      </w:r>
      <w:r>
        <w:rPr>
          <w:color w:val="000000"/>
          <w:shd w:fill="FFFF00" w:color="auto" w:val="clear"/>
        </w:rPr>
        <w:t>the cross-reactants in the table above. Please include in your description the</w:t>
      </w:r>
      <w:r>
        <w:rPr>
          <w:color w:val="000000"/>
        </w:rPr>
        <w:t> </w:t>
      </w:r>
      <w:r>
        <w:rPr>
          <w:color w:val="000000"/>
          <w:shd w:fill="FFFF00" w:color="auto" w:val="clear"/>
        </w:rPr>
        <w:t>number of samples tested and how samples were prepared.]</w:t>
      </w:r>
    </w:p>
    <w:p>
      <w:pPr>
        <w:pStyle w:val="BodyText"/>
        <w:rPr>
          <w:rFonts w:ascii="TimesNewRomanPS-BoldItalicMT"/>
          <w:b/>
          <w:i/>
        </w:rPr>
      </w:pPr>
    </w:p>
    <w:p>
      <w:pPr>
        <w:pStyle w:val="Heading5"/>
        <w:ind w:left="1240" w:right="278"/>
      </w:pPr>
      <w:r>
        <w:rPr/>
        <w:t>If</w:t>
      </w:r>
      <w:r>
        <w:rPr>
          <w:spacing w:val="-3"/>
        </w:rPr>
        <w:t> </w:t>
      </w:r>
      <w:r>
        <w:rPr/>
        <w:t>testing</w:t>
      </w:r>
      <w:r>
        <w:rPr>
          <w:spacing w:val="-3"/>
        </w:rPr>
        <w:t> </w:t>
      </w:r>
      <w:r>
        <w:rPr/>
        <w:t>of</w:t>
      </w:r>
      <w:r>
        <w:rPr>
          <w:spacing w:val="-4"/>
        </w:rPr>
        <w:t> </w:t>
      </w:r>
      <w:r>
        <w:rPr/>
        <w:t>the</w:t>
      </w:r>
      <w:r>
        <w:rPr>
          <w:spacing w:val="-3"/>
        </w:rPr>
        <w:t> </w:t>
      </w:r>
      <w:r>
        <w:rPr/>
        <w:t>cross-reactants</w:t>
      </w:r>
      <w:r>
        <w:rPr>
          <w:spacing w:val="-4"/>
        </w:rPr>
        <w:t> </w:t>
      </w:r>
      <w:r>
        <w:rPr/>
        <w:t>is</w:t>
      </w:r>
      <w:r>
        <w:rPr>
          <w:spacing w:val="-4"/>
        </w:rPr>
        <w:t> </w:t>
      </w:r>
      <w:r>
        <w:rPr/>
        <w:t>needed</w:t>
      </w:r>
      <w:r>
        <w:rPr>
          <w:spacing w:val="-4"/>
        </w:rPr>
        <w:t> </w:t>
      </w:r>
      <w:r>
        <w:rPr/>
        <w:t>to</w:t>
      </w:r>
      <w:r>
        <w:rPr>
          <w:spacing w:val="-3"/>
        </w:rPr>
        <w:t> </w:t>
      </w:r>
      <w:r>
        <w:rPr/>
        <w:t>demonstrate</w:t>
      </w:r>
      <w:r>
        <w:rPr>
          <w:spacing w:val="-4"/>
        </w:rPr>
        <w:t> </w:t>
      </w:r>
      <w:r>
        <w:rPr/>
        <w:t>cross-reactivity</w:t>
      </w:r>
      <w:r>
        <w:rPr>
          <w:spacing w:val="-3"/>
        </w:rPr>
        <w:t> </w:t>
      </w:r>
      <w:r>
        <w:rPr/>
        <w:t>of</w:t>
      </w:r>
      <w:r>
        <w:rPr>
          <w:spacing w:val="-4"/>
        </w:rPr>
        <w:t> </w:t>
      </w:r>
      <w:r>
        <w:rPr/>
        <w:t>the test, FDA believes testing a minimum of 5 individual samples for each disease/infectious agent/antibody class listed above may be acceptable.</w:t>
      </w:r>
    </w:p>
    <w:p>
      <w:pPr>
        <w:pStyle w:val="BodyText"/>
        <w:rPr>
          <w:b/>
        </w:rPr>
      </w:pPr>
    </w:p>
    <w:p>
      <w:pPr>
        <w:pStyle w:val="Heading5"/>
        <w:ind w:left="1239" w:right="290"/>
      </w:pPr>
      <w:r>
        <w:rPr/>
        <w:t>If</w:t>
      </w:r>
      <w:r>
        <w:rPr>
          <w:spacing w:val="-3"/>
        </w:rPr>
        <w:t> </w:t>
      </w:r>
      <w:r>
        <w:rPr/>
        <w:t>natural</w:t>
      </w:r>
      <w:r>
        <w:rPr>
          <w:spacing w:val="-3"/>
        </w:rPr>
        <w:t> </w:t>
      </w:r>
      <w:r>
        <w:rPr/>
        <w:t>specimens</w:t>
      </w:r>
      <w:r>
        <w:rPr>
          <w:spacing w:val="-3"/>
        </w:rPr>
        <w:t> </w:t>
      </w:r>
      <w:r>
        <w:rPr/>
        <w:t>are</w:t>
      </w:r>
      <w:r>
        <w:rPr>
          <w:spacing w:val="-3"/>
        </w:rPr>
        <w:t> </w:t>
      </w:r>
      <w:r>
        <w:rPr/>
        <w:t>used,</w:t>
      </w:r>
      <w:r>
        <w:rPr>
          <w:spacing w:val="-3"/>
        </w:rPr>
        <w:t> </w:t>
      </w:r>
      <w:r>
        <w:rPr/>
        <w:t>it</w:t>
      </w:r>
      <w:r>
        <w:rPr>
          <w:spacing w:val="-4"/>
        </w:rPr>
        <w:t> </w:t>
      </w:r>
      <w:r>
        <w:rPr/>
        <w:t>is</w:t>
      </w:r>
      <w:r>
        <w:rPr>
          <w:spacing w:val="-4"/>
        </w:rPr>
        <w:t> </w:t>
      </w:r>
      <w:r>
        <w:rPr/>
        <w:t>important</w:t>
      </w:r>
      <w:r>
        <w:rPr>
          <w:spacing w:val="-4"/>
        </w:rPr>
        <w:t> </w:t>
      </w:r>
      <w:r>
        <w:rPr/>
        <w:t>to</w:t>
      </w:r>
      <w:r>
        <w:rPr>
          <w:spacing w:val="-3"/>
        </w:rPr>
        <w:t> </w:t>
      </w:r>
      <w:r>
        <w:rPr/>
        <w:t>assess</w:t>
      </w:r>
      <w:r>
        <w:rPr>
          <w:spacing w:val="-4"/>
        </w:rPr>
        <w:t> </w:t>
      </w:r>
      <w:r>
        <w:rPr/>
        <w:t>cross</w:t>
      </w:r>
      <w:r>
        <w:rPr>
          <w:spacing w:val="-3"/>
        </w:rPr>
        <w:t> </w:t>
      </w:r>
      <w:r>
        <w:rPr/>
        <w:t>reactivity</w:t>
      </w:r>
      <w:r>
        <w:rPr>
          <w:spacing w:val="-3"/>
        </w:rPr>
        <w:t> </w:t>
      </w:r>
      <w:r>
        <w:rPr/>
        <w:t>using</w:t>
      </w:r>
      <w:r>
        <w:rPr>
          <w:spacing w:val="-3"/>
        </w:rPr>
        <w:t> </w:t>
      </w:r>
      <w:r>
        <w:rPr/>
        <w:t>sera from patients with the underlying diseases in the acute or convalescent stages of infection in order to obtain high levels of IgM or IgG for the underlying condition. If spiked samples with the IgM or IgG antibodies for the underlying conditions are prepared for this study, it is important to confirm that “negative samples” are SARS-CoV-2 IgM and IgG seronegative with the candidate assay </w:t>
      </w:r>
      <w:r>
        <w:rPr>
          <w:u w:val="thick"/>
        </w:rPr>
        <w:t>prior</w:t>
      </w:r>
      <w:r>
        <w:rPr>
          <w:spacing w:val="-3"/>
        </w:rPr>
        <w:t> </w:t>
      </w:r>
      <w:r>
        <w:rPr/>
        <w:t>to</w:t>
      </w:r>
      <w:r>
        <w:rPr>
          <w:spacing w:val="-3"/>
        </w:rPr>
        <w:t> </w:t>
      </w:r>
      <w:r>
        <w:rPr/>
        <w:t>spiking.</w:t>
      </w:r>
      <w:r>
        <w:rPr>
          <w:spacing w:val="-3"/>
        </w:rPr>
        <w:t> </w:t>
      </w:r>
      <w:r>
        <w:rPr/>
        <w:t>Additionally,</w:t>
      </w:r>
      <w:r>
        <w:rPr>
          <w:spacing w:val="-3"/>
        </w:rPr>
        <w:t> </w:t>
      </w:r>
      <w:r>
        <w:rPr/>
        <w:t>commercially</w:t>
      </w:r>
      <w:r>
        <w:rPr>
          <w:spacing w:val="-3"/>
        </w:rPr>
        <w:t> </w:t>
      </w:r>
      <w:r>
        <w:rPr/>
        <w:t>available</w:t>
      </w:r>
      <w:r>
        <w:rPr>
          <w:spacing w:val="-3"/>
        </w:rPr>
        <w:t> </w:t>
      </w:r>
      <w:r>
        <w:rPr/>
        <w:t>IgM</w:t>
      </w:r>
      <w:r>
        <w:rPr>
          <w:spacing w:val="-3"/>
        </w:rPr>
        <w:t> </w:t>
      </w:r>
      <w:r>
        <w:rPr/>
        <w:t>or</w:t>
      </w:r>
      <w:r>
        <w:rPr>
          <w:spacing w:val="-3"/>
        </w:rPr>
        <w:t> </w:t>
      </w:r>
      <w:r>
        <w:rPr/>
        <w:t>IgG</w:t>
      </w:r>
      <w:r>
        <w:rPr>
          <w:spacing w:val="-3"/>
        </w:rPr>
        <w:t> </w:t>
      </w:r>
      <w:r>
        <w:rPr/>
        <w:t>antibodies</w:t>
      </w:r>
      <w:r>
        <w:rPr>
          <w:spacing w:val="-3"/>
        </w:rPr>
        <w:t> </w:t>
      </w:r>
      <w:r>
        <w:rPr/>
        <w:t>for the underlying conditions panels may be acceptable if collected prior to the COVID-19 pandemic to ensure the panels are SARS-CoV-2 antibody negative.</w:t>
      </w:r>
    </w:p>
    <w:p>
      <w:pPr>
        <w:pStyle w:val="BodyText"/>
        <w:rPr>
          <w:b/>
        </w:rPr>
      </w:pPr>
    </w:p>
    <w:p>
      <w:pPr>
        <w:pStyle w:val="Heading5"/>
        <w:spacing w:before="1"/>
        <w:ind w:left="1240"/>
      </w:pPr>
      <w:r>
        <w:rPr/>
        <w:t>We recommend you present your results in the following suggested table and calculate</w:t>
      </w:r>
      <w:r>
        <w:rPr>
          <w:spacing w:val="-4"/>
        </w:rPr>
        <w:t> </w:t>
      </w:r>
      <w:r>
        <w:rPr/>
        <w:t>agreement</w:t>
      </w:r>
      <w:r>
        <w:rPr>
          <w:spacing w:val="-4"/>
        </w:rPr>
        <w:t> </w:t>
      </w:r>
      <w:r>
        <w:rPr/>
        <w:t>between</w:t>
      </w:r>
      <w:r>
        <w:rPr>
          <w:spacing w:val="-5"/>
        </w:rPr>
        <w:t> </w:t>
      </w:r>
      <w:r>
        <w:rPr/>
        <w:t>the</w:t>
      </w:r>
      <w:r>
        <w:rPr>
          <w:spacing w:val="-4"/>
        </w:rPr>
        <w:t> </w:t>
      </w:r>
      <w:r>
        <w:rPr/>
        <w:t>candidate</w:t>
      </w:r>
      <w:r>
        <w:rPr>
          <w:spacing w:val="-4"/>
        </w:rPr>
        <w:t> </w:t>
      </w:r>
      <w:r>
        <w:rPr/>
        <w:t>test</w:t>
      </w:r>
      <w:r>
        <w:rPr>
          <w:spacing w:val="-5"/>
        </w:rPr>
        <w:t> </w:t>
      </w:r>
      <w:r>
        <w:rPr/>
        <w:t>result</w:t>
      </w:r>
      <w:r>
        <w:rPr>
          <w:spacing w:val="-4"/>
        </w:rPr>
        <w:t> </w:t>
      </w:r>
      <w:r>
        <w:rPr/>
        <w:t>and</w:t>
      </w:r>
      <w:r>
        <w:rPr>
          <w:spacing w:val="-6"/>
        </w:rPr>
        <w:t> </w:t>
      </w:r>
      <w:r>
        <w:rPr/>
        <w:t>the</w:t>
      </w:r>
      <w:r>
        <w:rPr>
          <w:spacing w:val="-4"/>
        </w:rPr>
        <w:t> </w:t>
      </w:r>
      <w:r>
        <w:rPr/>
        <w:t>expected</w:t>
      </w:r>
      <w:r>
        <w:rPr>
          <w:spacing w:val="-5"/>
        </w:rPr>
        <w:t> </w:t>
      </w:r>
      <w:r>
        <w:rPr/>
        <w:t>result.</w:t>
      </w:r>
    </w:p>
    <w:p>
      <w:pPr>
        <w:pStyle w:val="BodyText"/>
        <w:spacing w:before="2"/>
        <w:rPr>
          <w:b/>
          <w:sz w:val="16"/>
        </w:rPr>
      </w:pPr>
    </w:p>
    <w:p>
      <w:pPr>
        <w:pStyle w:val="Heading5"/>
        <w:spacing w:before="90"/>
        <w:ind w:left="1240" w:right="278"/>
      </w:pPr>
      <w:r>
        <w:rPr/>
        <w:t>Table</w:t>
      </w:r>
      <w:r>
        <w:rPr>
          <w:spacing w:val="-4"/>
        </w:rPr>
        <w:t> </w:t>
      </w:r>
      <w:r>
        <w:rPr/>
        <w:t>Cross-Reactivity:</w:t>
      </w:r>
      <w:r>
        <w:rPr>
          <w:spacing w:val="-4"/>
        </w:rPr>
        <w:t> </w:t>
      </w:r>
      <w:r>
        <w:rPr>
          <w:rFonts w:ascii="TimesNewRomanPS-BoldItalicMT"/>
          <w:i/>
          <w:color w:val="000000"/>
          <w:shd w:fill="FFFF00" w:color="auto" w:val="clear"/>
        </w:rPr>
        <w:t>[test</w:t>
      </w:r>
      <w:r>
        <w:rPr>
          <w:rFonts w:ascii="TimesNewRomanPS-BoldItalicMT"/>
          <w:i/>
          <w:color w:val="000000"/>
          <w:spacing w:val="-4"/>
          <w:shd w:fill="FFFF00" w:color="auto" w:val="clear"/>
        </w:rPr>
        <w:t> </w:t>
      </w:r>
      <w:r>
        <w:rPr>
          <w:rFonts w:ascii="TimesNewRomanPS-BoldItalicMT"/>
          <w:i/>
          <w:color w:val="000000"/>
          <w:shd w:fill="FFFF00" w:color="auto" w:val="clear"/>
        </w:rPr>
        <w:t>name]</w:t>
      </w:r>
      <w:r>
        <w:rPr>
          <w:rFonts w:ascii="TimesNewRomanPS-BoldItalicMT"/>
          <w:i/>
          <w:color w:val="000000"/>
          <w:spacing w:val="-4"/>
        </w:rPr>
        <w:t> </w:t>
      </w:r>
      <w:r>
        <w:rPr>
          <w:color w:val="000000"/>
        </w:rPr>
        <w:t>example</w:t>
      </w:r>
      <w:r>
        <w:rPr>
          <w:color w:val="000000"/>
          <w:spacing w:val="-5"/>
        </w:rPr>
        <w:t> </w:t>
      </w:r>
      <w:r>
        <w:rPr>
          <w:color w:val="000000"/>
        </w:rPr>
        <w:t>table</w:t>
      </w:r>
      <w:r>
        <w:rPr>
          <w:color w:val="000000"/>
          <w:spacing w:val="-4"/>
        </w:rPr>
        <w:t> </w:t>
      </w:r>
      <w:r>
        <w:rPr>
          <w:color w:val="000000"/>
        </w:rPr>
        <w:t>for</w:t>
      </w:r>
      <w:r>
        <w:rPr>
          <w:color w:val="000000"/>
          <w:spacing w:val="-4"/>
        </w:rPr>
        <w:t> </w:t>
      </w:r>
      <w:r>
        <w:rPr>
          <w:color w:val="000000"/>
        </w:rPr>
        <w:t>wet</w:t>
      </w:r>
      <w:r>
        <w:rPr>
          <w:color w:val="000000"/>
          <w:spacing w:val="-4"/>
        </w:rPr>
        <w:t> </w:t>
      </w:r>
      <w:r>
        <w:rPr>
          <w:color w:val="000000"/>
        </w:rPr>
        <w:t>tested</w:t>
      </w:r>
      <w:r>
        <w:rPr>
          <w:color w:val="000000"/>
          <w:spacing w:val="-5"/>
        </w:rPr>
        <w:t> </w:t>
      </w:r>
      <w:r>
        <w:rPr>
          <w:color w:val="000000"/>
        </w:rPr>
        <w:t>organisms </w:t>
      </w:r>
      <w:r>
        <w:rPr>
          <w:color w:val="000000"/>
          <w:spacing w:val="-2"/>
        </w:rPr>
        <w:t>below:</w:t>
      </w:r>
    </w:p>
    <w:tbl>
      <w:tblPr>
        <w:tblW w:w="0" w:type="auto"/>
        <w:jc w:val="left"/>
        <w:tblInd w:w="1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590"/>
        <w:gridCol w:w="2340"/>
        <w:gridCol w:w="1260"/>
      </w:tblGrid>
      <w:tr>
        <w:trPr>
          <w:trHeight w:val="275" w:hRule="atLeast"/>
        </w:trPr>
        <w:tc>
          <w:tcPr>
            <w:tcW w:w="4590" w:type="dxa"/>
          </w:tcPr>
          <w:p>
            <w:pPr>
              <w:pStyle w:val="TableParagraph"/>
              <w:spacing w:line="255" w:lineRule="exact"/>
              <w:ind w:left="154"/>
              <w:jc w:val="left"/>
              <w:rPr>
                <w:b/>
                <w:sz w:val="24"/>
              </w:rPr>
            </w:pPr>
            <w:r>
              <w:rPr>
                <w:b/>
                <w:sz w:val="24"/>
              </w:rPr>
              <w:t>Virus/Bacteria/Parasite</w:t>
            </w:r>
            <w:r>
              <w:rPr>
                <w:b/>
                <w:spacing w:val="-6"/>
                <w:sz w:val="24"/>
              </w:rPr>
              <w:t> </w:t>
            </w:r>
            <w:r>
              <w:rPr>
                <w:b/>
                <w:sz w:val="24"/>
              </w:rPr>
              <w:t>Antibody</w:t>
            </w:r>
            <w:r>
              <w:rPr>
                <w:b/>
                <w:spacing w:val="-5"/>
                <w:sz w:val="24"/>
              </w:rPr>
              <w:t> </w:t>
            </w:r>
            <w:r>
              <w:rPr>
                <w:b/>
                <w:spacing w:val="-2"/>
                <w:sz w:val="24"/>
              </w:rPr>
              <w:t>positive</w:t>
            </w:r>
          </w:p>
        </w:tc>
        <w:tc>
          <w:tcPr>
            <w:tcW w:w="2340" w:type="dxa"/>
          </w:tcPr>
          <w:p>
            <w:pPr>
              <w:pStyle w:val="TableParagraph"/>
              <w:spacing w:line="255" w:lineRule="exact"/>
              <w:ind w:left="122"/>
              <w:jc w:val="left"/>
              <w:rPr>
                <w:b/>
                <w:sz w:val="24"/>
              </w:rPr>
            </w:pPr>
            <w:r>
              <w:rPr>
                <w:b/>
                <w:sz w:val="24"/>
              </w:rPr>
              <w:t>Source/</w:t>
            </w:r>
            <w:r>
              <w:rPr>
                <w:b/>
                <w:spacing w:val="-4"/>
                <w:sz w:val="24"/>
              </w:rPr>
              <w:t> </w:t>
            </w:r>
            <w:r>
              <w:rPr>
                <w:b/>
                <w:sz w:val="24"/>
              </w:rPr>
              <w:t>Sample</w:t>
            </w:r>
            <w:r>
              <w:rPr>
                <w:b/>
                <w:spacing w:val="-2"/>
                <w:sz w:val="24"/>
              </w:rPr>
              <w:t> </w:t>
            </w:r>
            <w:r>
              <w:rPr>
                <w:b/>
                <w:spacing w:val="-4"/>
                <w:sz w:val="24"/>
              </w:rPr>
              <w:t>type</w:t>
            </w:r>
          </w:p>
        </w:tc>
        <w:tc>
          <w:tcPr>
            <w:tcW w:w="1260" w:type="dxa"/>
          </w:tcPr>
          <w:p>
            <w:pPr>
              <w:pStyle w:val="TableParagraph"/>
              <w:spacing w:line="255" w:lineRule="exact"/>
              <w:ind w:left="196"/>
              <w:jc w:val="left"/>
              <w:rPr>
                <w:b/>
                <w:sz w:val="24"/>
              </w:rPr>
            </w:pPr>
            <w:r>
              <w:rPr>
                <w:b/>
                <w:spacing w:val="-2"/>
                <w:sz w:val="24"/>
              </w:rPr>
              <w:t>Results*</w:t>
            </w:r>
          </w:p>
        </w:tc>
      </w:tr>
      <w:tr>
        <w:trPr>
          <w:trHeight w:val="275" w:hRule="atLeast"/>
        </w:trPr>
        <w:tc>
          <w:tcPr>
            <w:tcW w:w="4590" w:type="dxa"/>
          </w:tcPr>
          <w:p>
            <w:pPr>
              <w:pStyle w:val="TableParagraph"/>
              <w:jc w:val="left"/>
              <w:rPr>
                <w:sz w:val="20"/>
              </w:rPr>
            </w:pPr>
          </w:p>
        </w:tc>
        <w:tc>
          <w:tcPr>
            <w:tcW w:w="2340" w:type="dxa"/>
          </w:tcPr>
          <w:p>
            <w:pPr>
              <w:pStyle w:val="TableParagraph"/>
              <w:jc w:val="left"/>
              <w:rPr>
                <w:sz w:val="20"/>
              </w:rPr>
            </w:pPr>
          </w:p>
        </w:tc>
        <w:tc>
          <w:tcPr>
            <w:tcW w:w="1260" w:type="dxa"/>
          </w:tcPr>
          <w:p>
            <w:pPr>
              <w:pStyle w:val="TableParagraph"/>
              <w:jc w:val="left"/>
              <w:rPr>
                <w:sz w:val="20"/>
              </w:rPr>
            </w:pPr>
          </w:p>
        </w:tc>
      </w:tr>
      <w:tr>
        <w:trPr>
          <w:trHeight w:val="276" w:hRule="atLeast"/>
        </w:trPr>
        <w:tc>
          <w:tcPr>
            <w:tcW w:w="4590" w:type="dxa"/>
          </w:tcPr>
          <w:p>
            <w:pPr>
              <w:pStyle w:val="TableParagraph"/>
              <w:jc w:val="left"/>
              <w:rPr>
                <w:sz w:val="20"/>
              </w:rPr>
            </w:pPr>
          </w:p>
        </w:tc>
        <w:tc>
          <w:tcPr>
            <w:tcW w:w="2340" w:type="dxa"/>
          </w:tcPr>
          <w:p>
            <w:pPr>
              <w:pStyle w:val="TableParagraph"/>
              <w:jc w:val="left"/>
              <w:rPr>
                <w:sz w:val="20"/>
              </w:rPr>
            </w:pPr>
          </w:p>
        </w:tc>
        <w:tc>
          <w:tcPr>
            <w:tcW w:w="1260" w:type="dxa"/>
          </w:tcPr>
          <w:p>
            <w:pPr>
              <w:pStyle w:val="TableParagraph"/>
              <w:jc w:val="left"/>
              <w:rPr>
                <w:sz w:val="20"/>
              </w:rPr>
            </w:pPr>
          </w:p>
        </w:tc>
      </w:tr>
      <w:tr>
        <w:trPr>
          <w:trHeight w:val="275" w:hRule="atLeast"/>
        </w:trPr>
        <w:tc>
          <w:tcPr>
            <w:tcW w:w="4590" w:type="dxa"/>
          </w:tcPr>
          <w:p>
            <w:pPr>
              <w:pStyle w:val="TableParagraph"/>
              <w:jc w:val="left"/>
              <w:rPr>
                <w:sz w:val="20"/>
              </w:rPr>
            </w:pPr>
          </w:p>
        </w:tc>
        <w:tc>
          <w:tcPr>
            <w:tcW w:w="2340" w:type="dxa"/>
          </w:tcPr>
          <w:p>
            <w:pPr>
              <w:pStyle w:val="TableParagraph"/>
              <w:jc w:val="left"/>
              <w:rPr>
                <w:sz w:val="20"/>
              </w:rPr>
            </w:pPr>
          </w:p>
        </w:tc>
        <w:tc>
          <w:tcPr>
            <w:tcW w:w="1260" w:type="dxa"/>
          </w:tcPr>
          <w:p>
            <w:pPr>
              <w:pStyle w:val="TableParagraph"/>
              <w:jc w:val="left"/>
              <w:rPr>
                <w:sz w:val="20"/>
              </w:rPr>
            </w:pPr>
          </w:p>
        </w:tc>
      </w:tr>
    </w:tbl>
    <w:p>
      <w:pPr>
        <w:pStyle w:val="Heading5"/>
        <w:spacing w:before="2"/>
        <w:ind w:left="1240"/>
      </w:pPr>
      <w:r>
        <w:rPr/>
        <w:t>*If</w:t>
      </w:r>
      <w:r>
        <w:rPr>
          <w:spacing w:val="-4"/>
        </w:rPr>
        <w:t> </w:t>
      </w:r>
      <w:r>
        <w:rPr/>
        <w:t>applicable,</w:t>
      </w:r>
      <w:r>
        <w:rPr>
          <w:spacing w:val="-2"/>
        </w:rPr>
        <w:t> </w:t>
      </w:r>
      <w:r>
        <w:rPr/>
        <w:t>please</w:t>
      </w:r>
      <w:r>
        <w:rPr>
          <w:spacing w:val="-3"/>
        </w:rPr>
        <w:t> </w:t>
      </w:r>
      <w:r>
        <w:rPr/>
        <w:t>include</w:t>
      </w:r>
      <w:r>
        <w:rPr>
          <w:spacing w:val="-2"/>
        </w:rPr>
        <w:t> </w:t>
      </w:r>
      <w:r>
        <w:rPr/>
        <w:t>the</w:t>
      </w:r>
      <w:r>
        <w:rPr>
          <w:spacing w:val="-1"/>
        </w:rPr>
        <w:t> </w:t>
      </w:r>
      <w:r>
        <w:rPr/>
        <w:t>signal</w:t>
      </w:r>
      <w:r>
        <w:rPr>
          <w:spacing w:val="-2"/>
        </w:rPr>
        <w:t> </w:t>
      </w:r>
      <w:r>
        <w:rPr/>
        <w:t>output</w:t>
      </w:r>
      <w:r>
        <w:rPr>
          <w:spacing w:val="-2"/>
        </w:rPr>
        <w:t> </w:t>
      </w:r>
      <w:r>
        <w:rPr/>
        <w:t>for</w:t>
      </w:r>
      <w:r>
        <w:rPr>
          <w:spacing w:val="-2"/>
        </w:rPr>
        <w:t> </w:t>
      </w:r>
      <w:r>
        <w:rPr/>
        <w:t>your</w:t>
      </w:r>
      <w:r>
        <w:rPr>
          <w:spacing w:val="-2"/>
        </w:rPr>
        <w:t> </w:t>
      </w:r>
      <w:r>
        <w:rPr/>
        <w:t>test’s</w:t>
      </w:r>
      <w:r>
        <w:rPr>
          <w:spacing w:val="-2"/>
        </w:rPr>
        <w:t> technology.</w:t>
      </w:r>
    </w:p>
    <w:p>
      <w:pPr>
        <w:pStyle w:val="BodyText"/>
        <w:spacing w:before="2"/>
        <w:rPr>
          <w:b/>
          <w:sz w:val="16"/>
        </w:rPr>
      </w:pPr>
    </w:p>
    <w:p>
      <w:pPr>
        <w:pStyle w:val="Heading6"/>
        <w:ind w:left="1240"/>
      </w:pPr>
      <w:r>
        <w:rPr>
          <w:color w:val="000000"/>
          <w:shd w:fill="FFFF00" w:color="auto" w:val="clear"/>
        </w:rPr>
        <w:t>[If your test exhibits significant cross-reactivity that would produce false positive</w:t>
      </w:r>
      <w:r>
        <w:rPr>
          <w:color w:val="000000"/>
          <w:spacing w:val="80"/>
        </w:rPr>
        <w:t> </w:t>
      </w:r>
      <w:bookmarkStart w:name="2) Class Specificity:" w:id="93"/>
      <w:bookmarkEnd w:id="93"/>
      <w:r>
        <w:rPr>
          <w:color w:val="000000"/>
        </w:rPr>
      </w:r>
      <w:r>
        <w:rPr>
          <w:color w:val="000000"/>
          <w:shd w:fill="FFFF00" w:color="auto" w:val="clear"/>
        </w:rPr>
        <w:t>results for any virus evaluated, please describe a plan to address this risk.]</w:t>
      </w:r>
    </w:p>
    <w:p>
      <w:pPr>
        <w:pStyle w:val="BodyText"/>
        <w:spacing w:before="10"/>
        <w:rPr>
          <w:rFonts w:ascii="TimesNewRomanPS-BoldItalicMT"/>
          <w:b/>
          <w:i/>
          <w:sz w:val="20"/>
        </w:rPr>
      </w:pPr>
    </w:p>
    <w:p>
      <w:pPr>
        <w:pStyle w:val="Heading6"/>
        <w:numPr>
          <w:ilvl w:val="1"/>
          <w:numId w:val="13"/>
        </w:numPr>
        <w:tabs>
          <w:tab w:pos="879" w:val="left" w:leader="none"/>
        </w:tabs>
        <w:spacing w:line="240" w:lineRule="auto" w:before="0" w:after="0"/>
        <w:ind w:left="879" w:right="0" w:hanging="359"/>
        <w:jc w:val="left"/>
      </w:pPr>
      <w:r>
        <w:rPr>
          <w:u w:val="thick"/>
        </w:rPr>
        <w:t>Class</w:t>
      </w:r>
      <w:r>
        <w:rPr>
          <w:spacing w:val="-1"/>
          <w:u w:val="thick"/>
        </w:rPr>
        <w:t> </w:t>
      </w:r>
      <w:r>
        <w:rPr>
          <w:spacing w:val="-2"/>
          <w:u w:val="thick"/>
        </w:rPr>
        <w:t>Specificity:</w:t>
      </w:r>
    </w:p>
    <w:p>
      <w:pPr>
        <w:spacing w:before="120"/>
        <w:ind w:left="880" w:right="675" w:firstLine="0"/>
        <w:jc w:val="both"/>
        <w:rPr>
          <w:rFonts w:ascii="TimesNewRomanPS-BoldItalicMT"/>
          <w:b/>
          <w:i/>
          <w:sz w:val="24"/>
        </w:rPr>
      </w:pPr>
      <w:r>
        <w:rPr>
          <w:b/>
          <w:sz w:val="24"/>
        </w:rPr>
        <w:t>If your test</w:t>
      </w:r>
      <w:r>
        <w:rPr>
          <w:b/>
          <w:spacing w:val="-1"/>
          <w:sz w:val="24"/>
        </w:rPr>
        <w:t> </w:t>
      </w:r>
      <w:r>
        <w:rPr>
          <w:b/>
          <w:sz w:val="24"/>
        </w:rPr>
        <w:t>is intended</w:t>
      </w:r>
      <w:r>
        <w:rPr>
          <w:b/>
          <w:spacing w:val="-2"/>
          <w:sz w:val="24"/>
        </w:rPr>
        <w:t> </w:t>
      </w:r>
      <w:r>
        <w:rPr>
          <w:b/>
          <w:sz w:val="24"/>
        </w:rPr>
        <w:t>for the detection</w:t>
      </w:r>
      <w:r>
        <w:rPr>
          <w:b/>
          <w:spacing w:val="-1"/>
          <w:sz w:val="24"/>
        </w:rPr>
        <w:t> </w:t>
      </w:r>
      <w:r>
        <w:rPr>
          <w:b/>
          <w:sz w:val="24"/>
        </w:rPr>
        <w:t>of</w:t>
      </w:r>
      <w:r>
        <w:rPr>
          <w:b/>
          <w:spacing w:val="-1"/>
          <w:sz w:val="24"/>
        </w:rPr>
        <w:t> </w:t>
      </w:r>
      <w:r>
        <w:rPr>
          <w:b/>
          <w:sz w:val="24"/>
        </w:rPr>
        <w:t>total antibody</w:t>
      </w:r>
      <w:r>
        <w:rPr>
          <w:b/>
          <w:spacing w:val="-2"/>
          <w:sz w:val="24"/>
        </w:rPr>
        <w:t> </w:t>
      </w:r>
      <w:r>
        <w:rPr>
          <w:b/>
          <w:sz w:val="24"/>
        </w:rPr>
        <w:t>with</w:t>
      </w:r>
      <w:r>
        <w:rPr>
          <w:b/>
          <w:spacing w:val="-1"/>
          <w:sz w:val="24"/>
        </w:rPr>
        <w:t> </w:t>
      </w:r>
      <w:r>
        <w:rPr>
          <w:b/>
          <w:sz w:val="24"/>
        </w:rPr>
        <w:t>no differentiation between</w:t>
      </w:r>
      <w:r>
        <w:rPr>
          <w:b/>
          <w:spacing w:val="-4"/>
          <w:sz w:val="24"/>
        </w:rPr>
        <w:t> </w:t>
      </w:r>
      <w:r>
        <w:rPr>
          <w:b/>
          <w:sz w:val="24"/>
        </w:rPr>
        <w:t>different</w:t>
      </w:r>
      <w:r>
        <w:rPr>
          <w:b/>
          <w:spacing w:val="-4"/>
          <w:sz w:val="24"/>
        </w:rPr>
        <w:t> </w:t>
      </w:r>
      <w:r>
        <w:rPr>
          <w:b/>
          <w:sz w:val="24"/>
        </w:rPr>
        <w:t>immunoglobulins,</w:t>
      </w:r>
      <w:r>
        <w:rPr>
          <w:b/>
          <w:spacing w:val="-3"/>
          <w:sz w:val="24"/>
        </w:rPr>
        <w:t> </w:t>
      </w:r>
      <w:r>
        <w:rPr>
          <w:b/>
          <w:sz w:val="24"/>
        </w:rPr>
        <w:t>then</w:t>
      </w:r>
      <w:r>
        <w:rPr>
          <w:b/>
          <w:spacing w:val="-4"/>
          <w:sz w:val="24"/>
        </w:rPr>
        <w:t> </w:t>
      </w:r>
      <w:r>
        <w:rPr>
          <w:b/>
          <w:sz w:val="24"/>
        </w:rPr>
        <w:t>this</w:t>
      </w:r>
      <w:r>
        <w:rPr>
          <w:b/>
          <w:spacing w:val="-4"/>
          <w:sz w:val="24"/>
        </w:rPr>
        <w:t> </w:t>
      </w:r>
      <w:r>
        <w:rPr>
          <w:b/>
          <w:sz w:val="24"/>
        </w:rPr>
        <w:t>study</w:t>
      </w:r>
      <w:r>
        <w:rPr>
          <w:b/>
          <w:spacing w:val="-3"/>
          <w:sz w:val="24"/>
        </w:rPr>
        <w:t> </w:t>
      </w:r>
      <w:r>
        <w:rPr>
          <w:b/>
          <w:sz w:val="24"/>
        </w:rPr>
        <w:t>does</w:t>
      </w:r>
      <w:r>
        <w:rPr>
          <w:b/>
          <w:spacing w:val="-3"/>
          <w:sz w:val="24"/>
        </w:rPr>
        <w:t> </w:t>
      </w:r>
      <w:r>
        <w:rPr>
          <w:b/>
          <w:sz w:val="24"/>
        </w:rPr>
        <w:t>not</w:t>
      </w:r>
      <w:r>
        <w:rPr>
          <w:b/>
          <w:spacing w:val="-3"/>
          <w:sz w:val="24"/>
        </w:rPr>
        <w:t> </w:t>
      </w:r>
      <w:r>
        <w:rPr>
          <w:b/>
          <w:sz w:val="24"/>
        </w:rPr>
        <w:t>apply.</w:t>
      </w:r>
      <w:r>
        <w:rPr>
          <w:b/>
          <w:spacing w:val="-3"/>
          <w:sz w:val="24"/>
        </w:rPr>
        <w:t> </w:t>
      </w:r>
      <w:r>
        <w:rPr>
          <w:rFonts w:ascii="TimesNewRomanPS-BoldItalicMT"/>
          <w:b/>
          <w:i/>
          <w:color w:val="000000"/>
          <w:sz w:val="24"/>
          <w:shd w:fill="FFFF00" w:color="auto" w:val="clear"/>
        </w:rPr>
        <w:t>[In</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this</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case,</w:t>
      </w:r>
      <w:r>
        <w:rPr>
          <w:rFonts w:ascii="TimesNewRomanPS-BoldItalicMT"/>
          <w:b/>
          <w:i/>
          <w:color w:val="000000"/>
          <w:sz w:val="24"/>
        </w:rPr>
        <w:t> </w:t>
      </w:r>
      <w:r>
        <w:rPr>
          <w:rFonts w:ascii="TimesNewRomanPS-BoldItalicMT"/>
          <w:b/>
          <w:i/>
          <w:color w:val="000000"/>
          <w:sz w:val="24"/>
          <w:shd w:fill="FFFF00" w:color="auto" w:val="clear"/>
        </w:rPr>
        <w:t>please indicate that this study is not applicable.]</w:t>
      </w:r>
    </w:p>
    <w:p>
      <w:pPr>
        <w:pStyle w:val="BodyText"/>
        <w:spacing w:before="2"/>
        <w:rPr>
          <w:rFonts w:ascii="TimesNewRomanPS-BoldItalicMT"/>
          <w:b/>
          <w:i/>
          <w:sz w:val="16"/>
        </w:rPr>
      </w:pPr>
    </w:p>
    <w:p>
      <w:pPr>
        <w:pStyle w:val="Heading6"/>
        <w:ind w:right="250"/>
      </w:pPr>
      <w:r>
        <w:rPr>
          <w:color w:val="000000"/>
          <w:shd w:fill="FFFF00" w:color="auto" w:val="clear"/>
        </w:rPr>
        <w:t>[If your test is intended for the detection of total antibody with no differentiation</w:t>
      </w:r>
      <w:r>
        <w:rPr>
          <w:color w:val="000000"/>
        </w:rPr>
        <w:t> </w:t>
      </w:r>
      <w:r>
        <w:rPr>
          <w:color w:val="000000"/>
          <w:shd w:fill="FFFF00" w:color="auto" w:val="clear"/>
        </w:rPr>
        <w:t>between</w:t>
      </w:r>
      <w:r>
        <w:rPr>
          <w:color w:val="000000"/>
          <w:spacing w:val="-5"/>
          <w:shd w:fill="FFFF00" w:color="auto" w:val="clear"/>
        </w:rPr>
        <w:t> </w:t>
      </w:r>
      <w:r>
        <w:rPr>
          <w:color w:val="000000"/>
          <w:shd w:fill="FFFF00" w:color="auto" w:val="clear"/>
        </w:rPr>
        <w:t>different</w:t>
      </w:r>
      <w:r>
        <w:rPr>
          <w:color w:val="000000"/>
          <w:spacing w:val="-4"/>
          <w:shd w:fill="FFFF00" w:color="auto" w:val="clear"/>
        </w:rPr>
        <w:t> </w:t>
      </w:r>
      <w:r>
        <w:rPr>
          <w:color w:val="000000"/>
          <w:shd w:fill="FFFF00" w:color="auto" w:val="clear"/>
        </w:rPr>
        <w:t>immunoglobulins,</w:t>
      </w:r>
      <w:r>
        <w:rPr>
          <w:color w:val="000000"/>
          <w:spacing w:val="-4"/>
          <w:shd w:fill="FFFF00" w:color="auto" w:val="clear"/>
        </w:rPr>
        <w:t> </w:t>
      </w:r>
      <w:r>
        <w:rPr>
          <w:color w:val="000000"/>
          <w:shd w:fill="FFFF00" w:color="auto" w:val="clear"/>
        </w:rPr>
        <w:t>then</w:t>
      </w:r>
      <w:r>
        <w:rPr>
          <w:color w:val="000000"/>
          <w:spacing w:val="-5"/>
          <w:shd w:fill="FFFF00" w:color="auto" w:val="clear"/>
        </w:rPr>
        <w:t> </w:t>
      </w:r>
      <w:r>
        <w:rPr>
          <w:color w:val="000000"/>
          <w:shd w:fill="FFFF00" w:color="auto" w:val="clear"/>
        </w:rPr>
        <w:t>this</w:t>
      </w:r>
      <w:r>
        <w:rPr>
          <w:color w:val="000000"/>
          <w:spacing w:val="-4"/>
          <w:shd w:fill="FFFF00" w:color="auto" w:val="clear"/>
        </w:rPr>
        <w:t> </w:t>
      </w:r>
      <w:r>
        <w:rPr>
          <w:color w:val="000000"/>
          <w:shd w:fill="FFFF00" w:color="auto" w:val="clear"/>
        </w:rPr>
        <w:t>study</w:t>
      </w:r>
      <w:r>
        <w:rPr>
          <w:color w:val="000000"/>
          <w:spacing w:val="-4"/>
          <w:shd w:fill="FFFF00" w:color="auto" w:val="clear"/>
        </w:rPr>
        <w:t> </w:t>
      </w:r>
      <w:r>
        <w:rPr>
          <w:color w:val="000000"/>
          <w:shd w:fill="FFFF00" w:color="auto" w:val="clear"/>
        </w:rPr>
        <w:t>does</w:t>
      </w:r>
      <w:r>
        <w:rPr>
          <w:color w:val="000000"/>
          <w:spacing w:val="-4"/>
          <w:shd w:fill="FFFF00" w:color="auto" w:val="clear"/>
        </w:rPr>
        <w:t> </w:t>
      </w:r>
      <w:r>
        <w:rPr>
          <w:color w:val="000000"/>
          <w:shd w:fill="FFFF00" w:color="auto" w:val="clear"/>
        </w:rPr>
        <w:t>not</w:t>
      </w:r>
      <w:r>
        <w:rPr>
          <w:color w:val="000000"/>
          <w:spacing w:val="-4"/>
          <w:shd w:fill="FFFF00" w:color="auto" w:val="clear"/>
        </w:rPr>
        <w:t> </w:t>
      </w:r>
      <w:r>
        <w:rPr>
          <w:color w:val="000000"/>
          <w:shd w:fill="FFFF00" w:color="auto" w:val="clear"/>
        </w:rPr>
        <w:t>apply.</w:t>
      </w:r>
      <w:r>
        <w:rPr>
          <w:color w:val="000000"/>
          <w:spacing w:val="-4"/>
          <w:shd w:fill="FFFF00" w:color="auto" w:val="clear"/>
        </w:rPr>
        <w:t> </w:t>
      </w:r>
      <w:r>
        <w:rPr>
          <w:color w:val="000000"/>
          <w:shd w:fill="FFFF00" w:color="auto" w:val="clear"/>
        </w:rPr>
        <w:t>Please</w:t>
      </w:r>
      <w:r>
        <w:rPr>
          <w:color w:val="000000"/>
          <w:spacing w:val="-4"/>
          <w:shd w:fill="FFFF00" w:color="auto" w:val="clear"/>
        </w:rPr>
        <w:t> </w:t>
      </w:r>
      <w:r>
        <w:rPr>
          <w:color w:val="000000"/>
          <w:shd w:fill="FFFF00" w:color="auto" w:val="clear"/>
        </w:rPr>
        <w:t>indicate</w:t>
      </w:r>
      <w:r>
        <w:rPr>
          <w:color w:val="000000"/>
          <w:spacing w:val="-5"/>
          <w:shd w:fill="FFFF00" w:color="auto" w:val="clear"/>
        </w:rPr>
        <w:t> </w:t>
      </w:r>
      <w:r>
        <w:rPr>
          <w:color w:val="000000"/>
          <w:shd w:fill="FFFF00" w:color="auto" w:val="clear"/>
        </w:rPr>
        <w:t>not</w:t>
      </w:r>
      <w:r>
        <w:rPr>
          <w:color w:val="000000"/>
        </w:rPr>
        <w:t> </w:t>
      </w:r>
      <w:r>
        <w:rPr>
          <w:color w:val="000000"/>
          <w:spacing w:val="-2"/>
          <w:shd w:fill="FFFF00" w:color="auto" w:val="clear"/>
        </w:rPr>
        <w:t>applicable.</w:t>
      </w:r>
    </w:p>
    <w:p>
      <w:pPr>
        <w:spacing w:after="0"/>
        <w:sectPr>
          <w:pgSz w:w="12240" w:h="15840"/>
          <w:pgMar w:header="731" w:footer="785" w:top="1360" w:bottom="980" w:left="1280" w:right="1200"/>
        </w:sectPr>
      </w:pPr>
    </w:p>
    <w:p>
      <w:pPr>
        <w:pStyle w:val="Heading6"/>
        <w:spacing w:before="80"/>
      </w:pPr>
      <w:r>
        <w:rPr>
          <w:color w:val="000000"/>
          <w:shd w:fill="FFFF00" w:color="auto" w:val="clear"/>
        </w:rPr>
        <w:t>If</w:t>
      </w:r>
      <w:r>
        <w:rPr>
          <w:color w:val="000000"/>
          <w:spacing w:val="-4"/>
          <w:shd w:fill="FFFF00" w:color="auto" w:val="clear"/>
        </w:rPr>
        <w:t> </w:t>
      </w:r>
      <w:r>
        <w:rPr>
          <w:color w:val="000000"/>
          <w:shd w:fill="FFFF00" w:color="auto" w:val="clear"/>
        </w:rPr>
        <w:t>your</w:t>
      </w:r>
      <w:r>
        <w:rPr>
          <w:color w:val="000000"/>
          <w:spacing w:val="-4"/>
          <w:shd w:fill="FFFF00" w:color="auto" w:val="clear"/>
        </w:rPr>
        <w:t> </w:t>
      </w:r>
      <w:r>
        <w:rPr>
          <w:color w:val="000000"/>
          <w:shd w:fill="FFFF00" w:color="auto" w:val="clear"/>
        </w:rPr>
        <w:t>test</w:t>
      </w:r>
      <w:r>
        <w:rPr>
          <w:color w:val="000000"/>
          <w:spacing w:val="-4"/>
          <w:shd w:fill="FFFF00" w:color="auto" w:val="clear"/>
        </w:rPr>
        <w:t> </w:t>
      </w:r>
      <w:r>
        <w:rPr>
          <w:color w:val="000000"/>
          <w:shd w:fill="FFFF00" w:color="auto" w:val="clear"/>
        </w:rPr>
        <w:t>is</w:t>
      </w:r>
      <w:r>
        <w:rPr>
          <w:color w:val="000000"/>
          <w:spacing w:val="-4"/>
          <w:shd w:fill="FFFF00" w:color="auto" w:val="clear"/>
        </w:rPr>
        <w:t> </w:t>
      </w:r>
      <w:r>
        <w:rPr>
          <w:color w:val="000000"/>
          <w:shd w:fill="FFFF00" w:color="auto" w:val="clear"/>
        </w:rPr>
        <w:t>intended</w:t>
      </w:r>
      <w:r>
        <w:rPr>
          <w:color w:val="000000"/>
          <w:spacing w:val="-6"/>
          <w:shd w:fill="FFFF00" w:color="auto" w:val="clear"/>
        </w:rPr>
        <w:t> </w:t>
      </w:r>
      <w:r>
        <w:rPr>
          <w:color w:val="000000"/>
          <w:shd w:fill="FFFF00" w:color="auto" w:val="clear"/>
        </w:rPr>
        <w:t>to</w:t>
      </w:r>
      <w:r>
        <w:rPr>
          <w:color w:val="000000"/>
          <w:spacing w:val="-4"/>
          <w:shd w:fill="FFFF00" w:color="auto" w:val="clear"/>
        </w:rPr>
        <w:t> </w:t>
      </w:r>
      <w:r>
        <w:rPr>
          <w:color w:val="000000"/>
          <w:shd w:fill="FFFF00" w:color="auto" w:val="clear"/>
        </w:rPr>
        <w:t>differentiate</w:t>
      </w:r>
      <w:r>
        <w:rPr>
          <w:color w:val="000000"/>
          <w:spacing w:val="-4"/>
          <w:shd w:fill="FFFF00" w:color="auto" w:val="clear"/>
        </w:rPr>
        <w:t> </w:t>
      </w:r>
      <w:r>
        <w:rPr>
          <w:color w:val="000000"/>
          <w:shd w:fill="FFFF00" w:color="auto" w:val="clear"/>
        </w:rPr>
        <w:t>between</w:t>
      </w:r>
      <w:r>
        <w:rPr>
          <w:color w:val="000000"/>
          <w:spacing w:val="-5"/>
          <w:shd w:fill="FFFF00" w:color="auto" w:val="clear"/>
        </w:rPr>
        <w:t> </w:t>
      </w:r>
      <w:r>
        <w:rPr>
          <w:color w:val="000000"/>
          <w:shd w:fill="FFFF00" w:color="auto" w:val="clear"/>
        </w:rPr>
        <w:t>different</w:t>
      </w:r>
      <w:r>
        <w:rPr>
          <w:color w:val="000000"/>
          <w:spacing w:val="-5"/>
          <w:shd w:fill="FFFF00" w:color="auto" w:val="clear"/>
        </w:rPr>
        <w:t> </w:t>
      </w:r>
      <w:r>
        <w:rPr>
          <w:color w:val="000000"/>
          <w:shd w:fill="FFFF00" w:color="auto" w:val="clear"/>
        </w:rPr>
        <w:t>immunoglobulins,</w:t>
      </w:r>
      <w:r>
        <w:rPr>
          <w:color w:val="000000"/>
          <w:spacing w:val="-4"/>
          <w:shd w:fill="FFFF00" w:color="auto" w:val="clear"/>
        </w:rPr>
        <w:t> </w:t>
      </w:r>
      <w:r>
        <w:rPr>
          <w:color w:val="000000"/>
          <w:shd w:fill="FFFF00" w:color="auto" w:val="clear"/>
        </w:rPr>
        <w:t>describe</w:t>
      </w:r>
      <w:r>
        <w:rPr>
          <w:color w:val="000000"/>
          <w:spacing w:val="-5"/>
          <w:shd w:fill="FFFF00" w:color="auto" w:val="clear"/>
        </w:rPr>
        <w:t> </w:t>
      </w:r>
      <w:r>
        <w:rPr>
          <w:color w:val="000000"/>
          <w:shd w:fill="FFFF00" w:color="auto" w:val="clear"/>
        </w:rPr>
        <w:t>the</w:t>
      </w:r>
      <w:r>
        <w:rPr>
          <w:color w:val="000000"/>
        </w:rPr>
        <w:t> </w:t>
      </w:r>
      <w:r>
        <w:rPr>
          <w:color w:val="000000"/>
          <w:shd w:fill="FFFF00" w:color="auto" w:val="clear"/>
        </w:rPr>
        <w:t>approach used to evaluate class specificity.]</w:t>
      </w:r>
    </w:p>
    <w:p>
      <w:pPr>
        <w:pStyle w:val="BodyText"/>
        <w:spacing w:before="2"/>
        <w:rPr>
          <w:rFonts w:ascii="TimesNewRomanPS-BoldItalicMT"/>
          <w:b/>
          <w:i/>
          <w:sz w:val="16"/>
        </w:rPr>
      </w:pPr>
    </w:p>
    <w:p>
      <w:pPr>
        <w:pStyle w:val="Heading6"/>
        <w:ind w:right="278"/>
      </w:pPr>
      <w:r>
        <w:rPr>
          <w:color w:val="000000"/>
          <w:shd w:fill="FFFF00" w:color="auto" w:val="clear"/>
        </w:rPr>
        <w:t>[If class specificity testing is needed</w:t>
      </w:r>
      <w:r>
        <w:rPr>
          <w:color w:val="000000"/>
          <w:spacing w:val="-2"/>
          <w:shd w:fill="FFFF00" w:color="auto" w:val="clear"/>
        </w:rPr>
        <w:t> </w:t>
      </w:r>
      <w:r>
        <w:rPr>
          <w:color w:val="000000"/>
          <w:shd w:fill="FFFF00" w:color="auto" w:val="clear"/>
        </w:rPr>
        <w:t>for your test, please describe</w:t>
      </w:r>
      <w:r>
        <w:rPr>
          <w:color w:val="000000"/>
          <w:spacing w:val="-1"/>
          <w:shd w:fill="FFFF00" w:color="auto" w:val="clear"/>
        </w:rPr>
        <w:t> </w:t>
      </w:r>
      <w:r>
        <w:rPr>
          <w:color w:val="000000"/>
          <w:shd w:fill="FFFF00" w:color="auto" w:val="clear"/>
        </w:rPr>
        <w:t>the study, or studies,</w:t>
      </w:r>
      <w:r>
        <w:rPr>
          <w:color w:val="000000"/>
        </w:rPr>
        <w:t> </w:t>
      </w:r>
      <w:r>
        <w:rPr>
          <w:color w:val="000000"/>
          <w:shd w:fill="FFFF00" w:color="auto" w:val="clear"/>
        </w:rPr>
        <w:t>performed to demonstrate that the assay accurately detects each antibody class (e.g.,</w:t>
      </w:r>
      <w:r>
        <w:rPr>
          <w:color w:val="000000"/>
        </w:rPr>
        <w:t> </w:t>
      </w:r>
      <w:r>
        <w:rPr>
          <w:color w:val="000000"/>
          <w:shd w:fill="FFFF00" w:color="auto" w:val="clear"/>
        </w:rPr>
        <w:t>IgG and IgM). This should include a description of the studies performed to evaluate</w:t>
      </w:r>
      <w:r>
        <w:rPr>
          <w:color w:val="000000"/>
        </w:rPr>
        <w:t> </w:t>
      </w:r>
      <w:r>
        <w:rPr>
          <w:color w:val="000000"/>
          <w:shd w:fill="FFFF00" w:color="auto" w:val="clear"/>
        </w:rPr>
        <w:t>the</w:t>
      </w:r>
      <w:r>
        <w:rPr>
          <w:color w:val="000000"/>
          <w:spacing w:val="-3"/>
          <w:shd w:fill="FFFF00" w:color="auto" w:val="clear"/>
        </w:rPr>
        <w:t> </w:t>
      </w:r>
      <w:r>
        <w:rPr>
          <w:color w:val="000000"/>
          <w:shd w:fill="FFFF00" w:color="auto" w:val="clear"/>
        </w:rPr>
        <w:t>potential</w:t>
      </w:r>
      <w:r>
        <w:rPr>
          <w:color w:val="000000"/>
          <w:spacing w:val="-3"/>
          <w:shd w:fill="FFFF00" w:color="auto" w:val="clear"/>
        </w:rPr>
        <w:t> </w:t>
      </w:r>
      <w:r>
        <w:rPr>
          <w:color w:val="000000"/>
          <w:shd w:fill="FFFF00" w:color="auto" w:val="clear"/>
        </w:rPr>
        <w:t>for</w:t>
      </w:r>
      <w:r>
        <w:rPr>
          <w:color w:val="000000"/>
          <w:spacing w:val="-3"/>
          <w:shd w:fill="FFFF00" w:color="auto" w:val="clear"/>
        </w:rPr>
        <w:t> </w:t>
      </w:r>
      <w:r>
        <w:rPr>
          <w:color w:val="000000"/>
          <w:shd w:fill="FFFF00" w:color="auto" w:val="clear"/>
        </w:rPr>
        <w:t>human</w:t>
      </w:r>
      <w:r>
        <w:rPr>
          <w:color w:val="000000"/>
          <w:spacing w:val="-5"/>
          <w:shd w:fill="FFFF00" w:color="auto" w:val="clear"/>
        </w:rPr>
        <w:t> </w:t>
      </w:r>
      <w:r>
        <w:rPr>
          <w:color w:val="000000"/>
          <w:shd w:fill="FFFF00" w:color="auto" w:val="clear"/>
        </w:rPr>
        <w:t>IgM</w:t>
      </w:r>
      <w:r>
        <w:rPr>
          <w:color w:val="000000"/>
          <w:spacing w:val="-3"/>
          <w:shd w:fill="FFFF00" w:color="auto" w:val="clear"/>
        </w:rPr>
        <w:t> </w:t>
      </w:r>
      <w:r>
        <w:rPr>
          <w:color w:val="000000"/>
          <w:shd w:fill="FFFF00" w:color="auto" w:val="clear"/>
        </w:rPr>
        <w:t>to</w:t>
      </w:r>
      <w:r>
        <w:rPr>
          <w:color w:val="000000"/>
          <w:spacing w:val="-3"/>
          <w:shd w:fill="FFFF00" w:color="auto" w:val="clear"/>
        </w:rPr>
        <w:t> </w:t>
      </w:r>
      <w:r>
        <w:rPr>
          <w:color w:val="000000"/>
          <w:shd w:fill="FFFF00" w:color="auto" w:val="clear"/>
        </w:rPr>
        <w:t>cross</w:t>
      </w:r>
      <w:r>
        <w:rPr>
          <w:color w:val="000000"/>
          <w:spacing w:val="-3"/>
          <w:shd w:fill="FFFF00" w:color="auto" w:val="clear"/>
        </w:rPr>
        <w:t> </w:t>
      </w:r>
      <w:r>
        <w:rPr>
          <w:color w:val="000000"/>
          <w:shd w:fill="FFFF00" w:color="auto" w:val="clear"/>
        </w:rPr>
        <w:t>react</w:t>
      </w:r>
      <w:r>
        <w:rPr>
          <w:color w:val="000000"/>
          <w:spacing w:val="-3"/>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therefore</w:t>
      </w:r>
      <w:r>
        <w:rPr>
          <w:color w:val="000000"/>
          <w:spacing w:val="-3"/>
          <w:shd w:fill="FFFF00" w:color="auto" w:val="clear"/>
        </w:rPr>
        <w:t> </w:t>
      </w:r>
      <w:r>
        <w:rPr>
          <w:color w:val="000000"/>
          <w:shd w:fill="FFFF00" w:color="auto" w:val="clear"/>
        </w:rPr>
        <w:t>produce</w:t>
      </w:r>
      <w:r>
        <w:rPr>
          <w:color w:val="000000"/>
          <w:spacing w:val="-3"/>
          <w:shd w:fill="FFFF00" w:color="auto" w:val="clear"/>
        </w:rPr>
        <w:t> </w:t>
      </w:r>
      <w:r>
        <w:rPr>
          <w:color w:val="000000"/>
          <w:shd w:fill="FFFF00" w:color="auto" w:val="clear"/>
        </w:rPr>
        <w:t>false</w:t>
      </w:r>
      <w:r>
        <w:rPr>
          <w:color w:val="000000"/>
          <w:spacing w:val="-4"/>
          <w:shd w:fill="FFFF00" w:color="auto" w:val="clear"/>
        </w:rPr>
        <w:t> </w:t>
      </w:r>
      <w:r>
        <w:rPr>
          <w:color w:val="000000"/>
          <w:shd w:fill="FFFF00" w:color="auto" w:val="clear"/>
        </w:rPr>
        <w:t>positive</w:t>
      </w:r>
      <w:r>
        <w:rPr>
          <w:color w:val="000000"/>
          <w:spacing w:val="-3"/>
          <w:shd w:fill="FFFF00" w:color="auto" w:val="clear"/>
        </w:rPr>
        <w:t> </w:t>
      </w:r>
      <w:r>
        <w:rPr>
          <w:color w:val="000000"/>
          <w:shd w:fill="FFFF00" w:color="auto" w:val="clear"/>
        </w:rPr>
        <w:t>results</w:t>
      </w:r>
      <w:r>
        <w:rPr>
          <w:color w:val="000000"/>
        </w:rPr>
        <w:t> </w:t>
      </w:r>
      <w:r>
        <w:rPr>
          <w:color w:val="000000"/>
          <w:shd w:fill="FFFF00" w:color="auto" w:val="clear"/>
        </w:rPr>
        <w:t>for IgG, and the reverse, and the potential for IgM to compete with IgG and produce</w:t>
      </w:r>
      <w:r>
        <w:rPr>
          <w:color w:val="000000"/>
        </w:rPr>
        <w:t> </w:t>
      </w:r>
      <w:r>
        <w:rPr>
          <w:color w:val="000000"/>
          <w:shd w:fill="FFFF00" w:color="auto" w:val="clear"/>
        </w:rPr>
        <w:t>false negative results. Please indicate the number of samples, and the number of</w:t>
      </w:r>
      <w:r>
        <w:rPr>
          <w:color w:val="000000"/>
        </w:rPr>
        <w:t> </w:t>
      </w:r>
      <w:r>
        <w:rPr>
          <w:color w:val="000000"/>
          <w:shd w:fill="FFFF00" w:color="auto" w:val="clear"/>
        </w:rPr>
        <w:t>replicates per sample, tested. FDA believes that evaluating at least 5 samples positive</w:t>
      </w:r>
      <w:r>
        <w:rPr>
          <w:color w:val="000000"/>
        </w:rPr>
        <w:t> </w:t>
      </w:r>
      <w:r>
        <w:rPr>
          <w:color w:val="000000"/>
          <w:shd w:fill="FFFF00" w:color="auto" w:val="clear"/>
        </w:rPr>
        <w:t>for both antibody classes (IgM positive while also IgG positive), in duplicate, may be</w:t>
      </w:r>
      <w:r>
        <w:rPr>
          <w:color w:val="000000"/>
        </w:rPr>
        <w:t> </w:t>
      </w:r>
      <w:r>
        <w:rPr>
          <w:color w:val="000000"/>
          <w:spacing w:val="-2"/>
          <w:shd w:fill="FFFF00" w:color="auto" w:val="clear"/>
        </w:rPr>
        <w:t>acceptable.]</w:t>
      </w:r>
    </w:p>
    <w:p>
      <w:pPr>
        <w:pStyle w:val="BodyText"/>
        <w:rPr>
          <w:rFonts w:ascii="TimesNewRomanPS-BoldItalicMT"/>
          <w:b/>
          <w:i/>
        </w:rPr>
      </w:pPr>
    </w:p>
    <w:p>
      <w:pPr>
        <w:pStyle w:val="Heading5"/>
        <w:ind w:right="418"/>
      </w:pPr>
      <w:r>
        <w:rPr/>
        <w:t>Approaches to evaluate class specificity depend on the assay format. If you have well-characterized the anti-IgG and anti-IgM reagents, used in your test class specificity</w:t>
      </w:r>
      <w:r>
        <w:rPr>
          <w:spacing w:val="-3"/>
        </w:rPr>
        <w:t> </w:t>
      </w:r>
      <w:r>
        <w:rPr/>
        <w:t>testing</w:t>
      </w:r>
      <w:r>
        <w:rPr>
          <w:spacing w:val="-3"/>
        </w:rPr>
        <w:t> </w:t>
      </w:r>
      <w:r>
        <w:rPr/>
        <w:t>may</w:t>
      </w:r>
      <w:r>
        <w:rPr>
          <w:spacing w:val="-5"/>
        </w:rPr>
        <w:t> </w:t>
      </w:r>
      <w:r>
        <w:rPr/>
        <w:t>not</w:t>
      </w:r>
      <w:r>
        <w:rPr>
          <w:spacing w:val="-3"/>
        </w:rPr>
        <w:t> </w:t>
      </w:r>
      <w:r>
        <w:rPr/>
        <w:t>be</w:t>
      </w:r>
      <w:r>
        <w:rPr>
          <w:spacing w:val="-3"/>
        </w:rPr>
        <w:t> </w:t>
      </w:r>
      <w:r>
        <w:rPr/>
        <w:t>needed.</w:t>
      </w:r>
      <w:r>
        <w:rPr>
          <w:spacing w:val="-3"/>
        </w:rPr>
        <w:t> </w:t>
      </w:r>
      <w:r>
        <w:rPr/>
        <w:t>In</w:t>
      </w:r>
      <w:r>
        <w:rPr>
          <w:spacing w:val="-4"/>
        </w:rPr>
        <w:t> </w:t>
      </w:r>
      <w:r>
        <w:rPr/>
        <w:t>this</w:t>
      </w:r>
      <w:r>
        <w:rPr>
          <w:spacing w:val="-3"/>
        </w:rPr>
        <w:t> </w:t>
      </w:r>
      <w:r>
        <w:rPr/>
        <w:t>case,</w:t>
      </w:r>
      <w:r>
        <w:rPr>
          <w:spacing w:val="-3"/>
        </w:rPr>
        <w:t> </w:t>
      </w:r>
      <w:r>
        <w:rPr/>
        <w:t>please</w:t>
      </w:r>
      <w:r>
        <w:rPr>
          <w:spacing w:val="-4"/>
        </w:rPr>
        <w:t> </w:t>
      </w:r>
      <w:r>
        <w:rPr/>
        <w:t>describe</w:t>
      </w:r>
      <w:r>
        <w:rPr>
          <w:spacing w:val="-3"/>
        </w:rPr>
        <w:t> </w:t>
      </w:r>
      <w:r>
        <w:rPr/>
        <w:t>how</w:t>
      </w:r>
      <w:r>
        <w:rPr>
          <w:spacing w:val="-5"/>
        </w:rPr>
        <w:t> </w:t>
      </w:r>
      <w:r>
        <w:rPr/>
        <w:t>the</w:t>
      </w:r>
      <w:r>
        <w:rPr>
          <w:spacing w:val="-3"/>
        </w:rPr>
        <w:t> </w:t>
      </w:r>
      <w:r>
        <w:rPr/>
        <w:t>reagents were characterized and such characterization supports class specificity. One recommended approach includes treating the specimen with dithiothreitol (DTT) where the final IgG result will remain unaffected and the final IgM signal will decrease or be negative. A positive control should also be included that confirms DTT activity.</w:t>
      </w:r>
    </w:p>
    <w:p>
      <w:pPr>
        <w:pStyle w:val="BodyText"/>
        <w:spacing w:before="2"/>
        <w:rPr>
          <w:b/>
          <w:sz w:val="16"/>
        </w:rPr>
      </w:pPr>
    </w:p>
    <w:p>
      <w:pPr>
        <w:pStyle w:val="Heading6"/>
      </w:pPr>
      <w:r>
        <w:rPr>
          <w:color w:val="000000"/>
          <w:shd w:fill="FFFF00" w:color="auto" w:val="clear"/>
        </w:rPr>
        <w:t>[Please</w:t>
      </w:r>
      <w:r>
        <w:rPr>
          <w:color w:val="000000"/>
          <w:spacing w:val="-4"/>
          <w:shd w:fill="FFFF00" w:color="auto" w:val="clear"/>
        </w:rPr>
        <w:t> </w:t>
      </w:r>
      <w:r>
        <w:rPr>
          <w:color w:val="000000"/>
          <w:shd w:fill="FFFF00" w:color="auto" w:val="clear"/>
        </w:rPr>
        <w:t>provide</w:t>
      </w:r>
      <w:r>
        <w:rPr>
          <w:color w:val="000000"/>
          <w:spacing w:val="-4"/>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protocol</w:t>
      </w:r>
      <w:r>
        <w:rPr>
          <w:color w:val="000000"/>
          <w:spacing w:val="-4"/>
          <w:shd w:fill="FFFF00" w:color="auto" w:val="clear"/>
        </w:rPr>
        <w:t> </w:t>
      </w:r>
      <w:r>
        <w:rPr>
          <w:color w:val="000000"/>
          <w:shd w:fill="FFFF00" w:color="auto" w:val="clear"/>
        </w:rPr>
        <w:t>and</w:t>
      </w:r>
      <w:r>
        <w:rPr>
          <w:color w:val="000000"/>
          <w:spacing w:val="-4"/>
          <w:shd w:fill="FFFF00" w:color="auto" w:val="clear"/>
        </w:rPr>
        <w:t> </w:t>
      </w:r>
      <w:r>
        <w:rPr>
          <w:color w:val="000000"/>
          <w:shd w:fill="FFFF00" w:color="auto" w:val="clear"/>
        </w:rPr>
        <w:t>results,</w:t>
      </w:r>
      <w:r>
        <w:rPr>
          <w:color w:val="000000"/>
          <w:spacing w:val="-4"/>
          <w:shd w:fill="FFFF00" w:color="auto" w:val="clear"/>
        </w:rPr>
        <w:t> </w:t>
      </w:r>
      <w:r>
        <w:rPr>
          <w:color w:val="000000"/>
          <w:shd w:fill="FFFF00" w:color="auto" w:val="clear"/>
        </w:rPr>
        <w:t>including</w:t>
      </w:r>
      <w:r>
        <w:rPr>
          <w:color w:val="000000"/>
          <w:spacing w:val="-4"/>
          <w:shd w:fill="FFFF00" w:color="auto" w:val="clear"/>
        </w:rPr>
        <w:t> </w:t>
      </w:r>
      <w:r>
        <w:rPr>
          <w:color w:val="000000"/>
          <w:shd w:fill="FFFF00" w:color="auto" w:val="clear"/>
        </w:rPr>
        <w:t>line</w:t>
      </w:r>
      <w:r>
        <w:rPr>
          <w:color w:val="000000"/>
          <w:spacing w:val="-4"/>
          <w:shd w:fill="FFFF00" w:color="auto" w:val="clear"/>
        </w:rPr>
        <w:t> </w:t>
      </w:r>
      <w:r>
        <w:rPr>
          <w:color w:val="000000"/>
          <w:shd w:fill="FFFF00" w:color="auto" w:val="clear"/>
        </w:rPr>
        <w:t>data,</w:t>
      </w:r>
      <w:r>
        <w:rPr>
          <w:color w:val="000000"/>
          <w:spacing w:val="-4"/>
          <w:shd w:fill="FFFF00" w:color="auto" w:val="clear"/>
        </w:rPr>
        <w:t> </w:t>
      </w:r>
      <w:r>
        <w:rPr>
          <w:color w:val="000000"/>
          <w:shd w:fill="FFFF00" w:color="auto" w:val="clear"/>
        </w:rPr>
        <w:t>from</w:t>
      </w:r>
      <w:r>
        <w:rPr>
          <w:color w:val="000000"/>
          <w:spacing w:val="-4"/>
          <w:shd w:fill="FFFF00" w:color="auto" w:val="clear"/>
        </w:rPr>
        <w:t> </w:t>
      </w:r>
      <w:r>
        <w:rPr>
          <w:color w:val="000000"/>
          <w:shd w:fill="FFFF00" w:color="auto" w:val="clear"/>
        </w:rPr>
        <w:t>any</w:t>
      </w:r>
      <w:r>
        <w:rPr>
          <w:color w:val="000000"/>
          <w:spacing w:val="-4"/>
          <w:shd w:fill="FFFF00" w:color="auto" w:val="clear"/>
        </w:rPr>
        <w:t> </w:t>
      </w:r>
      <w:r>
        <w:rPr>
          <w:color w:val="000000"/>
          <w:shd w:fill="FFFF00" w:color="auto" w:val="clear"/>
        </w:rPr>
        <w:t>class</w:t>
      </w:r>
      <w:r>
        <w:rPr>
          <w:color w:val="000000"/>
          <w:spacing w:val="-4"/>
          <w:shd w:fill="FFFF00" w:color="auto" w:val="clear"/>
        </w:rPr>
        <w:t> </w:t>
      </w:r>
      <w:r>
        <w:rPr>
          <w:color w:val="000000"/>
          <w:shd w:fill="FFFF00" w:color="auto" w:val="clear"/>
        </w:rPr>
        <w:t>specificity</w:t>
      </w:r>
      <w:r>
        <w:rPr>
          <w:color w:val="000000"/>
        </w:rPr>
        <w:t> </w:t>
      </w:r>
      <w:r>
        <w:rPr>
          <w:color w:val="000000"/>
          <w:spacing w:val="-2"/>
          <w:shd w:fill="FFFF00" w:color="auto" w:val="clear"/>
        </w:rPr>
        <w:t>testing.]</w:t>
      </w:r>
    </w:p>
    <w:p>
      <w:pPr>
        <w:pStyle w:val="BodyText"/>
        <w:spacing w:before="10"/>
        <w:rPr>
          <w:rFonts w:ascii="TimesNewRomanPS-BoldItalicMT"/>
          <w:b/>
          <w:i/>
          <w:sz w:val="23"/>
        </w:rPr>
      </w:pPr>
    </w:p>
    <w:p>
      <w:pPr>
        <w:pStyle w:val="Heading5"/>
        <w:ind w:right="278"/>
      </w:pPr>
      <w:r>
        <w:rPr/>
        <w:t>FDA</w:t>
      </w:r>
      <w:r>
        <w:rPr>
          <w:spacing w:val="-4"/>
        </w:rPr>
        <w:t> </w:t>
      </w:r>
      <w:r>
        <w:rPr/>
        <w:t>believes</w:t>
      </w:r>
      <w:r>
        <w:rPr>
          <w:spacing w:val="-3"/>
        </w:rPr>
        <w:t> </w:t>
      </w:r>
      <w:r>
        <w:rPr/>
        <w:t>that</w:t>
      </w:r>
      <w:r>
        <w:rPr>
          <w:spacing w:val="-3"/>
        </w:rPr>
        <w:t> </w:t>
      </w:r>
      <w:r>
        <w:rPr/>
        <w:t>100%</w:t>
      </w:r>
      <w:r>
        <w:rPr>
          <w:spacing w:val="-5"/>
        </w:rPr>
        <w:t> </w:t>
      </w:r>
      <w:r>
        <w:rPr/>
        <w:t>agreement</w:t>
      </w:r>
      <w:r>
        <w:rPr>
          <w:spacing w:val="-3"/>
        </w:rPr>
        <w:t> </w:t>
      </w:r>
      <w:r>
        <w:rPr/>
        <w:t>with</w:t>
      </w:r>
      <w:r>
        <w:rPr>
          <w:spacing w:val="-4"/>
        </w:rPr>
        <w:t> </w:t>
      </w:r>
      <w:r>
        <w:rPr/>
        <w:t>expected</w:t>
      </w:r>
      <w:r>
        <w:rPr>
          <w:spacing w:val="-4"/>
        </w:rPr>
        <w:t> </w:t>
      </w:r>
      <w:r>
        <w:rPr/>
        <w:t>result</w:t>
      </w:r>
      <w:r>
        <w:rPr>
          <w:spacing w:val="-4"/>
        </w:rPr>
        <w:t> </w:t>
      </w:r>
      <w:r>
        <w:rPr/>
        <w:t>would</w:t>
      </w:r>
      <w:r>
        <w:rPr>
          <w:spacing w:val="-4"/>
        </w:rPr>
        <w:t> </w:t>
      </w:r>
      <w:r>
        <w:rPr/>
        <w:t>establish</w:t>
      </w:r>
      <w:r>
        <w:rPr>
          <w:spacing w:val="-4"/>
        </w:rPr>
        <w:t> </w:t>
      </w:r>
      <w:r>
        <w:rPr/>
        <w:t>antibody class specificity.</w:t>
      </w:r>
    </w:p>
    <w:p>
      <w:pPr>
        <w:pStyle w:val="BodyText"/>
        <w:rPr>
          <w:b/>
        </w:rPr>
      </w:pPr>
    </w:p>
    <w:p>
      <w:pPr>
        <w:pStyle w:val="Heading5"/>
        <w:ind w:right="250"/>
      </w:pPr>
      <w:r>
        <w:rPr/>
        <w:t>If</w:t>
      </w:r>
      <w:r>
        <w:rPr>
          <w:spacing w:val="-3"/>
        </w:rPr>
        <w:t> </w:t>
      </w:r>
      <w:r>
        <w:rPr/>
        <w:t>a</w:t>
      </w:r>
      <w:r>
        <w:rPr>
          <w:spacing w:val="-3"/>
        </w:rPr>
        <w:t> </w:t>
      </w:r>
      <w:r>
        <w:rPr/>
        <w:t>DTT</w:t>
      </w:r>
      <w:r>
        <w:rPr>
          <w:spacing w:val="-4"/>
        </w:rPr>
        <w:t> </w:t>
      </w:r>
      <w:r>
        <w:rPr/>
        <w:t>Treatment</w:t>
      </w:r>
      <w:r>
        <w:rPr>
          <w:spacing w:val="-3"/>
        </w:rPr>
        <w:t> </w:t>
      </w:r>
      <w:r>
        <w:rPr/>
        <w:t>approach</w:t>
      </w:r>
      <w:r>
        <w:rPr>
          <w:spacing w:val="-4"/>
        </w:rPr>
        <w:t> </w:t>
      </w:r>
      <w:r>
        <w:rPr/>
        <w:t>is</w:t>
      </w:r>
      <w:r>
        <w:rPr>
          <w:spacing w:val="-3"/>
        </w:rPr>
        <w:t> </w:t>
      </w:r>
      <w:r>
        <w:rPr/>
        <w:t>followed,</w:t>
      </w:r>
      <w:r>
        <w:rPr>
          <w:spacing w:val="-3"/>
        </w:rPr>
        <w:t> </w:t>
      </w:r>
      <w:r>
        <w:rPr/>
        <w:t>below</w:t>
      </w:r>
      <w:r>
        <w:rPr>
          <w:spacing w:val="-5"/>
        </w:rPr>
        <w:t> </w:t>
      </w:r>
      <w:r>
        <w:rPr/>
        <w:t>is</w:t>
      </w:r>
      <w:r>
        <w:rPr>
          <w:spacing w:val="-3"/>
        </w:rPr>
        <w:t> </w:t>
      </w:r>
      <w:r>
        <w:rPr/>
        <w:t>an</w:t>
      </w:r>
      <w:r>
        <w:rPr>
          <w:spacing w:val="-4"/>
        </w:rPr>
        <w:t> </w:t>
      </w:r>
      <w:r>
        <w:rPr/>
        <w:t>example</w:t>
      </w:r>
      <w:r>
        <w:rPr>
          <w:spacing w:val="-3"/>
        </w:rPr>
        <w:t> </w:t>
      </w:r>
      <w:r>
        <w:rPr/>
        <w:t>table</w:t>
      </w:r>
      <w:r>
        <w:rPr>
          <w:spacing w:val="-4"/>
        </w:rPr>
        <w:t> </w:t>
      </w:r>
      <w:r>
        <w:rPr/>
        <w:t>for</w:t>
      </w:r>
      <w:r>
        <w:rPr>
          <w:spacing w:val="-3"/>
        </w:rPr>
        <w:t> </w:t>
      </w:r>
      <w:r>
        <w:rPr/>
        <w:t>IgM</w:t>
      </w:r>
      <w:r>
        <w:rPr>
          <w:spacing w:val="-3"/>
        </w:rPr>
        <w:t> </w:t>
      </w:r>
      <w:r>
        <w:rPr/>
        <w:t>and </w:t>
      </w:r>
      <w:r>
        <w:rPr>
          <w:spacing w:val="-4"/>
        </w:rPr>
        <w:t>IgG:</w:t>
      </w:r>
    </w:p>
    <w:p>
      <w:pPr>
        <w:pStyle w:val="BodyText"/>
        <w:spacing w:before="7" w:after="1"/>
        <w:rPr>
          <w:b/>
          <w:sz w:val="22"/>
        </w:rPr>
      </w:pPr>
    </w:p>
    <w:tbl>
      <w:tblPr>
        <w:tblW w:w="0" w:type="auto"/>
        <w:jc w:val="left"/>
        <w:tblInd w:w="9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876"/>
        <w:gridCol w:w="1212"/>
        <w:gridCol w:w="1556"/>
        <w:gridCol w:w="1401"/>
        <w:gridCol w:w="1393"/>
        <w:gridCol w:w="1395"/>
      </w:tblGrid>
      <w:tr>
        <w:trPr>
          <w:trHeight w:val="1011" w:hRule="atLeast"/>
        </w:trPr>
        <w:tc>
          <w:tcPr>
            <w:tcW w:w="876" w:type="dxa"/>
          </w:tcPr>
          <w:p>
            <w:pPr>
              <w:pStyle w:val="TableParagraph"/>
              <w:spacing w:before="11"/>
              <w:jc w:val="left"/>
              <w:rPr>
                <w:b/>
                <w:sz w:val="21"/>
              </w:rPr>
            </w:pPr>
          </w:p>
          <w:p>
            <w:pPr>
              <w:pStyle w:val="TableParagraph"/>
              <w:ind w:left="321" w:right="87" w:hanging="214"/>
              <w:jc w:val="left"/>
              <w:rPr>
                <w:sz w:val="22"/>
              </w:rPr>
            </w:pPr>
            <w:r>
              <w:rPr>
                <w:spacing w:val="-2"/>
                <w:sz w:val="22"/>
              </w:rPr>
              <w:t>Sample </w:t>
            </w:r>
            <w:r>
              <w:rPr>
                <w:spacing w:val="-6"/>
                <w:sz w:val="22"/>
              </w:rPr>
              <w:t>ID</w:t>
            </w:r>
          </w:p>
        </w:tc>
        <w:tc>
          <w:tcPr>
            <w:tcW w:w="1212" w:type="dxa"/>
          </w:tcPr>
          <w:p>
            <w:pPr>
              <w:pStyle w:val="TableParagraph"/>
              <w:jc w:val="left"/>
              <w:rPr>
                <w:b/>
                <w:sz w:val="33"/>
              </w:rPr>
            </w:pPr>
          </w:p>
          <w:p>
            <w:pPr>
              <w:pStyle w:val="TableParagraph"/>
              <w:ind w:left="18"/>
              <w:rPr>
                <w:sz w:val="22"/>
              </w:rPr>
            </w:pPr>
            <w:r>
              <w:rPr>
                <w:spacing w:val="-2"/>
                <w:sz w:val="22"/>
              </w:rPr>
              <w:t>Replicates</w:t>
            </w:r>
          </w:p>
        </w:tc>
        <w:tc>
          <w:tcPr>
            <w:tcW w:w="1556" w:type="dxa"/>
          </w:tcPr>
          <w:p>
            <w:pPr>
              <w:pStyle w:val="TableParagraph"/>
              <w:ind w:left="377" w:right="357"/>
              <w:rPr>
                <w:sz w:val="22"/>
              </w:rPr>
            </w:pPr>
            <w:r>
              <w:rPr>
                <w:spacing w:val="-2"/>
                <w:sz w:val="22"/>
              </w:rPr>
              <w:t>Result </w:t>
            </w:r>
            <w:r>
              <w:rPr>
                <w:sz w:val="22"/>
              </w:rPr>
              <w:t>NO</w:t>
            </w:r>
            <w:r>
              <w:rPr>
                <w:spacing w:val="-6"/>
                <w:sz w:val="22"/>
              </w:rPr>
              <w:t> </w:t>
            </w:r>
            <w:r>
              <w:rPr>
                <w:spacing w:val="-5"/>
                <w:sz w:val="22"/>
              </w:rPr>
              <w:t>DTT</w:t>
            </w:r>
          </w:p>
          <w:p>
            <w:pPr>
              <w:pStyle w:val="TableParagraph"/>
              <w:spacing w:line="250" w:lineRule="atLeast"/>
              <w:ind w:left="312" w:right="292" w:firstLine="1"/>
              <w:rPr>
                <w:sz w:val="22"/>
              </w:rPr>
            </w:pPr>
            <w:r>
              <w:rPr>
                <w:spacing w:val="-2"/>
                <w:sz w:val="22"/>
              </w:rPr>
              <w:t>Treatment (IgM/IgG)</w:t>
            </w:r>
          </w:p>
        </w:tc>
        <w:tc>
          <w:tcPr>
            <w:tcW w:w="1401" w:type="dxa"/>
          </w:tcPr>
          <w:p>
            <w:pPr>
              <w:pStyle w:val="TableParagraph"/>
              <w:ind w:left="418" w:right="398"/>
              <w:rPr>
                <w:sz w:val="22"/>
              </w:rPr>
            </w:pPr>
            <w:r>
              <w:rPr>
                <w:spacing w:val="-2"/>
                <w:sz w:val="22"/>
              </w:rPr>
              <w:t>Result </w:t>
            </w:r>
            <w:r>
              <w:rPr>
                <w:spacing w:val="-4"/>
                <w:sz w:val="22"/>
              </w:rPr>
              <w:t>DTT</w:t>
            </w:r>
          </w:p>
          <w:p>
            <w:pPr>
              <w:pStyle w:val="TableParagraph"/>
              <w:spacing w:line="250" w:lineRule="atLeast"/>
              <w:ind w:left="236" w:right="214" w:hanging="1"/>
              <w:rPr>
                <w:sz w:val="22"/>
              </w:rPr>
            </w:pPr>
            <w:r>
              <w:rPr>
                <w:spacing w:val="-2"/>
                <w:sz w:val="22"/>
              </w:rPr>
              <w:t>Treatment (IgM/IgG)</w:t>
            </w:r>
          </w:p>
        </w:tc>
        <w:tc>
          <w:tcPr>
            <w:tcW w:w="1393" w:type="dxa"/>
          </w:tcPr>
          <w:p>
            <w:pPr>
              <w:pStyle w:val="TableParagraph"/>
              <w:spacing w:line="254" w:lineRule="exact"/>
              <w:ind w:left="5" w:right="2"/>
              <w:rPr>
                <w:sz w:val="22"/>
              </w:rPr>
            </w:pPr>
            <w:r>
              <w:rPr>
                <w:sz w:val="22"/>
              </w:rPr>
              <w:t>Expected</w:t>
            </w:r>
            <w:r>
              <w:rPr>
                <w:spacing w:val="-14"/>
                <w:sz w:val="22"/>
              </w:rPr>
              <w:t> </w:t>
            </w:r>
            <w:r>
              <w:rPr>
                <w:sz w:val="22"/>
              </w:rPr>
              <w:t>result with DTT </w:t>
            </w:r>
            <w:r>
              <w:rPr>
                <w:spacing w:val="-2"/>
                <w:sz w:val="22"/>
              </w:rPr>
              <w:t>treatment (IgM/IgG)</w:t>
            </w:r>
          </w:p>
        </w:tc>
        <w:tc>
          <w:tcPr>
            <w:tcW w:w="1395" w:type="dxa"/>
          </w:tcPr>
          <w:p>
            <w:pPr>
              <w:pStyle w:val="TableParagraph"/>
              <w:spacing w:before="11"/>
              <w:jc w:val="left"/>
              <w:rPr>
                <w:b/>
                <w:sz w:val="21"/>
              </w:rPr>
            </w:pPr>
          </w:p>
          <w:p>
            <w:pPr>
              <w:pStyle w:val="TableParagraph"/>
              <w:ind w:left="200" w:right="195" w:firstLine="207"/>
              <w:jc w:val="left"/>
              <w:rPr>
                <w:sz w:val="22"/>
              </w:rPr>
            </w:pPr>
            <w:r>
              <w:rPr>
                <w:spacing w:val="-2"/>
                <w:sz w:val="22"/>
              </w:rPr>
              <w:t>Result Agreement</w:t>
            </w:r>
          </w:p>
        </w:tc>
      </w:tr>
      <w:tr>
        <w:trPr>
          <w:trHeight w:val="248" w:hRule="atLeast"/>
        </w:trPr>
        <w:tc>
          <w:tcPr>
            <w:tcW w:w="876" w:type="dxa"/>
          </w:tcPr>
          <w:p>
            <w:pPr>
              <w:pStyle w:val="TableParagraph"/>
              <w:spacing w:line="228" w:lineRule="exact"/>
              <w:ind w:left="18"/>
              <w:rPr>
                <w:sz w:val="22"/>
              </w:rPr>
            </w:pPr>
            <w:r>
              <w:rPr>
                <w:w w:val="99"/>
                <w:sz w:val="22"/>
              </w:rPr>
              <w:t>1</w:t>
            </w:r>
          </w:p>
        </w:tc>
        <w:tc>
          <w:tcPr>
            <w:tcW w:w="1212" w:type="dxa"/>
          </w:tcPr>
          <w:p>
            <w:pPr>
              <w:pStyle w:val="TableParagraph"/>
              <w:spacing w:line="228" w:lineRule="exact"/>
              <w:ind w:left="18"/>
              <w:rPr>
                <w:sz w:val="22"/>
              </w:rPr>
            </w:pPr>
            <w:r>
              <w:rPr>
                <w:w w:val="99"/>
                <w:sz w:val="22"/>
              </w:rPr>
              <w:t>1</w:t>
            </w:r>
          </w:p>
        </w:tc>
        <w:tc>
          <w:tcPr>
            <w:tcW w:w="1556" w:type="dxa"/>
          </w:tcPr>
          <w:p>
            <w:pPr>
              <w:pStyle w:val="TableParagraph"/>
              <w:spacing w:line="228" w:lineRule="exact"/>
              <w:ind w:left="374" w:right="357"/>
              <w:rPr>
                <w:sz w:val="22"/>
              </w:rPr>
            </w:pPr>
            <w:r>
              <w:rPr>
                <w:spacing w:val="-5"/>
                <w:sz w:val="22"/>
              </w:rPr>
              <w:t>+/+</w:t>
            </w:r>
          </w:p>
        </w:tc>
        <w:tc>
          <w:tcPr>
            <w:tcW w:w="1401" w:type="dxa"/>
          </w:tcPr>
          <w:p>
            <w:pPr>
              <w:pStyle w:val="TableParagraph"/>
              <w:spacing w:line="228" w:lineRule="exact"/>
              <w:ind w:left="417" w:right="398"/>
              <w:rPr>
                <w:sz w:val="22"/>
              </w:rPr>
            </w:pPr>
            <w:r>
              <w:rPr>
                <w:spacing w:val="-2"/>
                <w:sz w:val="22"/>
              </w:rPr>
              <w:t>-</w:t>
            </w:r>
            <w:r>
              <w:rPr>
                <w:spacing w:val="-7"/>
                <w:sz w:val="22"/>
              </w:rPr>
              <w:t>/+</w:t>
            </w:r>
          </w:p>
        </w:tc>
        <w:tc>
          <w:tcPr>
            <w:tcW w:w="1393" w:type="dxa"/>
          </w:tcPr>
          <w:p>
            <w:pPr>
              <w:pStyle w:val="TableParagraph"/>
              <w:spacing w:line="228" w:lineRule="exact"/>
              <w:ind w:left="2" w:right="2"/>
              <w:rPr>
                <w:sz w:val="22"/>
              </w:rPr>
            </w:pPr>
            <w:r>
              <w:rPr>
                <w:spacing w:val="-2"/>
                <w:sz w:val="22"/>
              </w:rPr>
              <w:t>-</w:t>
            </w:r>
            <w:r>
              <w:rPr>
                <w:spacing w:val="-7"/>
                <w:sz w:val="22"/>
              </w:rPr>
              <w:t>/+</w:t>
            </w:r>
          </w:p>
        </w:tc>
        <w:tc>
          <w:tcPr>
            <w:tcW w:w="1395" w:type="dxa"/>
          </w:tcPr>
          <w:p>
            <w:pPr>
              <w:pStyle w:val="TableParagraph"/>
              <w:spacing w:line="228" w:lineRule="exact"/>
              <w:ind w:left="529" w:right="526"/>
              <w:rPr>
                <w:sz w:val="22"/>
              </w:rPr>
            </w:pPr>
            <w:r>
              <w:rPr>
                <w:spacing w:val="-5"/>
                <w:sz w:val="22"/>
              </w:rPr>
              <w:t>yes</w:t>
            </w:r>
          </w:p>
        </w:tc>
      </w:tr>
      <w:tr>
        <w:trPr>
          <w:trHeight w:val="253" w:hRule="atLeast"/>
        </w:trPr>
        <w:tc>
          <w:tcPr>
            <w:tcW w:w="876" w:type="dxa"/>
          </w:tcPr>
          <w:p>
            <w:pPr>
              <w:pStyle w:val="TableParagraph"/>
              <w:jc w:val="left"/>
              <w:rPr>
                <w:sz w:val="18"/>
              </w:rPr>
            </w:pPr>
          </w:p>
        </w:tc>
        <w:tc>
          <w:tcPr>
            <w:tcW w:w="1212" w:type="dxa"/>
          </w:tcPr>
          <w:p>
            <w:pPr>
              <w:pStyle w:val="TableParagraph"/>
              <w:spacing w:line="233" w:lineRule="exact"/>
              <w:ind w:left="18"/>
              <w:rPr>
                <w:sz w:val="22"/>
              </w:rPr>
            </w:pPr>
            <w:r>
              <w:rPr>
                <w:w w:val="99"/>
                <w:sz w:val="22"/>
              </w:rPr>
              <w:t>2</w:t>
            </w:r>
          </w:p>
        </w:tc>
        <w:tc>
          <w:tcPr>
            <w:tcW w:w="1556" w:type="dxa"/>
          </w:tcPr>
          <w:p>
            <w:pPr>
              <w:pStyle w:val="TableParagraph"/>
              <w:spacing w:line="233" w:lineRule="exact"/>
              <w:ind w:left="374" w:right="357"/>
              <w:rPr>
                <w:sz w:val="22"/>
              </w:rPr>
            </w:pPr>
            <w:r>
              <w:rPr>
                <w:spacing w:val="-5"/>
                <w:sz w:val="22"/>
              </w:rPr>
              <w:t>+/+</w:t>
            </w:r>
          </w:p>
        </w:tc>
        <w:tc>
          <w:tcPr>
            <w:tcW w:w="1401" w:type="dxa"/>
          </w:tcPr>
          <w:p>
            <w:pPr>
              <w:pStyle w:val="TableParagraph"/>
              <w:spacing w:line="233" w:lineRule="exact"/>
              <w:ind w:left="417" w:right="398"/>
              <w:rPr>
                <w:sz w:val="22"/>
              </w:rPr>
            </w:pPr>
            <w:r>
              <w:rPr>
                <w:spacing w:val="-2"/>
                <w:sz w:val="22"/>
              </w:rPr>
              <w:t>-</w:t>
            </w:r>
            <w:r>
              <w:rPr>
                <w:spacing w:val="-7"/>
                <w:sz w:val="22"/>
              </w:rPr>
              <w:t>/+</w:t>
            </w:r>
          </w:p>
        </w:tc>
        <w:tc>
          <w:tcPr>
            <w:tcW w:w="1393" w:type="dxa"/>
          </w:tcPr>
          <w:p>
            <w:pPr>
              <w:pStyle w:val="TableParagraph"/>
              <w:spacing w:line="233" w:lineRule="exact"/>
              <w:ind w:left="2" w:right="2"/>
              <w:rPr>
                <w:sz w:val="22"/>
              </w:rPr>
            </w:pPr>
            <w:r>
              <w:rPr>
                <w:spacing w:val="-2"/>
                <w:sz w:val="22"/>
              </w:rPr>
              <w:t>-</w:t>
            </w:r>
            <w:r>
              <w:rPr>
                <w:spacing w:val="-7"/>
                <w:sz w:val="22"/>
              </w:rPr>
              <w:t>/+</w:t>
            </w:r>
          </w:p>
        </w:tc>
        <w:tc>
          <w:tcPr>
            <w:tcW w:w="1395" w:type="dxa"/>
          </w:tcPr>
          <w:p>
            <w:pPr>
              <w:pStyle w:val="TableParagraph"/>
              <w:spacing w:line="233" w:lineRule="exact"/>
              <w:ind w:left="529" w:right="526"/>
              <w:rPr>
                <w:sz w:val="22"/>
              </w:rPr>
            </w:pPr>
            <w:r>
              <w:rPr>
                <w:spacing w:val="-5"/>
                <w:sz w:val="22"/>
              </w:rPr>
              <w:t>yes</w:t>
            </w:r>
          </w:p>
        </w:tc>
      </w:tr>
      <w:tr>
        <w:trPr>
          <w:trHeight w:val="252" w:hRule="atLeast"/>
        </w:trPr>
        <w:tc>
          <w:tcPr>
            <w:tcW w:w="876" w:type="dxa"/>
          </w:tcPr>
          <w:p>
            <w:pPr>
              <w:pStyle w:val="TableParagraph"/>
              <w:spacing w:line="232" w:lineRule="exact"/>
              <w:ind w:left="18"/>
              <w:rPr>
                <w:sz w:val="22"/>
              </w:rPr>
            </w:pPr>
            <w:r>
              <w:rPr>
                <w:w w:val="99"/>
                <w:sz w:val="22"/>
              </w:rPr>
              <w:t>2</w:t>
            </w:r>
          </w:p>
        </w:tc>
        <w:tc>
          <w:tcPr>
            <w:tcW w:w="1212" w:type="dxa"/>
          </w:tcPr>
          <w:p>
            <w:pPr>
              <w:pStyle w:val="TableParagraph"/>
              <w:spacing w:line="232" w:lineRule="exact"/>
              <w:ind w:left="18"/>
              <w:rPr>
                <w:sz w:val="22"/>
              </w:rPr>
            </w:pPr>
            <w:r>
              <w:rPr>
                <w:w w:val="99"/>
                <w:sz w:val="22"/>
              </w:rPr>
              <w:t>1</w:t>
            </w:r>
          </w:p>
        </w:tc>
        <w:tc>
          <w:tcPr>
            <w:tcW w:w="1556" w:type="dxa"/>
          </w:tcPr>
          <w:p>
            <w:pPr>
              <w:pStyle w:val="TableParagraph"/>
              <w:spacing w:line="232" w:lineRule="exact"/>
              <w:ind w:left="374" w:right="357"/>
              <w:rPr>
                <w:sz w:val="22"/>
              </w:rPr>
            </w:pPr>
            <w:r>
              <w:rPr>
                <w:spacing w:val="-5"/>
                <w:sz w:val="22"/>
              </w:rPr>
              <w:t>+/+</w:t>
            </w:r>
          </w:p>
        </w:tc>
        <w:tc>
          <w:tcPr>
            <w:tcW w:w="1401" w:type="dxa"/>
          </w:tcPr>
          <w:p>
            <w:pPr>
              <w:pStyle w:val="TableParagraph"/>
              <w:spacing w:line="232" w:lineRule="exact"/>
              <w:ind w:left="417" w:right="398"/>
              <w:rPr>
                <w:sz w:val="22"/>
              </w:rPr>
            </w:pPr>
            <w:r>
              <w:rPr>
                <w:spacing w:val="-2"/>
                <w:sz w:val="22"/>
              </w:rPr>
              <w:t>-</w:t>
            </w:r>
            <w:r>
              <w:rPr>
                <w:spacing w:val="-7"/>
                <w:sz w:val="22"/>
              </w:rPr>
              <w:t>/+</w:t>
            </w:r>
          </w:p>
        </w:tc>
        <w:tc>
          <w:tcPr>
            <w:tcW w:w="1393" w:type="dxa"/>
          </w:tcPr>
          <w:p>
            <w:pPr>
              <w:pStyle w:val="TableParagraph"/>
              <w:spacing w:line="232" w:lineRule="exact"/>
              <w:ind w:left="2" w:right="2"/>
              <w:rPr>
                <w:sz w:val="22"/>
              </w:rPr>
            </w:pPr>
            <w:r>
              <w:rPr>
                <w:spacing w:val="-2"/>
                <w:sz w:val="22"/>
              </w:rPr>
              <w:t>-</w:t>
            </w:r>
            <w:r>
              <w:rPr>
                <w:spacing w:val="-7"/>
                <w:sz w:val="22"/>
              </w:rPr>
              <w:t>/+</w:t>
            </w:r>
          </w:p>
        </w:tc>
        <w:tc>
          <w:tcPr>
            <w:tcW w:w="1395" w:type="dxa"/>
          </w:tcPr>
          <w:p>
            <w:pPr>
              <w:pStyle w:val="TableParagraph"/>
              <w:spacing w:line="232" w:lineRule="exact"/>
              <w:ind w:left="529" w:right="526"/>
              <w:rPr>
                <w:sz w:val="22"/>
              </w:rPr>
            </w:pPr>
            <w:r>
              <w:rPr>
                <w:spacing w:val="-5"/>
                <w:sz w:val="22"/>
              </w:rPr>
              <w:t>yes</w:t>
            </w:r>
          </w:p>
        </w:tc>
      </w:tr>
      <w:tr>
        <w:trPr>
          <w:trHeight w:val="253" w:hRule="atLeast"/>
        </w:trPr>
        <w:tc>
          <w:tcPr>
            <w:tcW w:w="876" w:type="dxa"/>
          </w:tcPr>
          <w:p>
            <w:pPr>
              <w:pStyle w:val="TableParagraph"/>
              <w:jc w:val="left"/>
              <w:rPr>
                <w:sz w:val="18"/>
              </w:rPr>
            </w:pPr>
          </w:p>
        </w:tc>
        <w:tc>
          <w:tcPr>
            <w:tcW w:w="1212" w:type="dxa"/>
          </w:tcPr>
          <w:p>
            <w:pPr>
              <w:pStyle w:val="TableParagraph"/>
              <w:spacing w:line="233" w:lineRule="exact"/>
              <w:ind w:left="18"/>
              <w:rPr>
                <w:sz w:val="22"/>
              </w:rPr>
            </w:pPr>
            <w:r>
              <w:rPr>
                <w:w w:val="99"/>
                <w:sz w:val="22"/>
              </w:rPr>
              <w:t>2</w:t>
            </w:r>
          </w:p>
        </w:tc>
        <w:tc>
          <w:tcPr>
            <w:tcW w:w="1556" w:type="dxa"/>
          </w:tcPr>
          <w:p>
            <w:pPr>
              <w:pStyle w:val="TableParagraph"/>
              <w:spacing w:line="233" w:lineRule="exact"/>
              <w:ind w:left="374" w:right="357"/>
              <w:rPr>
                <w:sz w:val="22"/>
              </w:rPr>
            </w:pPr>
            <w:r>
              <w:rPr>
                <w:spacing w:val="-5"/>
                <w:sz w:val="22"/>
              </w:rPr>
              <w:t>+/+</w:t>
            </w:r>
          </w:p>
        </w:tc>
        <w:tc>
          <w:tcPr>
            <w:tcW w:w="1401" w:type="dxa"/>
          </w:tcPr>
          <w:p>
            <w:pPr>
              <w:pStyle w:val="TableParagraph"/>
              <w:spacing w:line="233" w:lineRule="exact"/>
              <w:ind w:left="417" w:right="398"/>
              <w:rPr>
                <w:sz w:val="22"/>
              </w:rPr>
            </w:pPr>
            <w:r>
              <w:rPr>
                <w:spacing w:val="-2"/>
                <w:sz w:val="22"/>
              </w:rPr>
              <w:t>-</w:t>
            </w:r>
            <w:r>
              <w:rPr>
                <w:spacing w:val="-7"/>
                <w:sz w:val="22"/>
              </w:rPr>
              <w:t>/+</w:t>
            </w:r>
          </w:p>
        </w:tc>
        <w:tc>
          <w:tcPr>
            <w:tcW w:w="1393" w:type="dxa"/>
          </w:tcPr>
          <w:p>
            <w:pPr>
              <w:pStyle w:val="TableParagraph"/>
              <w:spacing w:line="233" w:lineRule="exact"/>
              <w:ind w:left="2" w:right="2"/>
              <w:rPr>
                <w:sz w:val="22"/>
              </w:rPr>
            </w:pPr>
            <w:r>
              <w:rPr>
                <w:spacing w:val="-2"/>
                <w:sz w:val="22"/>
              </w:rPr>
              <w:t>-</w:t>
            </w:r>
            <w:r>
              <w:rPr>
                <w:spacing w:val="-7"/>
                <w:sz w:val="22"/>
              </w:rPr>
              <w:t>/+</w:t>
            </w:r>
          </w:p>
        </w:tc>
        <w:tc>
          <w:tcPr>
            <w:tcW w:w="1395" w:type="dxa"/>
          </w:tcPr>
          <w:p>
            <w:pPr>
              <w:pStyle w:val="TableParagraph"/>
              <w:spacing w:line="233" w:lineRule="exact"/>
              <w:ind w:left="529" w:right="526"/>
              <w:rPr>
                <w:sz w:val="22"/>
              </w:rPr>
            </w:pPr>
            <w:r>
              <w:rPr>
                <w:spacing w:val="-5"/>
                <w:sz w:val="22"/>
              </w:rPr>
              <w:t>yes</w:t>
            </w:r>
          </w:p>
        </w:tc>
      </w:tr>
      <w:tr>
        <w:trPr>
          <w:trHeight w:val="252" w:hRule="atLeast"/>
        </w:trPr>
        <w:tc>
          <w:tcPr>
            <w:tcW w:w="876" w:type="dxa"/>
          </w:tcPr>
          <w:p>
            <w:pPr>
              <w:pStyle w:val="TableParagraph"/>
              <w:spacing w:line="232" w:lineRule="exact"/>
              <w:ind w:left="18"/>
              <w:rPr>
                <w:sz w:val="22"/>
              </w:rPr>
            </w:pPr>
            <w:r>
              <w:rPr>
                <w:w w:val="99"/>
                <w:sz w:val="22"/>
              </w:rPr>
              <w:t>3</w:t>
            </w:r>
          </w:p>
        </w:tc>
        <w:tc>
          <w:tcPr>
            <w:tcW w:w="1212" w:type="dxa"/>
          </w:tcPr>
          <w:p>
            <w:pPr>
              <w:pStyle w:val="TableParagraph"/>
              <w:spacing w:line="232" w:lineRule="exact"/>
              <w:ind w:left="18"/>
              <w:rPr>
                <w:sz w:val="22"/>
              </w:rPr>
            </w:pPr>
            <w:r>
              <w:rPr>
                <w:w w:val="99"/>
                <w:sz w:val="22"/>
              </w:rPr>
              <w:t>1</w:t>
            </w:r>
          </w:p>
        </w:tc>
        <w:tc>
          <w:tcPr>
            <w:tcW w:w="1556" w:type="dxa"/>
          </w:tcPr>
          <w:p>
            <w:pPr>
              <w:pStyle w:val="TableParagraph"/>
              <w:spacing w:line="232" w:lineRule="exact"/>
              <w:ind w:left="374" w:right="357"/>
              <w:rPr>
                <w:sz w:val="22"/>
              </w:rPr>
            </w:pPr>
            <w:r>
              <w:rPr>
                <w:spacing w:val="-5"/>
                <w:sz w:val="22"/>
              </w:rPr>
              <w:t>+/+</w:t>
            </w:r>
          </w:p>
        </w:tc>
        <w:tc>
          <w:tcPr>
            <w:tcW w:w="1401" w:type="dxa"/>
          </w:tcPr>
          <w:p>
            <w:pPr>
              <w:pStyle w:val="TableParagraph"/>
              <w:spacing w:line="232" w:lineRule="exact"/>
              <w:ind w:left="417" w:right="398"/>
              <w:rPr>
                <w:sz w:val="22"/>
              </w:rPr>
            </w:pPr>
            <w:r>
              <w:rPr>
                <w:spacing w:val="-2"/>
                <w:sz w:val="22"/>
              </w:rPr>
              <w:t>-</w:t>
            </w:r>
            <w:r>
              <w:rPr>
                <w:spacing w:val="-7"/>
                <w:sz w:val="22"/>
              </w:rPr>
              <w:t>/+</w:t>
            </w:r>
          </w:p>
        </w:tc>
        <w:tc>
          <w:tcPr>
            <w:tcW w:w="1393" w:type="dxa"/>
          </w:tcPr>
          <w:p>
            <w:pPr>
              <w:pStyle w:val="TableParagraph"/>
              <w:spacing w:line="232" w:lineRule="exact"/>
              <w:ind w:left="2" w:right="2"/>
              <w:rPr>
                <w:sz w:val="22"/>
              </w:rPr>
            </w:pPr>
            <w:r>
              <w:rPr>
                <w:spacing w:val="-2"/>
                <w:sz w:val="22"/>
              </w:rPr>
              <w:t>-</w:t>
            </w:r>
            <w:r>
              <w:rPr>
                <w:spacing w:val="-7"/>
                <w:sz w:val="22"/>
              </w:rPr>
              <w:t>/+</w:t>
            </w:r>
          </w:p>
        </w:tc>
        <w:tc>
          <w:tcPr>
            <w:tcW w:w="1395" w:type="dxa"/>
          </w:tcPr>
          <w:p>
            <w:pPr>
              <w:pStyle w:val="TableParagraph"/>
              <w:spacing w:line="232" w:lineRule="exact"/>
              <w:ind w:left="529" w:right="526"/>
              <w:rPr>
                <w:sz w:val="22"/>
              </w:rPr>
            </w:pPr>
            <w:r>
              <w:rPr>
                <w:spacing w:val="-5"/>
                <w:sz w:val="22"/>
              </w:rPr>
              <w:t>yes</w:t>
            </w:r>
          </w:p>
        </w:tc>
      </w:tr>
      <w:tr>
        <w:trPr>
          <w:trHeight w:val="253" w:hRule="atLeast"/>
        </w:trPr>
        <w:tc>
          <w:tcPr>
            <w:tcW w:w="876" w:type="dxa"/>
          </w:tcPr>
          <w:p>
            <w:pPr>
              <w:pStyle w:val="TableParagraph"/>
              <w:jc w:val="left"/>
              <w:rPr>
                <w:sz w:val="18"/>
              </w:rPr>
            </w:pPr>
          </w:p>
        </w:tc>
        <w:tc>
          <w:tcPr>
            <w:tcW w:w="1212" w:type="dxa"/>
          </w:tcPr>
          <w:p>
            <w:pPr>
              <w:pStyle w:val="TableParagraph"/>
              <w:spacing w:line="233" w:lineRule="exact"/>
              <w:ind w:left="18"/>
              <w:rPr>
                <w:sz w:val="22"/>
              </w:rPr>
            </w:pPr>
            <w:r>
              <w:rPr>
                <w:w w:val="99"/>
                <w:sz w:val="22"/>
              </w:rPr>
              <w:t>2</w:t>
            </w:r>
          </w:p>
        </w:tc>
        <w:tc>
          <w:tcPr>
            <w:tcW w:w="1556" w:type="dxa"/>
          </w:tcPr>
          <w:p>
            <w:pPr>
              <w:pStyle w:val="TableParagraph"/>
              <w:spacing w:line="233" w:lineRule="exact"/>
              <w:ind w:left="374" w:right="357"/>
              <w:rPr>
                <w:sz w:val="22"/>
              </w:rPr>
            </w:pPr>
            <w:r>
              <w:rPr>
                <w:spacing w:val="-5"/>
                <w:sz w:val="22"/>
              </w:rPr>
              <w:t>+/+</w:t>
            </w:r>
          </w:p>
        </w:tc>
        <w:tc>
          <w:tcPr>
            <w:tcW w:w="1401" w:type="dxa"/>
          </w:tcPr>
          <w:p>
            <w:pPr>
              <w:pStyle w:val="TableParagraph"/>
              <w:spacing w:line="233" w:lineRule="exact"/>
              <w:ind w:left="417" w:right="398"/>
              <w:rPr>
                <w:sz w:val="22"/>
              </w:rPr>
            </w:pPr>
            <w:r>
              <w:rPr>
                <w:spacing w:val="-2"/>
                <w:sz w:val="22"/>
              </w:rPr>
              <w:t>-</w:t>
            </w:r>
            <w:r>
              <w:rPr>
                <w:spacing w:val="-7"/>
                <w:sz w:val="22"/>
              </w:rPr>
              <w:t>/+</w:t>
            </w:r>
          </w:p>
        </w:tc>
        <w:tc>
          <w:tcPr>
            <w:tcW w:w="1393" w:type="dxa"/>
          </w:tcPr>
          <w:p>
            <w:pPr>
              <w:pStyle w:val="TableParagraph"/>
              <w:spacing w:line="233" w:lineRule="exact"/>
              <w:ind w:left="2" w:right="2"/>
              <w:rPr>
                <w:sz w:val="22"/>
              </w:rPr>
            </w:pPr>
            <w:r>
              <w:rPr>
                <w:spacing w:val="-2"/>
                <w:sz w:val="22"/>
              </w:rPr>
              <w:t>-</w:t>
            </w:r>
            <w:r>
              <w:rPr>
                <w:spacing w:val="-7"/>
                <w:sz w:val="22"/>
              </w:rPr>
              <w:t>/+</w:t>
            </w:r>
          </w:p>
        </w:tc>
        <w:tc>
          <w:tcPr>
            <w:tcW w:w="1395" w:type="dxa"/>
          </w:tcPr>
          <w:p>
            <w:pPr>
              <w:pStyle w:val="TableParagraph"/>
              <w:spacing w:line="233" w:lineRule="exact"/>
              <w:ind w:left="529" w:right="526"/>
              <w:rPr>
                <w:sz w:val="22"/>
              </w:rPr>
            </w:pPr>
            <w:r>
              <w:rPr>
                <w:spacing w:val="-5"/>
                <w:sz w:val="22"/>
              </w:rPr>
              <w:t>yes</w:t>
            </w:r>
          </w:p>
        </w:tc>
      </w:tr>
      <w:tr>
        <w:trPr>
          <w:trHeight w:val="252" w:hRule="atLeast"/>
        </w:trPr>
        <w:tc>
          <w:tcPr>
            <w:tcW w:w="876" w:type="dxa"/>
          </w:tcPr>
          <w:p>
            <w:pPr>
              <w:pStyle w:val="TableParagraph"/>
              <w:spacing w:line="232" w:lineRule="exact"/>
              <w:ind w:left="18"/>
              <w:rPr>
                <w:sz w:val="22"/>
              </w:rPr>
            </w:pPr>
            <w:r>
              <w:rPr>
                <w:w w:val="99"/>
                <w:sz w:val="22"/>
              </w:rPr>
              <w:t>4</w:t>
            </w:r>
          </w:p>
        </w:tc>
        <w:tc>
          <w:tcPr>
            <w:tcW w:w="1212" w:type="dxa"/>
          </w:tcPr>
          <w:p>
            <w:pPr>
              <w:pStyle w:val="TableParagraph"/>
              <w:spacing w:line="232" w:lineRule="exact"/>
              <w:ind w:left="18"/>
              <w:rPr>
                <w:sz w:val="22"/>
              </w:rPr>
            </w:pPr>
            <w:r>
              <w:rPr>
                <w:w w:val="99"/>
                <w:sz w:val="22"/>
              </w:rPr>
              <w:t>1</w:t>
            </w:r>
          </w:p>
        </w:tc>
        <w:tc>
          <w:tcPr>
            <w:tcW w:w="1556" w:type="dxa"/>
          </w:tcPr>
          <w:p>
            <w:pPr>
              <w:pStyle w:val="TableParagraph"/>
              <w:spacing w:line="232" w:lineRule="exact"/>
              <w:ind w:left="374" w:right="357"/>
              <w:rPr>
                <w:sz w:val="22"/>
              </w:rPr>
            </w:pPr>
            <w:r>
              <w:rPr>
                <w:spacing w:val="-5"/>
                <w:sz w:val="22"/>
              </w:rPr>
              <w:t>+/+</w:t>
            </w:r>
          </w:p>
        </w:tc>
        <w:tc>
          <w:tcPr>
            <w:tcW w:w="1401" w:type="dxa"/>
          </w:tcPr>
          <w:p>
            <w:pPr>
              <w:pStyle w:val="TableParagraph"/>
              <w:spacing w:line="232" w:lineRule="exact"/>
              <w:ind w:left="417" w:right="398"/>
              <w:rPr>
                <w:sz w:val="22"/>
              </w:rPr>
            </w:pPr>
            <w:r>
              <w:rPr>
                <w:spacing w:val="-2"/>
                <w:sz w:val="22"/>
              </w:rPr>
              <w:t>-</w:t>
            </w:r>
            <w:r>
              <w:rPr>
                <w:spacing w:val="-7"/>
                <w:sz w:val="22"/>
              </w:rPr>
              <w:t>/+</w:t>
            </w:r>
          </w:p>
        </w:tc>
        <w:tc>
          <w:tcPr>
            <w:tcW w:w="1393" w:type="dxa"/>
          </w:tcPr>
          <w:p>
            <w:pPr>
              <w:pStyle w:val="TableParagraph"/>
              <w:spacing w:line="232" w:lineRule="exact"/>
              <w:ind w:left="2" w:right="2"/>
              <w:rPr>
                <w:sz w:val="22"/>
              </w:rPr>
            </w:pPr>
            <w:r>
              <w:rPr>
                <w:spacing w:val="-2"/>
                <w:sz w:val="22"/>
              </w:rPr>
              <w:t>-</w:t>
            </w:r>
            <w:r>
              <w:rPr>
                <w:spacing w:val="-7"/>
                <w:sz w:val="22"/>
              </w:rPr>
              <w:t>/+</w:t>
            </w:r>
          </w:p>
        </w:tc>
        <w:tc>
          <w:tcPr>
            <w:tcW w:w="1395" w:type="dxa"/>
          </w:tcPr>
          <w:p>
            <w:pPr>
              <w:pStyle w:val="TableParagraph"/>
              <w:spacing w:line="232" w:lineRule="exact"/>
              <w:ind w:left="529" w:right="526"/>
              <w:rPr>
                <w:sz w:val="22"/>
              </w:rPr>
            </w:pPr>
            <w:r>
              <w:rPr>
                <w:spacing w:val="-5"/>
                <w:sz w:val="22"/>
              </w:rPr>
              <w:t>yes</w:t>
            </w:r>
          </w:p>
        </w:tc>
      </w:tr>
      <w:tr>
        <w:trPr>
          <w:trHeight w:val="253" w:hRule="atLeast"/>
        </w:trPr>
        <w:tc>
          <w:tcPr>
            <w:tcW w:w="876" w:type="dxa"/>
          </w:tcPr>
          <w:p>
            <w:pPr>
              <w:pStyle w:val="TableParagraph"/>
              <w:jc w:val="left"/>
              <w:rPr>
                <w:sz w:val="18"/>
              </w:rPr>
            </w:pPr>
          </w:p>
        </w:tc>
        <w:tc>
          <w:tcPr>
            <w:tcW w:w="1212" w:type="dxa"/>
          </w:tcPr>
          <w:p>
            <w:pPr>
              <w:pStyle w:val="TableParagraph"/>
              <w:spacing w:line="233" w:lineRule="exact"/>
              <w:ind w:left="18"/>
              <w:rPr>
                <w:sz w:val="22"/>
              </w:rPr>
            </w:pPr>
            <w:r>
              <w:rPr>
                <w:w w:val="99"/>
                <w:sz w:val="22"/>
              </w:rPr>
              <w:t>2</w:t>
            </w:r>
          </w:p>
        </w:tc>
        <w:tc>
          <w:tcPr>
            <w:tcW w:w="1556" w:type="dxa"/>
          </w:tcPr>
          <w:p>
            <w:pPr>
              <w:pStyle w:val="TableParagraph"/>
              <w:spacing w:line="233" w:lineRule="exact"/>
              <w:ind w:left="374" w:right="357"/>
              <w:rPr>
                <w:sz w:val="22"/>
              </w:rPr>
            </w:pPr>
            <w:r>
              <w:rPr>
                <w:spacing w:val="-5"/>
                <w:sz w:val="22"/>
              </w:rPr>
              <w:t>+/+</w:t>
            </w:r>
          </w:p>
        </w:tc>
        <w:tc>
          <w:tcPr>
            <w:tcW w:w="1401" w:type="dxa"/>
          </w:tcPr>
          <w:p>
            <w:pPr>
              <w:pStyle w:val="TableParagraph"/>
              <w:spacing w:line="233" w:lineRule="exact"/>
              <w:ind w:left="417" w:right="398"/>
              <w:rPr>
                <w:sz w:val="22"/>
              </w:rPr>
            </w:pPr>
            <w:r>
              <w:rPr>
                <w:spacing w:val="-2"/>
                <w:sz w:val="22"/>
              </w:rPr>
              <w:t>-</w:t>
            </w:r>
            <w:r>
              <w:rPr>
                <w:spacing w:val="-7"/>
                <w:sz w:val="22"/>
              </w:rPr>
              <w:t>/+</w:t>
            </w:r>
          </w:p>
        </w:tc>
        <w:tc>
          <w:tcPr>
            <w:tcW w:w="1393" w:type="dxa"/>
          </w:tcPr>
          <w:p>
            <w:pPr>
              <w:pStyle w:val="TableParagraph"/>
              <w:spacing w:line="233" w:lineRule="exact"/>
              <w:ind w:left="2" w:right="2"/>
              <w:rPr>
                <w:sz w:val="22"/>
              </w:rPr>
            </w:pPr>
            <w:r>
              <w:rPr>
                <w:spacing w:val="-2"/>
                <w:sz w:val="22"/>
              </w:rPr>
              <w:t>-</w:t>
            </w:r>
            <w:r>
              <w:rPr>
                <w:spacing w:val="-7"/>
                <w:sz w:val="22"/>
              </w:rPr>
              <w:t>/+</w:t>
            </w:r>
          </w:p>
        </w:tc>
        <w:tc>
          <w:tcPr>
            <w:tcW w:w="1395" w:type="dxa"/>
          </w:tcPr>
          <w:p>
            <w:pPr>
              <w:pStyle w:val="TableParagraph"/>
              <w:spacing w:line="233" w:lineRule="exact"/>
              <w:ind w:left="529" w:right="526"/>
              <w:rPr>
                <w:sz w:val="22"/>
              </w:rPr>
            </w:pPr>
            <w:r>
              <w:rPr>
                <w:spacing w:val="-5"/>
                <w:sz w:val="22"/>
              </w:rPr>
              <w:t>yes</w:t>
            </w:r>
          </w:p>
        </w:tc>
      </w:tr>
      <w:tr>
        <w:trPr>
          <w:trHeight w:val="252" w:hRule="atLeast"/>
        </w:trPr>
        <w:tc>
          <w:tcPr>
            <w:tcW w:w="876" w:type="dxa"/>
          </w:tcPr>
          <w:p>
            <w:pPr>
              <w:pStyle w:val="TableParagraph"/>
              <w:spacing w:line="232" w:lineRule="exact"/>
              <w:ind w:left="18"/>
              <w:rPr>
                <w:sz w:val="22"/>
              </w:rPr>
            </w:pPr>
            <w:r>
              <w:rPr>
                <w:w w:val="99"/>
                <w:sz w:val="22"/>
              </w:rPr>
              <w:t>5</w:t>
            </w:r>
          </w:p>
        </w:tc>
        <w:tc>
          <w:tcPr>
            <w:tcW w:w="1212" w:type="dxa"/>
          </w:tcPr>
          <w:p>
            <w:pPr>
              <w:pStyle w:val="TableParagraph"/>
              <w:spacing w:line="232" w:lineRule="exact"/>
              <w:ind w:left="18"/>
              <w:rPr>
                <w:sz w:val="22"/>
              </w:rPr>
            </w:pPr>
            <w:r>
              <w:rPr>
                <w:w w:val="99"/>
                <w:sz w:val="22"/>
              </w:rPr>
              <w:t>1</w:t>
            </w:r>
          </w:p>
        </w:tc>
        <w:tc>
          <w:tcPr>
            <w:tcW w:w="1556" w:type="dxa"/>
          </w:tcPr>
          <w:p>
            <w:pPr>
              <w:pStyle w:val="TableParagraph"/>
              <w:spacing w:line="232" w:lineRule="exact"/>
              <w:ind w:left="374" w:right="357"/>
              <w:rPr>
                <w:sz w:val="22"/>
              </w:rPr>
            </w:pPr>
            <w:r>
              <w:rPr>
                <w:spacing w:val="-5"/>
                <w:sz w:val="22"/>
              </w:rPr>
              <w:t>+/+</w:t>
            </w:r>
          </w:p>
        </w:tc>
        <w:tc>
          <w:tcPr>
            <w:tcW w:w="1401" w:type="dxa"/>
          </w:tcPr>
          <w:p>
            <w:pPr>
              <w:pStyle w:val="TableParagraph"/>
              <w:spacing w:line="232" w:lineRule="exact"/>
              <w:ind w:left="417" w:right="398"/>
              <w:rPr>
                <w:sz w:val="22"/>
              </w:rPr>
            </w:pPr>
            <w:r>
              <w:rPr>
                <w:spacing w:val="-2"/>
                <w:sz w:val="22"/>
              </w:rPr>
              <w:t>-</w:t>
            </w:r>
            <w:r>
              <w:rPr>
                <w:spacing w:val="-7"/>
                <w:sz w:val="22"/>
              </w:rPr>
              <w:t>/+</w:t>
            </w:r>
          </w:p>
        </w:tc>
        <w:tc>
          <w:tcPr>
            <w:tcW w:w="1393" w:type="dxa"/>
          </w:tcPr>
          <w:p>
            <w:pPr>
              <w:pStyle w:val="TableParagraph"/>
              <w:spacing w:line="232" w:lineRule="exact"/>
              <w:ind w:left="2" w:right="2"/>
              <w:rPr>
                <w:sz w:val="22"/>
              </w:rPr>
            </w:pPr>
            <w:r>
              <w:rPr>
                <w:spacing w:val="-2"/>
                <w:sz w:val="22"/>
              </w:rPr>
              <w:t>-</w:t>
            </w:r>
            <w:r>
              <w:rPr>
                <w:spacing w:val="-7"/>
                <w:sz w:val="22"/>
              </w:rPr>
              <w:t>/+</w:t>
            </w:r>
          </w:p>
        </w:tc>
        <w:tc>
          <w:tcPr>
            <w:tcW w:w="1395" w:type="dxa"/>
          </w:tcPr>
          <w:p>
            <w:pPr>
              <w:pStyle w:val="TableParagraph"/>
              <w:spacing w:line="232" w:lineRule="exact"/>
              <w:ind w:left="529" w:right="526"/>
              <w:rPr>
                <w:sz w:val="22"/>
              </w:rPr>
            </w:pPr>
            <w:r>
              <w:rPr>
                <w:spacing w:val="-5"/>
                <w:sz w:val="22"/>
              </w:rPr>
              <w:t>yes</w:t>
            </w:r>
          </w:p>
        </w:tc>
      </w:tr>
      <w:tr>
        <w:trPr>
          <w:trHeight w:val="252" w:hRule="atLeast"/>
        </w:trPr>
        <w:tc>
          <w:tcPr>
            <w:tcW w:w="876" w:type="dxa"/>
          </w:tcPr>
          <w:p>
            <w:pPr>
              <w:pStyle w:val="TableParagraph"/>
              <w:jc w:val="left"/>
              <w:rPr>
                <w:sz w:val="18"/>
              </w:rPr>
            </w:pPr>
          </w:p>
        </w:tc>
        <w:tc>
          <w:tcPr>
            <w:tcW w:w="1212" w:type="dxa"/>
          </w:tcPr>
          <w:p>
            <w:pPr>
              <w:pStyle w:val="TableParagraph"/>
              <w:spacing w:line="232" w:lineRule="exact"/>
              <w:ind w:left="18"/>
              <w:rPr>
                <w:sz w:val="22"/>
              </w:rPr>
            </w:pPr>
            <w:r>
              <w:rPr>
                <w:w w:val="99"/>
                <w:sz w:val="22"/>
              </w:rPr>
              <w:t>2</w:t>
            </w:r>
          </w:p>
        </w:tc>
        <w:tc>
          <w:tcPr>
            <w:tcW w:w="1556" w:type="dxa"/>
          </w:tcPr>
          <w:p>
            <w:pPr>
              <w:pStyle w:val="TableParagraph"/>
              <w:spacing w:line="232" w:lineRule="exact"/>
              <w:ind w:left="374" w:right="357"/>
              <w:rPr>
                <w:sz w:val="22"/>
              </w:rPr>
            </w:pPr>
            <w:r>
              <w:rPr>
                <w:spacing w:val="-5"/>
                <w:sz w:val="22"/>
              </w:rPr>
              <w:t>+/+</w:t>
            </w:r>
          </w:p>
        </w:tc>
        <w:tc>
          <w:tcPr>
            <w:tcW w:w="1401" w:type="dxa"/>
          </w:tcPr>
          <w:p>
            <w:pPr>
              <w:pStyle w:val="TableParagraph"/>
              <w:spacing w:line="232" w:lineRule="exact"/>
              <w:ind w:left="417" w:right="398"/>
              <w:rPr>
                <w:sz w:val="22"/>
              </w:rPr>
            </w:pPr>
            <w:r>
              <w:rPr>
                <w:spacing w:val="-2"/>
                <w:sz w:val="22"/>
              </w:rPr>
              <w:t>-</w:t>
            </w:r>
            <w:r>
              <w:rPr>
                <w:spacing w:val="-7"/>
                <w:sz w:val="22"/>
              </w:rPr>
              <w:t>/+</w:t>
            </w:r>
          </w:p>
        </w:tc>
        <w:tc>
          <w:tcPr>
            <w:tcW w:w="1393" w:type="dxa"/>
          </w:tcPr>
          <w:p>
            <w:pPr>
              <w:pStyle w:val="TableParagraph"/>
              <w:spacing w:line="232" w:lineRule="exact"/>
              <w:ind w:left="2" w:right="2"/>
              <w:rPr>
                <w:sz w:val="22"/>
              </w:rPr>
            </w:pPr>
            <w:r>
              <w:rPr>
                <w:spacing w:val="-2"/>
                <w:sz w:val="22"/>
              </w:rPr>
              <w:t>-</w:t>
            </w:r>
            <w:r>
              <w:rPr>
                <w:spacing w:val="-7"/>
                <w:sz w:val="22"/>
              </w:rPr>
              <w:t>/+</w:t>
            </w:r>
          </w:p>
        </w:tc>
        <w:tc>
          <w:tcPr>
            <w:tcW w:w="1395" w:type="dxa"/>
          </w:tcPr>
          <w:p>
            <w:pPr>
              <w:pStyle w:val="TableParagraph"/>
              <w:spacing w:line="232" w:lineRule="exact"/>
              <w:ind w:left="529" w:right="526"/>
              <w:rPr>
                <w:sz w:val="22"/>
              </w:rPr>
            </w:pPr>
            <w:r>
              <w:rPr>
                <w:spacing w:val="-5"/>
                <w:sz w:val="22"/>
              </w:rPr>
              <w:t>yes</w:t>
            </w:r>
          </w:p>
        </w:tc>
      </w:tr>
    </w:tbl>
    <w:p>
      <w:pPr>
        <w:spacing w:after="0" w:line="232" w:lineRule="exact"/>
        <w:rPr>
          <w:sz w:val="22"/>
        </w:rPr>
        <w:sectPr>
          <w:pgSz w:w="12240" w:h="15840"/>
          <w:pgMar w:header="731" w:footer="785" w:top="1360" w:bottom="980" w:left="1280" w:right="1200"/>
        </w:sectPr>
      </w:pPr>
    </w:p>
    <w:p>
      <w:pPr>
        <w:pStyle w:val="Heading6"/>
        <w:numPr>
          <w:ilvl w:val="1"/>
          <w:numId w:val="13"/>
        </w:numPr>
        <w:tabs>
          <w:tab w:pos="879" w:val="left" w:leader="none"/>
        </w:tabs>
        <w:spacing w:line="240" w:lineRule="auto" w:before="80" w:after="0"/>
        <w:ind w:left="879" w:right="0" w:hanging="359"/>
        <w:jc w:val="left"/>
      </w:pPr>
      <w:bookmarkStart w:name="3) Clinical Agreement Study:" w:id="94"/>
      <w:bookmarkEnd w:id="94"/>
      <w:r>
        <w:rPr>
          <w:b w:val="0"/>
          <w:i w:val="0"/>
        </w:rPr>
      </w:r>
      <w:r>
        <w:rPr>
          <w:u w:val="thick"/>
        </w:rPr>
        <w:t>Clinical</w:t>
      </w:r>
      <w:r>
        <w:rPr>
          <w:spacing w:val="-3"/>
          <w:u w:val="thick"/>
        </w:rPr>
        <w:t> </w:t>
      </w:r>
      <w:r>
        <w:rPr>
          <w:u w:val="thick"/>
        </w:rPr>
        <w:t>Agreement</w:t>
      </w:r>
      <w:r>
        <w:rPr>
          <w:spacing w:val="-2"/>
          <w:u w:val="thick"/>
        </w:rPr>
        <w:t> Study:</w:t>
      </w:r>
    </w:p>
    <w:p>
      <w:pPr>
        <w:pStyle w:val="Heading6"/>
        <w:spacing w:before="120"/>
        <w:ind w:right="332"/>
      </w:pPr>
      <w:r>
        <w:rPr>
          <w:color w:val="000000"/>
          <w:shd w:fill="FFFF00" w:color="auto" w:val="clear"/>
        </w:rPr>
        <w:t>[Please</w:t>
      </w:r>
      <w:r>
        <w:rPr>
          <w:color w:val="000000"/>
          <w:spacing w:val="-3"/>
          <w:shd w:fill="FFFF00" w:color="auto" w:val="clear"/>
        </w:rPr>
        <w:t> </w:t>
      </w:r>
      <w:r>
        <w:rPr>
          <w:color w:val="000000"/>
          <w:shd w:fill="FFFF00" w:color="auto" w:val="clear"/>
        </w:rPr>
        <w:t>describe</w:t>
      </w:r>
      <w:r>
        <w:rPr>
          <w:color w:val="000000"/>
          <w:spacing w:val="-3"/>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clinical</w:t>
      </w:r>
      <w:r>
        <w:rPr>
          <w:color w:val="000000"/>
          <w:spacing w:val="-3"/>
          <w:shd w:fill="FFFF00" w:color="auto" w:val="clear"/>
        </w:rPr>
        <w:t> </w:t>
      </w:r>
      <w:r>
        <w:rPr>
          <w:color w:val="000000"/>
          <w:shd w:fill="FFFF00" w:color="auto" w:val="clear"/>
        </w:rPr>
        <w:t>study</w:t>
      </w:r>
      <w:r>
        <w:rPr>
          <w:color w:val="000000"/>
          <w:spacing w:val="-3"/>
          <w:shd w:fill="FFFF00" w:color="auto" w:val="clear"/>
        </w:rPr>
        <w:t> </w:t>
      </w:r>
      <w:r>
        <w:rPr>
          <w:color w:val="000000"/>
          <w:shd w:fill="FFFF00" w:color="auto" w:val="clear"/>
        </w:rPr>
        <w:t>used</w:t>
      </w:r>
      <w:r>
        <w:rPr>
          <w:color w:val="000000"/>
          <w:spacing w:val="-4"/>
          <w:shd w:fill="FFFF00" w:color="auto" w:val="clear"/>
        </w:rPr>
        <w:t> </w:t>
      </w:r>
      <w:r>
        <w:rPr>
          <w:color w:val="000000"/>
          <w:shd w:fill="FFFF00" w:color="auto" w:val="clear"/>
        </w:rPr>
        <w:t>to</w:t>
      </w:r>
      <w:r>
        <w:rPr>
          <w:color w:val="000000"/>
          <w:spacing w:val="-3"/>
          <w:shd w:fill="FFFF00" w:color="auto" w:val="clear"/>
        </w:rPr>
        <w:t> </w:t>
      </w:r>
      <w:r>
        <w:rPr>
          <w:color w:val="000000"/>
          <w:shd w:fill="FFFF00" w:color="auto" w:val="clear"/>
        </w:rPr>
        <w:t>evaluate</w:t>
      </w:r>
      <w:r>
        <w:rPr>
          <w:color w:val="000000"/>
          <w:spacing w:val="-3"/>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clinical</w:t>
      </w:r>
      <w:r>
        <w:rPr>
          <w:color w:val="000000"/>
          <w:spacing w:val="-2"/>
          <w:shd w:fill="FFFF00" w:color="auto" w:val="clear"/>
        </w:rPr>
        <w:t> </w:t>
      </w:r>
      <w:r>
        <w:rPr>
          <w:color w:val="000000"/>
          <w:shd w:fill="FFFF00" w:color="auto" w:val="clear"/>
        </w:rPr>
        <w:t>performance</w:t>
      </w:r>
      <w:r>
        <w:rPr>
          <w:color w:val="000000"/>
          <w:spacing w:val="-3"/>
          <w:shd w:fill="FFFF00" w:color="auto" w:val="clear"/>
        </w:rPr>
        <w:t> </w:t>
      </w:r>
      <w:r>
        <w:rPr>
          <w:color w:val="000000"/>
          <w:shd w:fill="FFFF00" w:color="auto" w:val="clear"/>
        </w:rPr>
        <w:t>of</w:t>
      </w:r>
      <w:r>
        <w:rPr>
          <w:color w:val="000000"/>
          <w:spacing w:val="-3"/>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test.</w:t>
      </w:r>
      <w:r>
        <w:rPr>
          <w:color w:val="000000"/>
        </w:rPr>
        <w:t> </w:t>
      </w:r>
      <w:r>
        <w:rPr>
          <w:color w:val="000000"/>
          <w:shd w:fill="FFFF00" w:color="auto" w:val="clear"/>
        </w:rPr>
        <w:t>Please note</w:t>
      </w:r>
      <w:r>
        <w:rPr>
          <w:color w:val="000000"/>
          <w:spacing w:val="-1"/>
          <w:shd w:fill="FFFF00" w:color="auto" w:val="clear"/>
        </w:rPr>
        <w:t> </w:t>
      </w:r>
      <w:r>
        <w:rPr>
          <w:color w:val="000000"/>
          <w:shd w:fill="FFFF00" w:color="auto" w:val="clear"/>
        </w:rPr>
        <w:t>that the exact requirements for</w:t>
      </w:r>
      <w:r>
        <w:rPr>
          <w:color w:val="000000"/>
          <w:spacing w:val="-1"/>
          <w:shd w:fill="FFFF00" w:color="auto" w:val="clear"/>
        </w:rPr>
        <w:t> </w:t>
      </w:r>
      <w:r>
        <w:rPr>
          <w:color w:val="000000"/>
          <w:shd w:fill="FFFF00" w:color="auto" w:val="clear"/>
        </w:rPr>
        <w:t>the</w:t>
      </w:r>
      <w:r>
        <w:rPr>
          <w:color w:val="000000"/>
          <w:spacing w:val="-1"/>
          <w:shd w:fill="FFFF00" w:color="auto" w:val="clear"/>
        </w:rPr>
        <w:t> </w:t>
      </w:r>
      <w:r>
        <w:rPr>
          <w:color w:val="000000"/>
          <w:shd w:fill="FFFF00" w:color="auto" w:val="clear"/>
        </w:rPr>
        <w:t>clinical evaluation</w:t>
      </w:r>
      <w:r>
        <w:rPr>
          <w:color w:val="000000"/>
          <w:spacing w:val="-1"/>
          <w:shd w:fill="FFFF00" w:color="auto" w:val="clear"/>
        </w:rPr>
        <w:t> </w:t>
      </w:r>
      <w:r>
        <w:rPr>
          <w:color w:val="000000"/>
          <w:shd w:fill="FFFF00" w:color="auto" w:val="clear"/>
        </w:rPr>
        <w:t>depend on</w:t>
      </w:r>
      <w:r>
        <w:rPr>
          <w:color w:val="000000"/>
          <w:spacing w:val="-1"/>
          <w:shd w:fill="FFFF00" w:color="auto" w:val="clear"/>
        </w:rPr>
        <w:t> </w:t>
      </w:r>
      <w:r>
        <w:rPr>
          <w:color w:val="000000"/>
          <w:shd w:fill="FFFF00" w:color="auto" w:val="clear"/>
        </w:rPr>
        <w:t>access to</w:t>
      </w:r>
      <w:r>
        <w:rPr>
          <w:color w:val="000000"/>
        </w:rPr>
        <w:t> </w:t>
      </w:r>
      <w:r>
        <w:rPr>
          <w:color w:val="000000"/>
          <w:shd w:fill="FFFF00" w:color="auto" w:val="clear"/>
        </w:rPr>
        <w:t>COVID-19 disease clinical specimens at the time of the studies and the nature of the</w:t>
      </w:r>
      <w:r>
        <w:rPr>
          <w:color w:val="000000"/>
        </w:rPr>
        <w:t> </w:t>
      </w:r>
      <w:r>
        <w:rPr>
          <w:color w:val="000000"/>
          <w:spacing w:val="-2"/>
          <w:shd w:fill="FFFF00" w:color="auto" w:val="clear"/>
        </w:rPr>
        <w:t>emergency.]</w:t>
      </w:r>
    </w:p>
    <w:p>
      <w:pPr>
        <w:pStyle w:val="BodyText"/>
        <w:spacing w:before="11"/>
        <w:rPr>
          <w:rFonts w:ascii="TimesNewRomanPS-BoldItalicMT"/>
          <w:b/>
          <w:i/>
          <w:sz w:val="23"/>
        </w:rPr>
      </w:pPr>
    </w:p>
    <w:p>
      <w:pPr>
        <w:pStyle w:val="Heading5"/>
        <w:ind w:right="278"/>
      </w:pPr>
      <w:r>
        <w:rPr/>
        <w:t>Initial</w:t>
      </w:r>
      <w:r>
        <w:rPr>
          <w:spacing w:val="-4"/>
        </w:rPr>
        <w:t> </w:t>
      </w:r>
      <w:r>
        <w:rPr/>
        <w:t>clinical</w:t>
      </w:r>
      <w:r>
        <w:rPr>
          <w:spacing w:val="-4"/>
        </w:rPr>
        <w:t> </w:t>
      </w:r>
      <w:r>
        <w:rPr/>
        <w:t>agreement</w:t>
      </w:r>
      <w:r>
        <w:rPr>
          <w:spacing w:val="-4"/>
        </w:rPr>
        <w:t> </w:t>
      </w:r>
      <w:r>
        <w:rPr/>
        <w:t>trials</w:t>
      </w:r>
      <w:r>
        <w:rPr>
          <w:spacing w:val="-4"/>
        </w:rPr>
        <w:t> </w:t>
      </w:r>
      <w:r>
        <w:rPr/>
        <w:t>typically</w:t>
      </w:r>
      <w:r>
        <w:rPr>
          <w:spacing w:val="-4"/>
        </w:rPr>
        <w:t> </w:t>
      </w:r>
      <w:r>
        <w:rPr/>
        <w:t>evaluate</w:t>
      </w:r>
      <w:r>
        <w:rPr>
          <w:spacing w:val="-4"/>
        </w:rPr>
        <w:t> </w:t>
      </w:r>
      <w:r>
        <w:rPr/>
        <w:t>all</w:t>
      </w:r>
      <w:r>
        <w:rPr>
          <w:spacing w:val="-4"/>
        </w:rPr>
        <w:t> </w:t>
      </w:r>
      <w:r>
        <w:rPr/>
        <w:t>matrices</w:t>
      </w:r>
      <w:r>
        <w:rPr>
          <w:spacing w:val="-4"/>
        </w:rPr>
        <w:t> </w:t>
      </w:r>
      <w:r>
        <w:rPr/>
        <w:t>that</w:t>
      </w:r>
      <w:r>
        <w:rPr>
          <w:spacing w:val="-4"/>
        </w:rPr>
        <w:t> </w:t>
      </w:r>
      <w:r>
        <w:rPr/>
        <w:t>the</w:t>
      </w:r>
      <w:r>
        <w:rPr>
          <w:spacing w:val="-5"/>
        </w:rPr>
        <w:t> </w:t>
      </w:r>
      <w:r>
        <w:rPr/>
        <w:t>sponsor intends to claim in their EUA submission.</w:t>
      </w:r>
    </w:p>
    <w:p>
      <w:pPr>
        <w:pStyle w:val="BodyText"/>
        <w:rPr>
          <w:b/>
        </w:rPr>
      </w:pPr>
    </w:p>
    <w:p>
      <w:pPr>
        <w:spacing w:before="0"/>
        <w:ind w:left="880" w:right="290" w:firstLine="0"/>
        <w:jc w:val="left"/>
        <w:rPr>
          <w:rFonts w:ascii="TimesNewRomanPS-BoldItalicMT"/>
          <w:b/>
          <w:i/>
          <w:sz w:val="24"/>
        </w:rPr>
      </w:pPr>
      <w:r>
        <w:rPr>
          <w:b/>
          <w:sz w:val="24"/>
        </w:rPr>
        <w:t>The</w:t>
      </w:r>
      <w:r>
        <w:rPr>
          <w:b/>
          <w:spacing w:val="-3"/>
          <w:sz w:val="24"/>
        </w:rPr>
        <w:t> </w:t>
      </w:r>
      <w:r>
        <w:rPr>
          <w:b/>
          <w:sz w:val="24"/>
        </w:rPr>
        <w:t>comparator</w:t>
      </w:r>
      <w:r>
        <w:rPr>
          <w:b/>
          <w:spacing w:val="-3"/>
          <w:sz w:val="24"/>
        </w:rPr>
        <w:t> </w:t>
      </w:r>
      <w:r>
        <w:rPr>
          <w:b/>
          <w:sz w:val="24"/>
        </w:rPr>
        <w:t>method</w:t>
      </w:r>
      <w:r>
        <w:rPr>
          <w:b/>
          <w:spacing w:val="-4"/>
          <w:sz w:val="24"/>
        </w:rPr>
        <w:t> </w:t>
      </w:r>
      <w:r>
        <w:rPr>
          <w:b/>
          <w:sz w:val="24"/>
        </w:rPr>
        <w:t>used</w:t>
      </w:r>
      <w:r>
        <w:rPr>
          <w:b/>
          <w:spacing w:val="-4"/>
          <w:sz w:val="24"/>
        </w:rPr>
        <w:t> </w:t>
      </w:r>
      <w:r>
        <w:rPr>
          <w:b/>
          <w:sz w:val="24"/>
        </w:rPr>
        <w:t>to</w:t>
      </w:r>
      <w:r>
        <w:rPr>
          <w:b/>
          <w:spacing w:val="-3"/>
          <w:sz w:val="24"/>
        </w:rPr>
        <w:t> </w:t>
      </w:r>
      <w:r>
        <w:rPr>
          <w:b/>
          <w:sz w:val="24"/>
        </w:rPr>
        <w:t>establish</w:t>
      </w:r>
      <w:r>
        <w:rPr>
          <w:b/>
          <w:spacing w:val="-4"/>
          <w:sz w:val="24"/>
        </w:rPr>
        <w:t> </w:t>
      </w:r>
      <w:r>
        <w:rPr>
          <w:b/>
          <w:sz w:val="24"/>
        </w:rPr>
        <w:t>clinical</w:t>
      </w:r>
      <w:r>
        <w:rPr>
          <w:b/>
          <w:spacing w:val="-4"/>
          <w:sz w:val="24"/>
        </w:rPr>
        <w:t> </w:t>
      </w:r>
      <w:r>
        <w:rPr>
          <w:b/>
          <w:sz w:val="24"/>
        </w:rPr>
        <w:t>truth</w:t>
      </w:r>
      <w:r>
        <w:rPr>
          <w:b/>
          <w:spacing w:val="-4"/>
          <w:sz w:val="24"/>
        </w:rPr>
        <w:t> </w:t>
      </w:r>
      <w:r>
        <w:rPr>
          <w:b/>
          <w:sz w:val="24"/>
        </w:rPr>
        <w:t>for</w:t>
      </w:r>
      <w:r>
        <w:rPr>
          <w:b/>
          <w:spacing w:val="-3"/>
          <w:sz w:val="24"/>
        </w:rPr>
        <w:t> </w:t>
      </w:r>
      <w:r>
        <w:rPr>
          <w:b/>
          <w:sz w:val="24"/>
        </w:rPr>
        <w:t>the</w:t>
      </w:r>
      <w:r>
        <w:rPr>
          <w:b/>
          <w:spacing w:val="-3"/>
          <w:sz w:val="24"/>
        </w:rPr>
        <w:t> </w:t>
      </w:r>
      <w:r>
        <w:rPr>
          <w:b/>
          <w:sz w:val="24"/>
        </w:rPr>
        <w:t>patient</w:t>
      </w:r>
      <w:r>
        <w:rPr>
          <w:b/>
          <w:spacing w:val="-3"/>
          <w:sz w:val="24"/>
        </w:rPr>
        <w:t> </w:t>
      </w:r>
      <w:r>
        <w:rPr>
          <w:b/>
          <w:sz w:val="24"/>
        </w:rPr>
        <w:t>at</w:t>
      </w:r>
      <w:r>
        <w:rPr>
          <w:b/>
          <w:spacing w:val="-3"/>
          <w:sz w:val="24"/>
        </w:rPr>
        <w:t> </w:t>
      </w:r>
      <w:r>
        <w:rPr>
          <w:b/>
          <w:sz w:val="24"/>
        </w:rPr>
        <w:t>this</w:t>
      </w:r>
      <w:r>
        <w:rPr>
          <w:b/>
          <w:spacing w:val="-3"/>
          <w:sz w:val="24"/>
        </w:rPr>
        <w:t> </w:t>
      </w:r>
      <w:r>
        <w:rPr>
          <w:b/>
          <w:sz w:val="24"/>
        </w:rPr>
        <w:t>time</w:t>
      </w:r>
      <w:r>
        <w:rPr>
          <w:b/>
          <w:spacing w:val="-3"/>
          <w:sz w:val="24"/>
        </w:rPr>
        <w:t> </w:t>
      </w:r>
      <w:r>
        <w:rPr>
          <w:b/>
          <w:sz w:val="24"/>
        </w:rPr>
        <w:t>is a PCR based assay. Results from the comparator PCR method are obtained using specimens that have been validated for use with the comparator method. Consider collecting nasal swab samples from a patient for PCR and then follow with a fingerstick or blood draw from the same patient. </w:t>
      </w:r>
      <w:r>
        <w:rPr>
          <w:rFonts w:ascii="TimesNewRomanPS-BoldItalicMT"/>
          <w:b/>
          <w:i/>
          <w:color w:val="000000"/>
          <w:sz w:val="24"/>
          <w:shd w:fill="FFFF00" w:color="auto" w:val="clear"/>
        </w:rPr>
        <w:t>[Please identify the PCR</w:t>
      </w:r>
      <w:r>
        <w:rPr>
          <w:rFonts w:ascii="TimesNewRomanPS-BoldItalicMT"/>
          <w:b/>
          <w:i/>
          <w:color w:val="000000"/>
          <w:sz w:val="24"/>
        </w:rPr>
        <w:t> </w:t>
      </w:r>
      <w:r>
        <w:rPr>
          <w:rFonts w:ascii="TimesNewRomanPS-BoldItalicMT"/>
          <w:b/>
          <w:i/>
          <w:color w:val="000000"/>
          <w:sz w:val="24"/>
          <w:shd w:fill="FFFF00" w:color="auto" w:val="clear"/>
        </w:rPr>
        <w:t>comparator that was used. If the PCR comparator is not an EUA-authorized test,</w:t>
      </w:r>
      <w:r>
        <w:rPr>
          <w:rFonts w:ascii="TimesNewRomanPS-BoldItalicMT"/>
          <w:b/>
          <w:i/>
          <w:color w:val="000000"/>
          <w:sz w:val="24"/>
        </w:rPr>
        <w:t> </w:t>
      </w:r>
      <w:r>
        <w:rPr>
          <w:rFonts w:ascii="TimesNewRomanPS-BoldItalicMT"/>
          <w:b/>
          <w:i/>
          <w:color w:val="000000"/>
          <w:sz w:val="24"/>
          <w:shd w:fill="FFFF00" w:color="auto" w:val="clear"/>
        </w:rPr>
        <w:t>please provide Limit of Detection (LoD) and cross-reactivity validation data. If it is an</w:t>
      </w:r>
      <w:r>
        <w:rPr>
          <w:rFonts w:ascii="TimesNewRomanPS-BoldItalicMT"/>
          <w:b/>
          <w:i/>
          <w:color w:val="000000"/>
          <w:sz w:val="24"/>
        </w:rPr>
        <w:t> </w:t>
      </w:r>
      <w:r>
        <w:rPr>
          <w:rFonts w:ascii="TimesNewRomanPS-BoldItalicMT"/>
          <w:b/>
          <w:i/>
          <w:color w:val="000000"/>
          <w:sz w:val="24"/>
          <w:shd w:fill="FFFF00" w:color="auto" w:val="clear"/>
        </w:rPr>
        <w:t>EUA-authorized test, then no validation is needed.]</w:t>
      </w:r>
    </w:p>
    <w:p>
      <w:pPr>
        <w:pStyle w:val="BodyText"/>
        <w:rPr>
          <w:rFonts w:ascii="TimesNewRomanPS-BoldItalicMT"/>
          <w:b/>
          <w:i/>
        </w:rPr>
      </w:pPr>
    </w:p>
    <w:p>
      <w:pPr>
        <w:pStyle w:val="Heading5"/>
        <w:ind w:right="278"/>
      </w:pPr>
      <w:r>
        <w:rPr/>
        <w:t>Ideally, performance characteristics are established in a clinical study with prospective</w:t>
      </w:r>
      <w:r>
        <w:rPr>
          <w:spacing w:val="-4"/>
        </w:rPr>
        <w:t> </w:t>
      </w:r>
      <w:r>
        <w:rPr/>
        <w:t>samples.</w:t>
      </w:r>
      <w:r>
        <w:rPr>
          <w:spacing w:val="-3"/>
        </w:rPr>
        <w:t> </w:t>
      </w:r>
      <w:r>
        <w:rPr/>
        <w:t>If</w:t>
      </w:r>
      <w:r>
        <w:rPr>
          <w:spacing w:val="-4"/>
        </w:rPr>
        <w:t> </w:t>
      </w:r>
      <w:r>
        <w:rPr/>
        <w:t>a</w:t>
      </w:r>
      <w:r>
        <w:rPr>
          <w:spacing w:val="-3"/>
        </w:rPr>
        <w:t> </w:t>
      </w:r>
      <w:r>
        <w:rPr/>
        <w:t>prospective</w:t>
      </w:r>
      <w:r>
        <w:rPr>
          <w:spacing w:val="-3"/>
        </w:rPr>
        <w:t> </w:t>
      </w:r>
      <w:r>
        <w:rPr/>
        <w:t>study</w:t>
      </w:r>
      <w:r>
        <w:rPr>
          <w:spacing w:val="-3"/>
        </w:rPr>
        <w:t> </w:t>
      </w:r>
      <w:r>
        <w:rPr/>
        <w:t>is</w:t>
      </w:r>
      <w:r>
        <w:rPr>
          <w:spacing w:val="-4"/>
        </w:rPr>
        <w:t> </w:t>
      </w:r>
      <w:r>
        <w:rPr/>
        <w:t>not</w:t>
      </w:r>
      <w:r>
        <w:rPr>
          <w:spacing w:val="-3"/>
        </w:rPr>
        <w:t> </w:t>
      </w:r>
      <w:r>
        <w:rPr/>
        <w:t>feasible,</w:t>
      </w:r>
      <w:r>
        <w:rPr>
          <w:spacing w:val="-5"/>
        </w:rPr>
        <w:t> </w:t>
      </w:r>
      <w:r>
        <w:rPr/>
        <w:t>an</w:t>
      </w:r>
      <w:r>
        <w:rPr>
          <w:spacing w:val="-4"/>
        </w:rPr>
        <w:t> </w:t>
      </w:r>
      <w:r>
        <w:rPr/>
        <w:t>acceptable</w:t>
      </w:r>
      <w:r>
        <w:rPr>
          <w:spacing w:val="-3"/>
        </w:rPr>
        <w:t> </w:t>
      </w:r>
      <w:r>
        <w:rPr/>
        <w:t>alternative would</w:t>
      </w:r>
      <w:r>
        <w:rPr>
          <w:spacing w:val="-2"/>
        </w:rPr>
        <w:t> </w:t>
      </w:r>
      <w:r>
        <w:rPr/>
        <w:t>be</w:t>
      </w:r>
      <w:r>
        <w:rPr>
          <w:spacing w:val="-1"/>
        </w:rPr>
        <w:t> </w:t>
      </w:r>
      <w:r>
        <w:rPr/>
        <w:t>to</w:t>
      </w:r>
      <w:r>
        <w:rPr>
          <w:spacing w:val="-1"/>
        </w:rPr>
        <w:t> </w:t>
      </w:r>
      <w:r>
        <w:rPr/>
        <w:t>test</w:t>
      </w:r>
      <w:r>
        <w:rPr>
          <w:spacing w:val="-1"/>
        </w:rPr>
        <w:t> </w:t>
      </w:r>
      <w:r>
        <w:rPr/>
        <w:t>retrospectively</w:t>
      </w:r>
      <w:r>
        <w:rPr>
          <w:spacing w:val="-1"/>
        </w:rPr>
        <w:t> </w:t>
      </w:r>
      <w:r>
        <w:rPr/>
        <w:t>collected</w:t>
      </w:r>
      <w:r>
        <w:rPr>
          <w:spacing w:val="-2"/>
        </w:rPr>
        <w:t> </w:t>
      </w:r>
      <w:r>
        <w:rPr/>
        <w:t>SARS-CoV-2</w:t>
      </w:r>
      <w:r>
        <w:rPr>
          <w:spacing w:val="-1"/>
        </w:rPr>
        <w:t> </w:t>
      </w:r>
      <w:r>
        <w:rPr/>
        <w:t>antibody</w:t>
      </w:r>
      <w:r>
        <w:rPr>
          <w:spacing w:val="-1"/>
        </w:rPr>
        <w:t> </w:t>
      </w:r>
      <w:r>
        <w:rPr/>
        <w:t>positive</w:t>
      </w:r>
      <w:r>
        <w:rPr>
          <w:spacing w:val="-1"/>
        </w:rPr>
        <w:t> </w:t>
      </w:r>
      <w:r>
        <w:rPr/>
        <w:t>specimens from patients that have been previously confirmed infected by SARS-CoV-2 RT PCR, accompanied by basic information such as the population from which the sample was drawn and the comparator method, specimen collection date, date of onset of symptoms</w:t>
      </w:r>
      <w:r>
        <w:rPr>
          <w:spacing w:val="-1"/>
        </w:rPr>
        <w:t> </w:t>
      </w:r>
      <w:r>
        <w:rPr/>
        <w:t>(if</w:t>
      </w:r>
      <w:r>
        <w:rPr>
          <w:spacing w:val="-1"/>
        </w:rPr>
        <w:t> </w:t>
      </w:r>
      <w:r>
        <w:rPr/>
        <w:t>present/known),</w:t>
      </w:r>
      <w:r>
        <w:rPr>
          <w:spacing w:val="-1"/>
        </w:rPr>
        <w:t> </w:t>
      </w:r>
      <w:r>
        <w:rPr/>
        <w:t>and</w:t>
      </w:r>
      <w:r>
        <w:rPr>
          <w:spacing w:val="-1"/>
        </w:rPr>
        <w:t> </w:t>
      </w:r>
      <w:r>
        <w:rPr/>
        <w:t>comparator</w:t>
      </w:r>
      <w:r>
        <w:rPr>
          <w:spacing w:val="-1"/>
        </w:rPr>
        <w:t> </w:t>
      </w:r>
      <w:r>
        <w:rPr/>
        <w:t>method</w:t>
      </w:r>
      <w:r>
        <w:rPr>
          <w:spacing w:val="-1"/>
        </w:rPr>
        <w:t> </w:t>
      </w:r>
      <w:r>
        <w:rPr/>
        <w:t>to confirm patients as SARS-CoV-2 infected or not infected (see above).</w:t>
      </w:r>
    </w:p>
    <w:p>
      <w:pPr>
        <w:pStyle w:val="BodyText"/>
        <w:spacing w:before="4"/>
        <w:rPr>
          <w:b/>
          <w:sz w:val="27"/>
        </w:rPr>
      </w:pPr>
    </w:p>
    <w:p>
      <w:pPr>
        <w:pStyle w:val="Heading5"/>
        <w:spacing w:before="1"/>
        <w:ind w:right="256"/>
      </w:pPr>
      <w:r>
        <w:rPr/>
        <w:t>Clinical agreement data should be provided using at least 30 antibody positive samples for each immunoglobulin claimed and 75 antibody negative samples from patients tested for SARS-CoV-2 and confirmed as negative and the data should demonstrate a minimum overall 90.0% positive percent agreement and overall 95.0% negative percent agreement, and for tests that report specifically IgM and IgG</w:t>
      </w:r>
      <w:r>
        <w:rPr>
          <w:spacing w:val="-3"/>
        </w:rPr>
        <w:t> </w:t>
      </w:r>
      <w:r>
        <w:rPr/>
        <w:t>results,</w:t>
      </w:r>
      <w:r>
        <w:rPr>
          <w:spacing w:val="-5"/>
        </w:rPr>
        <w:t> </w:t>
      </w:r>
      <w:r>
        <w:rPr/>
        <w:t>a</w:t>
      </w:r>
      <w:r>
        <w:rPr>
          <w:spacing w:val="-3"/>
        </w:rPr>
        <w:t> </w:t>
      </w:r>
      <w:r>
        <w:rPr/>
        <w:t>minimum</w:t>
      </w:r>
      <w:r>
        <w:rPr>
          <w:spacing w:val="-3"/>
        </w:rPr>
        <w:t> </w:t>
      </w:r>
      <w:r>
        <w:rPr/>
        <w:t>positive</w:t>
      </w:r>
      <w:r>
        <w:rPr>
          <w:spacing w:val="-4"/>
        </w:rPr>
        <w:t> </w:t>
      </w:r>
      <w:r>
        <w:rPr/>
        <w:t>percent</w:t>
      </w:r>
      <w:r>
        <w:rPr>
          <w:spacing w:val="-3"/>
        </w:rPr>
        <w:t> </w:t>
      </w:r>
      <w:r>
        <w:rPr/>
        <w:t>agreement</w:t>
      </w:r>
      <w:r>
        <w:rPr>
          <w:spacing w:val="-4"/>
        </w:rPr>
        <w:t> </w:t>
      </w:r>
      <w:r>
        <w:rPr/>
        <w:t>for</w:t>
      </w:r>
      <w:r>
        <w:rPr>
          <w:spacing w:val="-4"/>
        </w:rPr>
        <w:t> </w:t>
      </w:r>
      <w:r>
        <w:rPr/>
        <w:t>IgM</w:t>
      </w:r>
      <w:r>
        <w:rPr>
          <w:spacing w:val="-3"/>
        </w:rPr>
        <w:t> </w:t>
      </w:r>
      <w:r>
        <w:rPr/>
        <w:t>of</w:t>
      </w:r>
      <w:r>
        <w:rPr>
          <w:spacing w:val="-3"/>
        </w:rPr>
        <w:t> </w:t>
      </w:r>
      <w:r>
        <w:rPr/>
        <w:t>70%</w:t>
      </w:r>
      <w:r>
        <w:rPr>
          <w:spacing w:val="-5"/>
        </w:rPr>
        <w:t> </w:t>
      </w:r>
      <w:r>
        <w:rPr/>
        <w:t>and</w:t>
      </w:r>
      <w:r>
        <w:rPr>
          <w:spacing w:val="-4"/>
        </w:rPr>
        <w:t> </w:t>
      </w:r>
      <w:r>
        <w:rPr/>
        <w:t>a</w:t>
      </w:r>
      <w:r>
        <w:rPr>
          <w:spacing w:val="-3"/>
        </w:rPr>
        <w:t> </w:t>
      </w:r>
      <w:r>
        <w:rPr/>
        <w:t>minimum positive percent agreement for IgG of 90%. Point estimates not lower than 93% for combined NPA, not lower than 90% for combined PPA, and for tests that specifically report IgG or IgG and IgM, PPA for IgG not lower than 87%, and PPA for IgM not lower than 67% may be acceptable if a larger number of samples are evaluated and the lower bounds of the 95% confidence intervals are higher than would be demonstrated in a clinical agreement study with 30 antibody positive and 75 antibody negative samples.</w:t>
      </w:r>
    </w:p>
    <w:p>
      <w:pPr>
        <w:pStyle w:val="BodyText"/>
        <w:spacing w:before="6"/>
        <w:rPr>
          <w:b/>
          <w:sz w:val="27"/>
        </w:rPr>
      </w:pPr>
    </w:p>
    <w:p>
      <w:pPr>
        <w:pStyle w:val="Heading5"/>
      </w:pPr>
      <w:r>
        <w:rPr/>
        <w:t>For</w:t>
      </w:r>
      <w:r>
        <w:rPr>
          <w:spacing w:val="-3"/>
        </w:rPr>
        <w:t> </w:t>
      </w:r>
      <w:r>
        <w:rPr/>
        <w:t>visually</w:t>
      </w:r>
      <w:r>
        <w:rPr>
          <w:spacing w:val="-5"/>
        </w:rPr>
        <w:t> </w:t>
      </w:r>
      <w:r>
        <w:rPr/>
        <w:t>read</w:t>
      </w:r>
      <w:r>
        <w:rPr>
          <w:spacing w:val="-4"/>
        </w:rPr>
        <w:t> </w:t>
      </w:r>
      <w:r>
        <w:rPr/>
        <w:t>tests,</w:t>
      </w:r>
      <w:r>
        <w:rPr>
          <w:spacing w:val="-5"/>
        </w:rPr>
        <w:t> </w:t>
      </w:r>
      <w:r>
        <w:rPr/>
        <w:t>blinding</w:t>
      </w:r>
      <w:r>
        <w:rPr>
          <w:spacing w:val="-3"/>
        </w:rPr>
        <w:t> </w:t>
      </w:r>
      <w:r>
        <w:rPr/>
        <w:t>and</w:t>
      </w:r>
      <w:r>
        <w:rPr>
          <w:spacing w:val="-4"/>
        </w:rPr>
        <w:t> </w:t>
      </w:r>
      <w:r>
        <w:rPr/>
        <w:t>randomization</w:t>
      </w:r>
      <w:r>
        <w:rPr>
          <w:spacing w:val="-4"/>
        </w:rPr>
        <w:t> </w:t>
      </w:r>
      <w:r>
        <w:rPr/>
        <w:t>should</w:t>
      </w:r>
      <w:r>
        <w:rPr>
          <w:spacing w:val="-4"/>
        </w:rPr>
        <w:t> </w:t>
      </w:r>
      <w:r>
        <w:rPr/>
        <w:t>be</w:t>
      </w:r>
      <w:r>
        <w:rPr>
          <w:spacing w:val="-3"/>
        </w:rPr>
        <w:t> </w:t>
      </w:r>
      <w:r>
        <w:rPr/>
        <w:t>included</w:t>
      </w:r>
      <w:r>
        <w:rPr>
          <w:spacing w:val="-4"/>
        </w:rPr>
        <w:t> </w:t>
      </w:r>
      <w:r>
        <w:rPr/>
        <w:t>in</w:t>
      </w:r>
      <w:r>
        <w:rPr>
          <w:spacing w:val="-4"/>
        </w:rPr>
        <w:t> </w:t>
      </w:r>
      <w:r>
        <w:rPr/>
        <w:t>the experimental design</w:t>
      </w:r>
    </w:p>
    <w:p>
      <w:pPr>
        <w:pStyle w:val="BodyText"/>
        <w:rPr>
          <w:b/>
        </w:rPr>
      </w:pPr>
    </w:p>
    <w:p>
      <w:pPr>
        <w:pStyle w:val="Heading5"/>
        <w:ind w:right="278"/>
      </w:pPr>
      <w:r>
        <w:rPr/>
        <w:t>If</w:t>
      </w:r>
      <w:r>
        <w:rPr>
          <w:spacing w:val="-3"/>
        </w:rPr>
        <w:t> </w:t>
      </w:r>
      <w:r>
        <w:rPr/>
        <w:t>a</w:t>
      </w:r>
      <w:r>
        <w:rPr>
          <w:spacing w:val="-3"/>
        </w:rPr>
        <w:t> </w:t>
      </w:r>
      <w:r>
        <w:rPr/>
        <w:t>claim</w:t>
      </w:r>
      <w:r>
        <w:rPr>
          <w:spacing w:val="-3"/>
        </w:rPr>
        <w:t> </w:t>
      </w:r>
      <w:r>
        <w:rPr/>
        <w:t>for</w:t>
      </w:r>
      <w:r>
        <w:rPr>
          <w:spacing w:val="-3"/>
        </w:rPr>
        <w:t> </w:t>
      </w:r>
      <w:r>
        <w:rPr/>
        <w:t>fingerstick</w:t>
      </w:r>
      <w:r>
        <w:rPr>
          <w:spacing w:val="-3"/>
        </w:rPr>
        <w:t> </w:t>
      </w:r>
      <w:r>
        <w:rPr/>
        <w:t>is</w:t>
      </w:r>
      <w:r>
        <w:rPr>
          <w:spacing w:val="-3"/>
        </w:rPr>
        <w:t> </w:t>
      </w:r>
      <w:r>
        <w:rPr/>
        <w:t>desired,</w:t>
      </w:r>
      <w:r>
        <w:rPr>
          <w:spacing w:val="-2"/>
        </w:rPr>
        <w:t> </w:t>
      </w:r>
      <w:r>
        <w:rPr/>
        <w:t>we</w:t>
      </w:r>
      <w:r>
        <w:rPr>
          <w:spacing w:val="-3"/>
        </w:rPr>
        <w:t> </w:t>
      </w:r>
      <w:r>
        <w:rPr/>
        <w:t>believe</w:t>
      </w:r>
      <w:r>
        <w:rPr>
          <w:spacing w:val="-3"/>
        </w:rPr>
        <w:t> </w:t>
      </w:r>
      <w:r>
        <w:rPr/>
        <w:t>evaluating</w:t>
      </w:r>
      <w:r>
        <w:rPr>
          <w:spacing w:val="-3"/>
        </w:rPr>
        <w:t> </w:t>
      </w:r>
      <w:r>
        <w:rPr/>
        <w:t>a</w:t>
      </w:r>
      <w:r>
        <w:rPr>
          <w:spacing w:val="-3"/>
        </w:rPr>
        <w:t> </w:t>
      </w:r>
      <w:r>
        <w:rPr/>
        <w:t>minimum</w:t>
      </w:r>
      <w:r>
        <w:rPr>
          <w:spacing w:val="-3"/>
        </w:rPr>
        <w:t> </w:t>
      </w:r>
      <w:r>
        <w:rPr/>
        <w:t>of</w:t>
      </w:r>
      <w:r>
        <w:rPr>
          <w:spacing w:val="-3"/>
        </w:rPr>
        <w:t> </w:t>
      </w:r>
      <w:r>
        <w:rPr/>
        <w:t>30</w:t>
      </w:r>
      <w:r>
        <w:rPr>
          <w:spacing w:val="-3"/>
        </w:rPr>
        <w:t> </w:t>
      </w:r>
      <w:r>
        <w:rPr/>
        <w:t>positive and</w:t>
      </w:r>
      <w:r>
        <w:rPr>
          <w:spacing w:val="-5"/>
        </w:rPr>
        <w:t> </w:t>
      </w:r>
      <w:r>
        <w:rPr/>
        <w:t>30</w:t>
      </w:r>
      <w:r>
        <w:rPr>
          <w:spacing w:val="-2"/>
        </w:rPr>
        <w:t> </w:t>
      </w:r>
      <w:r>
        <w:rPr/>
        <w:t>negative</w:t>
      </w:r>
      <w:r>
        <w:rPr>
          <w:spacing w:val="-1"/>
        </w:rPr>
        <w:t> </w:t>
      </w:r>
      <w:r>
        <w:rPr/>
        <w:t>fingerstick</w:t>
      </w:r>
      <w:r>
        <w:rPr>
          <w:spacing w:val="-2"/>
        </w:rPr>
        <w:t> </w:t>
      </w:r>
      <w:r>
        <w:rPr/>
        <w:t>whole</w:t>
      </w:r>
      <w:r>
        <w:rPr>
          <w:spacing w:val="-1"/>
        </w:rPr>
        <w:t> </w:t>
      </w:r>
      <w:r>
        <w:rPr/>
        <w:t>blood</w:t>
      </w:r>
      <w:r>
        <w:rPr>
          <w:spacing w:val="-3"/>
        </w:rPr>
        <w:t> </w:t>
      </w:r>
      <w:r>
        <w:rPr/>
        <w:t>samples</w:t>
      </w:r>
      <w:r>
        <w:rPr>
          <w:spacing w:val="-1"/>
        </w:rPr>
        <w:t> </w:t>
      </w:r>
      <w:r>
        <w:rPr/>
        <w:t>may</w:t>
      </w:r>
      <w:r>
        <w:rPr>
          <w:spacing w:val="-2"/>
        </w:rPr>
        <w:t> </w:t>
      </w:r>
      <w:r>
        <w:rPr/>
        <w:t>be</w:t>
      </w:r>
      <w:r>
        <w:rPr>
          <w:spacing w:val="-1"/>
        </w:rPr>
        <w:t> </w:t>
      </w:r>
      <w:r>
        <w:rPr/>
        <w:t>acceptable</w:t>
      </w:r>
      <w:r>
        <w:rPr>
          <w:spacing w:val="-2"/>
        </w:rPr>
        <w:t> </w:t>
      </w:r>
      <w:r>
        <w:rPr/>
        <w:t>to</w:t>
      </w:r>
      <w:r>
        <w:rPr>
          <w:spacing w:val="-3"/>
        </w:rPr>
        <w:t> </w:t>
      </w:r>
      <w:r>
        <w:rPr>
          <w:spacing w:val="-2"/>
        </w:rPr>
        <w:t>demonstrate</w:t>
      </w:r>
    </w:p>
    <w:p>
      <w:pPr>
        <w:spacing w:after="0"/>
        <w:sectPr>
          <w:pgSz w:w="12240" w:h="15840"/>
          <w:pgMar w:header="731" w:footer="785" w:top="1360" w:bottom="980" w:left="1280" w:right="1200"/>
        </w:sectPr>
      </w:pPr>
    </w:p>
    <w:p>
      <w:pPr>
        <w:pStyle w:val="Heading5"/>
        <w:spacing w:before="80"/>
        <w:ind w:left="879" w:right="626"/>
      </w:pPr>
      <w:r>
        <w:rPr/>
        <w:t>clinical</w:t>
      </w:r>
      <w:r>
        <w:rPr>
          <w:spacing w:val="-3"/>
        </w:rPr>
        <w:t> </w:t>
      </w:r>
      <w:r>
        <w:rPr/>
        <w:t>performance</w:t>
      </w:r>
      <w:r>
        <w:rPr>
          <w:spacing w:val="-3"/>
        </w:rPr>
        <w:t> </w:t>
      </w:r>
      <w:r>
        <w:rPr/>
        <w:t>in</w:t>
      </w:r>
      <w:r>
        <w:rPr>
          <w:spacing w:val="-5"/>
        </w:rPr>
        <w:t> </w:t>
      </w:r>
      <w:r>
        <w:rPr/>
        <w:t>fingerstick</w:t>
      </w:r>
      <w:r>
        <w:rPr>
          <w:spacing w:val="-4"/>
        </w:rPr>
        <w:t> </w:t>
      </w:r>
      <w:r>
        <w:rPr/>
        <w:t>samples.</w:t>
      </w:r>
      <w:r>
        <w:rPr>
          <w:spacing w:val="-3"/>
        </w:rPr>
        <w:t> </w:t>
      </w:r>
      <w:r>
        <w:rPr/>
        <w:t>If</w:t>
      </w:r>
      <w:r>
        <w:rPr>
          <w:spacing w:val="-4"/>
        </w:rPr>
        <w:t> </w:t>
      </w:r>
      <w:r>
        <w:rPr/>
        <w:t>a</w:t>
      </w:r>
      <w:r>
        <w:rPr>
          <w:spacing w:val="-3"/>
        </w:rPr>
        <w:t> </w:t>
      </w:r>
      <w:r>
        <w:rPr/>
        <w:t>claim</w:t>
      </w:r>
      <w:r>
        <w:rPr>
          <w:spacing w:val="-3"/>
        </w:rPr>
        <w:t> </w:t>
      </w:r>
      <w:r>
        <w:rPr/>
        <w:t>for</w:t>
      </w:r>
      <w:r>
        <w:rPr>
          <w:spacing w:val="-4"/>
        </w:rPr>
        <w:t> </w:t>
      </w:r>
      <w:r>
        <w:rPr/>
        <w:t>near</w:t>
      </w:r>
      <w:r>
        <w:rPr>
          <w:spacing w:val="-3"/>
        </w:rPr>
        <w:t> </w:t>
      </w:r>
      <w:r>
        <w:rPr/>
        <w:t>patient</w:t>
      </w:r>
      <w:r>
        <w:rPr>
          <w:spacing w:val="-3"/>
        </w:rPr>
        <w:t> </w:t>
      </w:r>
      <w:r>
        <w:rPr/>
        <w:t>testing,</w:t>
      </w:r>
      <w:r>
        <w:rPr>
          <w:spacing w:val="-3"/>
        </w:rPr>
        <w:t> </w:t>
      </w:r>
      <w:r>
        <w:rPr/>
        <w:t>or point-of-care (POC) is desired, please see the section specific to POC below.</w:t>
      </w:r>
    </w:p>
    <w:p>
      <w:pPr>
        <w:pStyle w:val="BodyText"/>
        <w:spacing w:before="2"/>
        <w:rPr>
          <w:b/>
          <w:sz w:val="16"/>
        </w:rPr>
      </w:pPr>
    </w:p>
    <w:p>
      <w:pPr>
        <w:pStyle w:val="Heading6"/>
        <w:ind w:right="278"/>
      </w:pPr>
      <w:r>
        <w:rPr>
          <w:color w:val="000000"/>
          <w:shd w:fill="FFFF00" w:color="auto" w:val="clear"/>
        </w:rPr>
        <w:t>[Please specify how the samples were generated, collected, and sourced. Please also</w:t>
      </w:r>
      <w:r>
        <w:rPr>
          <w:color w:val="000000"/>
        </w:rPr>
        <w:t> </w:t>
      </w:r>
      <w:r>
        <w:rPr>
          <w:color w:val="000000"/>
          <w:shd w:fill="FFFF00" w:color="auto" w:val="clear"/>
        </w:rPr>
        <w:t>specify</w:t>
      </w:r>
      <w:r>
        <w:rPr>
          <w:color w:val="000000"/>
          <w:spacing w:val="-4"/>
          <w:shd w:fill="FFFF00" w:color="auto" w:val="clear"/>
        </w:rPr>
        <w:t> </w:t>
      </w:r>
      <w:r>
        <w:rPr>
          <w:color w:val="000000"/>
          <w:shd w:fill="FFFF00" w:color="auto" w:val="clear"/>
        </w:rPr>
        <w:t>if</w:t>
      </w:r>
      <w:r>
        <w:rPr>
          <w:color w:val="000000"/>
          <w:spacing w:val="-4"/>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samples</w:t>
      </w:r>
      <w:r>
        <w:rPr>
          <w:color w:val="000000"/>
          <w:spacing w:val="-4"/>
          <w:shd w:fill="FFFF00" w:color="auto" w:val="clear"/>
        </w:rPr>
        <w:t> </w:t>
      </w:r>
      <w:r>
        <w:rPr>
          <w:color w:val="000000"/>
          <w:shd w:fill="FFFF00" w:color="auto" w:val="clear"/>
        </w:rPr>
        <w:t>were</w:t>
      </w:r>
      <w:r>
        <w:rPr>
          <w:color w:val="000000"/>
          <w:spacing w:val="-4"/>
          <w:shd w:fill="FFFF00" w:color="auto" w:val="clear"/>
        </w:rPr>
        <w:t> </w:t>
      </w:r>
      <w:r>
        <w:rPr>
          <w:color w:val="000000"/>
          <w:shd w:fill="FFFF00" w:color="auto" w:val="clear"/>
        </w:rPr>
        <w:t>fully</w:t>
      </w:r>
      <w:r>
        <w:rPr>
          <w:color w:val="000000"/>
          <w:spacing w:val="-4"/>
          <w:shd w:fill="FFFF00" w:color="auto" w:val="clear"/>
        </w:rPr>
        <w:t> </w:t>
      </w:r>
      <w:r>
        <w:rPr>
          <w:color w:val="000000"/>
          <w:shd w:fill="FFFF00" w:color="auto" w:val="clear"/>
        </w:rPr>
        <w:t>prospective,</w:t>
      </w:r>
      <w:r>
        <w:rPr>
          <w:color w:val="000000"/>
          <w:spacing w:val="-4"/>
          <w:shd w:fill="FFFF00" w:color="auto" w:val="clear"/>
        </w:rPr>
        <w:t> </w:t>
      </w:r>
      <w:r>
        <w:rPr>
          <w:color w:val="000000"/>
          <w:shd w:fill="FFFF00" w:color="auto" w:val="clear"/>
        </w:rPr>
        <w:t>mix</w:t>
      </w:r>
      <w:r>
        <w:rPr>
          <w:color w:val="000000"/>
          <w:spacing w:val="-4"/>
          <w:shd w:fill="FFFF00" w:color="auto" w:val="clear"/>
        </w:rPr>
        <w:t> </w:t>
      </w:r>
      <w:r>
        <w:rPr>
          <w:color w:val="000000"/>
          <w:shd w:fill="FFFF00" w:color="auto" w:val="clear"/>
        </w:rPr>
        <w:t>of</w:t>
      </w:r>
      <w:r>
        <w:rPr>
          <w:color w:val="000000"/>
          <w:spacing w:val="-4"/>
          <w:shd w:fill="FFFF00" w:color="auto" w:val="clear"/>
        </w:rPr>
        <w:t> </w:t>
      </w:r>
      <w:r>
        <w:rPr>
          <w:color w:val="000000"/>
          <w:shd w:fill="FFFF00" w:color="auto" w:val="clear"/>
        </w:rPr>
        <w:t>prospective,</w:t>
      </w:r>
      <w:r>
        <w:rPr>
          <w:color w:val="000000"/>
          <w:spacing w:val="-6"/>
          <w:shd w:fill="FFFF00" w:color="auto" w:val="clear"/>
        </w:rPr>
        <w:t> </w:t>
      </w:r>
      <w:r>
        <w:rPr>
          <w:color w:val="000000"/>
          <w:shd w:fill="FFFF00" w:color="auto" w:val="clear"/>
        </w:rPr>
        <w:t>retrospective</w:t>
      </w:r>
      <w:r>
        <w:rPr>
          <w:color w:val="000000"/>
          <w:spacing w:val="-4"/>
          <w:shd w:fill="FFFF00" w:color="auto" w:val="clear"/>
        </w:rPr>
        <w:t> </w:t>
      </w:r>
      <w:r>
        <w:rPr>
          <w:color w:val="000000"/>
          <w:shd w:fill="FFFF00" w:color="auto" w:val="clear"/>
        </w:rPr>
        <w:t>and/or</w:t>
      </w:r>
      <w:r>
        <w:rPr>
          <w:color w:val="000000"/>
        </w:rPr>
        <w:t> </w:t>
      </w:r>
      <w:r>
        <w:rPr>
          <w:color w:val="000000"/>
          <w:shd w:fill="FFFF00" w:color="auto" w:val="clear"/>
        </w:rPr>
        <w:t>contrived. Please specify inclusion/exclusion criteria, collection and testing sites,</w:t>
      </w:r>
      <w:r>
        <w:rPr>
          <w:color w:val="000000"/>
        </w:rPr>
        <w:t> </w:t>
      </w:r>
      <w:r>
        <w:rPr>
          <w:color w:val="000000"/>
          <w:shd w:fill="FFFF00" w:color="auto" w:val="clear"/>
        </w:rPr>
        <w:t>number of samples collected and tested, and number of operators performing the</w:t>
      </w:r>
      <w:r>
        <w:rPr>
          <w:color w:val="000000"/>
        </w:rPr>
        <w:t> </w:t>
      </w:r>
      <w:r>
        <w:rPr>
          <w:color w:val="000000"/>
          <w:shd w:fill="FFFF00" w:color="auto" w:val="clear"/>
        </w:rPr>
        <w:t>testing, as available.]</w:t>
      </w:r>
    </w:p>
    <w:p>
      <w:pPr>
        <w:pStyle w:val="BodyText"/>
        <w:spacing w:before="2"/>
        <w:rPr>
          <w:rFonts w:ascii="TimesNewRomanPS-BoldItalicMT"/>
          <w:b/>
          <w:i/>
          <w:sz w:val="16"/>
        </w:rPr>
      </w:pPr>
    </w:p>
    <w:p>
      <w:pPr>
        <w:pStyle w:val="Heading6"/>
        <w:ind w:right="348"/>
      </w:pPr>
      <w:r>
        <w:rPr>
          <w:color w:val="000000"/>
          <w:shd w:fill="FFFF00" w:color="auto" w:val="clear"/>
        </w:rPr>
        <w:t>[Please clearly describe the data analysis methods used and provide the results from</w:t>
      </w:r>
      <w:r>
        <w:rPr>
          <w:color w:val="000000"/>
        </w:rPr>
        <w:t> </w:t>
      </w:r>
      <w:r>
        <w:rPr>
          <w:color w:val="000000"/>
          <w:shd w:fill="FFFF00" w:color="auto" w:val="clear"/>
        </w:rPr>
        <w:t>the study, including line data. We suggest calculating positive and negative percent</w:t>
      </w:r>
      <w:r>
        <w:rPr>
          <w:color w:val="000000"/>
        </w:rPr>
        <w:t> </w:t>
      </w:r>
      <w:r>
        <w:rPr>
          <w:color w:val="000000"/>
          <w:shd w:fill="FFFF00" w:color="auto" w:val="clear"/>
        </w:rPr>
        <w:t>agreement</w:t>
      </w:r>
      <w:r>
        <w:rPr>
          <w:color w:val="000000"/>
          <w:spacing w:val="-4"/>
          <w:shd w:fill="FFFF00" w:color="auto" w:val="clear"/>
        </w:rPr>
        <w:t> </w:t>
      </w:r>
      <w:r>
        <w:rPr>
          <w:color w:val="000000"/>
          <w:shd w:fill="FFFF00" w:color="auto" w:val="clear"/>
        </w:rPr>
        <w:t>between</w:t>
      </w:r>
      <w:r>
        <w:rPr>
          <w:color w:val="000000"/>
          <w:spacing w:val="-5"/>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candidate</w:t>
      </w:r>
      <w:r>
        <w:rPr>
          <w:color w:val="000000"/>
          <w:spacing w:val="-4"/>
          <w:shd w:fill="FFFF00" w:color="auto" w:val="clear"/>
        </w:rPr>
        <w:t> </w:t>
      </w:r>
      <w:r>
        <w:rPr>
          <w:color w:val="000000"/>
          <w:shd w:fill="FFFF00" w:color="auto" w:val="clear"/>
        </w:rPr>
        <w:t>device</w:t>
      </w:r>
      <w:r>
        <w:rPr>
          <w:color w:val="000000"/>
          <w:spacing w:val="-4"/>
          <w:shd w:fill="FFFF00" w:color="auto" w:val="clear"/>
        </w:rPr>
        <w:t> </w:t>
      </w:r>
      <w:r>
        <w:rPr>
          <w:color w:val="000000"/>
          <w:shd w:fill="FFFF00" w:color="auto" w:val="clear"/>
        </w:rPr>
        <w:t>and</w:t>
      </w:r>
      <w:r>
        <w:rPr>
          <w:color w:val="000000"/>
          <w:spacing w:val="-4"/>
          <w:shd w:fill="FFFF00" w:color="auto" w:val="clear"/>
        </w:rPr>
        <w:t> </w:t>
      </w:r>
      <w:r>
        <w:rPr>
          <w:color w:val="000000"/>
          <w:shd w:fill="FFFF00" w:color="auto" w:val="clear"/>
        </w:rPr>
        <w:t>the</w:t>
      </w:r>
      <w:r>
        <w:rPr>
          <w:color w:val="000000"/>
          <w:spacing w:val="-5"/>
          <w:shd w:fill="FFFF00" w:color="auto" w:val="clear"/>
        </w:rPr>
        <w:t> </w:t>
      </w:r>
      <w:r>
        <w:rPr>
          <w:color w:val="000000"/>
          <w:shd w:fill="FFFF00" w:color="auto" w:val="clear"/>
        </w:rPr>
        <w:t>comparator</w:t>
      </w:r>
      <w:r>
        <w:rPr>
          <w:color w:val="000000"/>
          <w:spacing w:val="-5"/>
          <w:shd w:fill="FFFF00" w:color="auto" w:val="clear"/>
        </w:rPr>
        <w:t> </w:t>
      </w:r>
      <w:r>
        <w:rPr>
          <w:color w:val="000000"/>
          <w:shd w:fill="FFFF00" w:color="auto" w:val="clear"/>
        </w:rPr>
        <w:t>method</w:t>
      </w:r>
      <w:r>
        <w:rPr>
          <w:color w:val="000000"/>
          <w:spacing w:val="-4"/>
          <w:shd w:fill="FFFF00" w:color="auto" w:val="clear"/>
        </w:rPr>
        <w:t> </w:t>
      </w:r>
      <w:r>
        <w:rPr>
          <w:color w:val="000000"/>
          <w:shd w:fill="FFFF00" w:color="auto" w:val="clear"/>
        </w:rPr>
        <w:t>results</w:t>
      </w:r>
      <w:r>
        <w:rPr>
          <w:color w:val="000000"/>
          <w:spacing w:val="-4"/>
          <w:shd w:fill="FFFF00" w:color="auto" w:val="clear"/>
        </w:rPr>
        <w:t> </w:t>
      </w:r>
      <w:r>
        <w:rPr>
          <w:color w:val="000000"/>
          <w:shd w:fill="FFFF00" w:color="auto" w:val="clear"/>
        </w:rPr>
        <w:t>separately</w:t>
      </w:r>
      <w:r>
        <w:rPr>
          <w:color w:val="000000"/>
        </w:rPr>
        <w:t> </w:t>
      </w:r>
      <w:r>
        <w:rPr>
          <w:color w:val="000000"/>
          <w:shd w:fill="FFFF00" w:color="auto" w:val="clear"/>
        </w:rPr>
        <w:t>for each claimed matrix, using 2 x 2 tables as follows:</w:t>
      </w:r>
    </w:p>
    <w:p>
      <w:pPr>
        <w:pStyle w:val="BodyText"/>
        <w:spacing w:before="4"/>
        <w:rPr>
          <w:rFonts w:ascii="TimesNewRomanPS-BoldItalicMT"/>
          <w:b/>
          <w:i/>
          <w:sz w:val="10"/>
        </w:rPr>
      </w:pPr>
    </w:p>
    <w:tbl>
      <w:tblPr>
        <w:tblW w:w="0" w:type="auto"/>
        <w:jc w:val="left"/>
        <w:tblInd w:w="11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105"/>
        <w:gridCol w:w="1595"/>
        <w:gridCol w:w="2160"/>
        <w:gridCol w:w="2250"/>
      </w:tblGrid>
      <w:tr>
        <w:trPr>
          <w:trHeight w:val="440" w:hRule="atLeast"/>
        </w:trPr>
        <w:tc>
          <w:tcPr>
            <w:tcW w:w="1105" w:type="dxa"/>
          </w:tcPr>
          <w:p>
            <w:pPr>
              <w:pStyle w:val="TableParagraph"/>
              <w:jc w:val="left"/>
              <w:rPr>
                <w:sz w:val="24"/>
              </w:rPr>
            </w:pPr>
          </w:p>
        </w:tc>
        <w:tc>
          <w:tcPr>
            <w:tcW w:w="6005" w:type="dxa"/>
            <w:gridSpan w:val="3"/>
          </w:tcPr>
          <w:p>
            <w:pPr>
              <w:pStyle w:val="TableParagraph"/>
              <w:spacing w:before="81"/>
              <w:ind w:left="1334"/>
              <w:jc w:val="left"/>
              <w:rPr>
                <w:rFonts w:ascii="TimesNewRomanPS-BoldItalicMT"/>
                <w:b/>
                <w:i/>
                <w:sz w:val="24"/>
              </w:rPr>
            </w:pPr>
            <w:r>
              <w:rPr>
                <w:rFonts w:ascii="TimesNewRomanPS-BoldItalicMT"/>
                <w:b/>
                <w:i/>
                <w:color w:val="000000"/>
                <w:sz w:val="24"/>
                <w:shd w:fill="FFFF00" w:color="auto" w:val="clear"/>
              </w:rPr>
              <w:t>Comparator</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method/Clinical</w:t>
            </w:r>
            <w:r>
              <w:rPr>
                <w:rFonts w:ascii="TimesNewRomanPS-BoldItalicMT"/>
                <w:b/>
                <w:i/>
                <w:color w:val="000000"/>
                <w:spacing w:val="-3"/>
                <w:sz w:val="24"/>
                <w:shd w:fill="FFFF00" w:color="auto" w:val="clear"/>
              </w:rPr>
              <w:t> </w:t>
            </w:r>
            <w:r>
              <w:rPr>
                <w:rFonts w:ascii="TimesNewRomanPS-BoldItalicMT"/>
                <w:b/>
                <w:i/>
                <w:color w:val="000000"/>
                <w:spacing w:val="-4"/>
                <w:sz w:val="24"/>
                <w:shd w:fill="FFFF00" w:color="auto" w:val="clear"/>
              </w:rPr>
              <w:t>truth</w:t>
            </w:r>
          </w:p>
        </w:tc>
      </w:tr>
      <w:tr>
        <w:trPr>
          <w:trHeight w:val="403" w:hRule="atLeast"/>
        </w:trPr>
        <w:tc>
          <w:tcPr>
            <w:tcW w:w="1105" w:type="dxa"/>
            <w:vMerge w:val="restart"/>
            <w:textDirection w:val="btLr"/>
          </w:tcPr>
          <w:p>
            <w:pPr>
              <w:pStyle w:val="TableParagraph"/>
              <w:jc w:val="left"/>
              <w:rPr>
                <w:rFonts w:ascii="TimesNewRomanPS-BoldItalicMT"/>
                <w:b/>
                <w:i/>
                <w:sz w:val="36"/>
              </w:rPr>
            </w:pPr>
          </w:p>
          <w:p>
            <w:pPr>
              <w:pStyle w:val="TableParagraph"/>
              <w:ind w:left="209"/>
              <w:jc w:val="left"/>
              <w:rPr>
                <w:rFonts w:ascii="TimesNewRomanPS-BoldItalicMT"/>
                <w:b/>
                <w:i/>
                <w:sz w:val="24"/>
              </w:rPr>
            </w:pPr>
            <w:r>
              <w:rPr>
                <w:rFonts w:ascii="TimesNewRomanPS-BoldItalicMT"/>
                <w:b/>
                <w:i/>
                <w:color w:val="000000"/>
                <w:sz w:val="24"/>
                <w:shd w:fill="FFFF00" w:color="auto" w:val="clear"/>
              </w:rPr>
              <w:t>Your</w:t>
            </w:r>
            <w:r>
              <w:rPr>
                <w:rFonts w:ascii="TimesNewRomanPS-BoldItalicMT"/>
                <w:b/>
                <w:i/>
                <w:color w:val="000000"/>
                <w:spacing w:val="-2"/>
                <w:sz w:val="24"/>
                <w:shd w:fill="FFFF00" w:color="auto" w:val="clear"/>
              </w:rPr>
              <w:t> Device</w:t>
            </w:r>
          </w:p>
        </w:tc>
        <w:tc>
          <w:tcPr>
            <w:tcW w:w="1595" w:type="dxa"/>
          </w:tcPr>
          <w:p>
            <w:pPr>
              <w:pStyle w:val="TableParagraph"/>
              <w:jc w:val="left"/>
              <w:rPr>
                <w:sz w:val="24"/>
              </w:rPr>
            </w:pPr>
          </w:p>
        </w:tc>
        <w:tc>
          <w:tcPr>
            <w:tcW w:w="2160" w:type="dxa"/>
          </w:tcPr>
          <w:p>
            <w:pPr>
              <w:pStyle w:val="TableParagraph"/>
              <w:spacing w:before="63"/>
              <w:ind w:left="500" w:right="492"/>
              <w:rPr>
                <w:rFonts w:ascii="TimesNewRomanPS-BoldItalicMT"/>
                <w:b/>
                <w:i/>
                <w:sz w:val="24"/>
              </w:rPr>
            </w:pPr>
            <w:r>
              <w:rPr>
                <w:rFonts w:ascii="TimesNewRomanPS-BoldItalicMT"/>
                <w:b/>
                <w:i/>
                <w:color w:val="000000"/>
                <w:spacing w:val="-2"/>
                <w:sz w:val="24"/>
                <w:shd w:fill="FFFF00" w:color="auto" w:val="clear"/>
              </w:rPr>
              <w:t>Positive</w:t>
            </w:r>
          </w:p>
        </w:tc>
        <w:tc>
          <w:tcPr>
            <w:tcW w:w="2250" w:type="dxa"/>
          </w:tcPr>
          <w:p>
            <w:pPr>
              <w:pStyle w:val="TableParagraph"/>
              <w:spacing w:before="63"/>
              <w:ind w:left="9"/>
              <w:rPr>
                <w:rFonts w:ascii="TimesNewRomanPS-BoldItalicMT"/>
                <w:b/>
                <w:i/>
                <w:sz w:val="24"/>
              </w:rPr>
            </w:pPr>
            <w:r>
              <w:rPr>
                <w:rFonts w:ascii="TimesNewRomanPS-BoldItalicMT"/>
                <w:b/>
                <w:i/>
                <w:color w:val="000000"/>
                <w:spacing w:val="-2"/>
                <w:sz w:val="24"/>
                <w:shd w:fill="FFFF00" w:color="auto" w:val="clear"/>
              </w:rPr>
              <w:t>Negative</w:t>
            </w:r>
          </w:p>
        </w:tc>
      </w:tr>
      <w:tr>
        <w:trPr>
          <w:trHeight w:val="530" w:hRule="atLeast"/>
        </w:trPr>
        <w:tc>
          <w:tcPr>
            <w:tcW w:w="1105" w:type="dxa"/>
            <w:vMerge/>
            <w:tcBorders>
              <w:top w:val="nil"/>
            </w:tcBorders>
            <w:textDirection w:val="btLr"/>
          </w:tcPr>
          <w:p>
            <w:pPr>
              <w:rPr>
                <w:sz w:val="2"/>
                <w:szCs w:val="2"/>
              </w:rPr>
            </w:pPr>
          </w:p>
        </w:tc>
        <w:tc>
          <w:tcPr>
            <w:tcW w:w="1595" w:type="dxa"/>
          </w:tcPr>
          <w:p>
            <w:pPr>
              <w:pStyle w:val="TableParagraph"/>
              <w:spacing w:before="127"/>
              <w:ind w:left="351" w:right="342"/>
              <w:rPr>
                <w:rFonts w:ascii="TimesNewRomanPS-BoldItalicMT"/>
                <w:b/>
                <w:i/>
                <w:sz w:val="24"/>
              </w:rPr>
            </w:pPr>
            <w:r>
              <w:rPr>
                <w:rFonts w:ascii="TimesNewRomanPS-BoldItalicMT"/>
                <w:b/>
                <w:i/>
                <w:color w:val="000000"/>
                <w:spacing w:val="-2"/>
                <w:sz w:val="24"/>
                <w:shd w:fill="FFFF00" w:color="auto" w:val="clear"/>
              </w:rPr>
              <w:t>Positive</w:t>
            </w:r>
          </w:p>
        </w:tc>
        <w:tc>
          <w:tcPr>
            <w:tcW w:w="2160" w:type="dxa"/>
          </w:tcPr>
          <w:p>
            <w:pPr>
              <w:pStyle w:val="TableParagraph"/>
              <w:spacing w:before="127"/>
              <w:ind w:left="8"/>
              <w:rPr>
                <w:rFonts w:ascii="TimesNewRomanPS-BoldItalicMT"/>
                <w:b/>
                <w:i/>
                <w:sz w:val="24"/>
              </w:rPr>
            </w:pPr>
            <w:r>
              <w:rPr>
                <w:rFonts w:ascii="TimesNewRomanPS-BoldItalicMT"/>
                <w:b/>
                <w:i/>
                <w:color w:val="000000"/>
                <w:sz w:val="24"/>
                <w:shd w:fill="FFFF00" w:color="auto" w:val="clear"/>
              </w:rPr>
              <w:t>A</w:t>
            </w:r>
          </w:p>
        </w:tc>
        <w:tc>
          <w:tcPr>
            <w:tcW w:w="2250" w:type="dxa"/>
          </w:tcPr>
          <w:p>
            <w:pPr>
              <w:pStyle w:val="TableParagraph"/>
              <w:spacing w:before="127"/>
              <w:ind w:left="10"/>
              <w:rPr>
                <w:rFonts w:ascii="TimesNewRomanPS-BoldItalicMT"/>
                <w:b/>
                <w:i/>
                <w:sz w:val="24"/>
              </w:rPr>
            </w:pPr>
            <w:r>
              <w:rPr>
                <w:rFonts w:ascii="TimesNewRomanPS-BoldItalicMT"/>
                <w:b/>
                <w:i/>
                <w:color w:val="000000"/>
                <w:sz w:val="24"/>
                <w:shd w:fill="FFFF00" w:color="auto" w:val="clear"/>
              </w:rPr>
              <w:t>B</w:t>
            </w:r>
          </w:p>
        </w:tc>
      </w:tr>
      <w:tr>
        <w:trPr>
          <w:trHeight w:val="683" w:hRule="atLeast"/>
        </w:trPr>
        <w:tc>
          <w:tcPr>
            <w:tcW w:w="1105" w:type="dxa"/>
            <w:vMerge/>
            <w:tcBorders>
              <w:top w:val="nil"/>
            </w:tcBorders>
            <w:textDirection w:val="btLr"/>
          </w:tcPr>
          <w:p>
            <w:pPr>
              <w:rPr>
                <w:sz w:val="2"/>
                <w:szCs w:val="2"/>
              </w:rPr>
            </w:pPr>
          </w:p>
        </w:tc>
        <w:tc>
          <w:tcPr>
            <w:tcW w:w="1595" w:type="dxa"/>
          </w:tcPr>
          <w:p>
            <w:pPr>
              <w:pStyle w:val="TableParagraph"/>
              <w:spacing w:before="204"/>
              <w:ind w:left="351" w:right="342"/>
              <w:rPr>
                <w:rFonts w:ascii="TimesNewRomanPS-BoldItalicMT"/>
                <w:b/>
                <w:i/>
                <w:sz w:val="24"/>
              </w:rPr>
            </w:pPr>
            <w:r>
              <w:rPr>
                <w:rFonts w:ascii="TimesNewRomanPS-BoldItalicMT"/>
                <w:b/>
                <w:i/>
                <w:color w:val="000000"/>
                <w:spacing w:val="-2"/>
                <w:sz w:val="24"/>
                <w:shd w:fill="FFFF00" w:color="auto" w:val="clear"/>
              </w:rPr>
              <w:t>Negative</w:t>
            </w:r>
          </w:p>
        </w:tc>
        <w:tc>
          <w:tcPr>
            <w:tcW w:w="2160" w:type="dxa"/>
          </w:tcPr>
          <w:p>
            <w:pPr>
              <w:pStyle w:val="TableParagraph"/>
              <w:spacing w:before="204"/>
              <w:ind w:left="8"/>
              <w:rPr>
                <w:rFonts w:ascii="TimesNewRomanPS-BoldItalicMT"/>
                <w:b/>
                <w:i/>
                <w:sz w:val="24"/>
              </w:rPr>
            </w:pPr>
            <w:r>
              <w:rPr>
                <w:rFonts w:ascii="TimesNewRomanPS-BoldItalicMT"/>
                <w:b/>
                <w:i/>
                <w:color w:val="000000"/>
                <w:sz w:val="24"/>
                <w:shd w:fill="FFFF00" w:color="auto" w:val="clear"/>
              </w:rPr>
              <w:t>C</w:t>
            </w:r>
          </w:p>
        </w:tc>
        <w:tc>
          <w:tcPr>
            <w:tcW w:w="2250" w:type="dxa"/>
          </w:tcPr>
          <w:p>
            <w:pPr>
              <w:pStyle w:val="TableParagraph"/>
              <w:spacing w:before="204"/>
              <w:ind w:left="8"/>
              <w:rPr>
                <w:rFonts w:ascii="TimesNewRomanPS-BoldItalicMT"/>
                <w:b/>
                <w:i/>
                <w:sz w:val="24"/>
              </w:rPr>
            </w:pPr>
            <w:r>
              <w:rPr>
                <w:rFonts w:ascii="TimesNewRomanPS-BoldItalicMT"/>
                <w:b/>
                <w:i/>
                <w:color w:val="000000"/>
                <w:sz w:val="24"/>
                <w:shd w:fill="FFFF00" w:color="auto" w:val="clear"/>
              </w:rPr>
              <w:t>D</w:t>
            </w:r>
          </w:p>
        </w:tc>
      </w:tr>
    </w:tbl>
    <w:p>
      <w:pPr>
        <w:pStyle w:val="BodyText"/>
        <w:spacing w:before="1"/>
        <w:rPr>
          <w:rFonts w:ascii="TimesNewRomanPS-BoldItalicMT"/>
          <w:b/>
          <w:i/>
        </w:rPr>
      </w:pPr>
    </w:p>
    <w:p>
      <w:pPr>
        <w:pStyle w:val="Heading6"/>
        <w:tabs>
          <w:tab w:pos="4479" w:val="left" w:leader="none"/>
        </w:tabs>
        <w:spacing w:before="0"/>
        <w:ind w:left="1150"/>
      </w:pPr>
      <w:r>
        <w:rPr>
          <w:color w:val="000000"/>
          <w:shd w:fill="FFFF00" w:color="auto" w:val="clear"/>
        </w:rPr>
        <w:t>Percent</w:t>
      </w:r>
      <w:r>
        <w:rPr>
          <w:color w:val="000000"/>
          <w:spacing w:val="-2"/>
          <w:shd w:fill="FFFF00" w:color="auto" w:val="clear"/>
        </w:rPr>
        <w:t> </w:t>
      </w:r>
      <w:r>
        <w:rPr>
          <w:color w:val="000000"/>
          <w:shd w:fill="FFFF00" w:color="auto" w:val="clear"/>
        </w:rPr>
        <w:t>Positive</w:t>
      </w:r>
      <w:r>
        <w:rPr>
          <w:color w:val="000000"/>
          <w:spacing w:val="-2"/>
          <w:shd w:fill="FFFF00" w:color="auto" w:val="clear"/>
        </w:rPr>
        <w:t> </w:t>
      </w:r>
      <w:r>
        <w:rPr>
          <w:color w:val="000000"/>
          <w:shd w:fill="FFFF00" w:color="auto" w:val="clear"/>
        </w:rPr>
        <w:t>Agreement</w:t>
      </w:r>
      <w:r>
        <w:rPr>
          <w:color w:val="000000"/>
          <w:spacing w:val="28"/>
          <w:shd w:fill="FFFF00" w:color="auto" w:val="clear"/>
        </w:rPr>
        <w:t>  </w:t>
      </w:r>
      <w:r>
        <w:rPr>
          <w:color w:val="000000"/>
          <w:spacing w:val="-10"/>
          <w:shd w:fill="FFFF00" w:color="auto" w:val="clear"/>
        </w:rPr>
        <w:t>=</w:t>
      </w:r>
      <w:r>
        <w:rPr>
          <w:color w:val="000000"/>
          <w:shd w:fill="FFFF00" w:color="auto" w:val="clear"/>
        </w:rPr>
        <w:tab/>
        <w:t>A/(A</w:t>
      </w:r>
      <w:r>
        <w:rPr>
          <w:color w:val="000000"/>
          <w:spacing w:val="-4"/>
          <w:shd w:fill="FFFF00" w:color="auto" w:val="clear"/>
        </w:rPr>
        <w:t> </w:t>
      </w:r>
      <w:r>
        <w:rPr>
          <w:color w:val="000000"/>
          <w:shd w:fill="FFFF00" w:color="auto" w:val="clear"/>
        </w:rPr>
        <w:t>+ C)</w:t>
      </w:r>
      <w:r>
        <w:rPr>
          <w:color w:val="000000"/>
          <w:spacing w:val="59"/>
          <w:shd w:fill="FFFF00" w:color="auto" w:val="clear"/>
        </w:rPr>
        <w:t> </w:t>
      </w:r>
      <w:r>
        <w:rPr>
          <w:color w:val="000000"/>
          <w:spacing w:val="-5"/>
          <w:shd w:fill="FFFF00" w:color="auto" w:val="clear"/>
        </w:rPr>
        <w:t>or</w:t>
      </w:r>
    </w:p>
    <w:p>
      <w:pPr>
        <w:pStyle w:val="Heading6"/>
        <w:spacing w:before="0"/>
        <w:ind w:left="3760"/>
      </w:pPr>
      <w:r>
        <w:rPr>
          <w:color w:val="000000"/>
          <w:shd w:fill="FFFF00" w:color="auto" w:val="clear"/>
        </w:rPr>
        <w:t>True</w:t>
      </w:r>
      <w:r>
        <w:rPr>
          <w:color w:val="000000"/>
          <w:spacing w:val="-3"/>
          <w:shd w:fill="FFFF00" w:color="auto" w:val="clear"/>
        </w:rPr>
        <w:t> </w:t>
      </w:r>
      <w:r>
        <w:rPr>
          <w:color w:val="000000"/>
          <w:shd w:fill="FFFF00" w:color="auto" w:val="clear"/>
        </w:rPr>
        <w:t>Positives/(True</w:t>
      </w:r>
      <w:r>
        <w:rPr>
          <w:color w:val="000000"/>
          <w:spacing w:val="-3"/>
          <w:shd w:fill="FFFF00" w:color="auto" w:val="clear"/>
        </w:rPr>
        <w:t> </w:t>
      </w:r>
      <w:r>
        <w:rPr>
          <w:color w:val="000000"/>
          <w:shd w:fill="FFFF00" w:color="auto" w:val="clear"/>
        </w:rPr>
        <w:t>Positives</w:t>
      </w:r>
      <w:r>
        <w:rPr>
          <w:color w:val="000000"/>
          <w:spacing w:val="-2"/>
          <w:shd w:fill="FFFF00" w:color="auto" w:val="clear"/>
        </w:rPr>
        <w:t> </w:t>
      </w:r>
      <w:r>
        <w:rPr>
          <w:color w:val="000000"/>
          <w:shd w:fill="FFFF00" w:color="auto" w:val="clear"/>
        </w:rPr>
        <w:t>+</w:t>
      </w:r>
      <w:r>
        <w:rPr>
          <w:color w:val="000000"/>
          <w:spacing w:val="-3"/>
          <w:shd w:fill="FFFF00" w:color="auto" w:val="clear"/>
        </w:rPr>
        <w:t> </w:t>
      </w:r>
      <w:r>
        <w:rPr>
          <w:color w:val="000000"/>
          <w:shd w:fill="FFFF00" w:color="auto" w:val="clear"/>
        </w:rPr>
        <w:t>False</w:t>
      </w:r>
      <w:r>
        <w:rPr>
          <w:color w:val="000000"/>
          <w:spacing w:val="-2"/>
          <w:shd w:fill="FFFF00" w:color="auto" w:val="clear"/>
        </w:rPr>
        <w:t> Negatives)</w:t>
      </w:r>
    </w:p>
    <w:p>
      <w:pPr>
        <w:pStyle w:val="BodyText"/>
        <w:spacing w:before="1"/>
        <w:rPr>
          <w:rFonts w:ascii="TimesNewRomanPS-BoldItalicMT"/>
          <w:b/>
          <w:i/>
          <w:sz w:val="16"/>
        </w:rPr>
      </w:pPr>
    </w:p>
    <w:p>
      <w:pPr>
        <w:pStyle w:val="Heading6"/>
        <w:tabs>
          <w:tab w:pos="4479" w:val="left" w:leader="none"/>
        </w:tabs>
        <w:ind w:left="1150"/>
      </w:pPr>
      <w:r>
        <w:rPr>
          <w:color w:val="000000"/>
          <w:shd w:fill="FFFF00" w:color="auto" w:val="clear"/>
        </w:rPr>
        <w:t>Negative</w:t>
      </w:r>
      <w:r>
        <w:rPr>
          <w:color w:val="000000"/>
          <w:spacing w:val="-4"/>
          <w:shd w:fill="FFFF00" w:color="auto" w:val="clear"/>
        </w:rPr>
        <w:t> </w:t>
      </w:r>
      <w:r>
        <w:rPr>
          <w:color w:val="000000"/>
          <w:shd w:fill="FFFF00" w:color="auto" w:val="clear"/>
        </w:rPr>
        <w:t>Percent</w:t>
      </w:r>
      <w:r>
        <w:rPr>
          <w:color w:val="000000"/>
          <w:spacing w:val="-2"/>
          <w:shd w:fill="FFFF00" w:color="auto" w:val="clear"/>
        </w:rPr>
        <w:t> </w:t>
      </w:r>
      <w:r>
        <w:rPr>
          <w:color w:val="000000"/>
          <w:shd w:fill="FFFF00" w:color="auto" w:val="clear"/>
        </w:rPr>
        <w:t>Agreement</w:t>
      </w:r>
      <w:r>
        <w:rPr>
          <w:color w:val="000000"/>
          <w:spacing w:val="57"/>
          <w:shd w:fill="FFFF00" w:color="auto" w:val="clear"/>
        </w:rPr>
        <w:t> </w:t>
      </w:r>
      <w:r>
        <w:rPr>
          <w:color w:val="000000"/>
          <w:spacing w:val="-10"/>
          <w:shd w:fill="FFFF00" w:color="auto" w:val="clear"/>
        </w:rPr>
        <w:t>=</w:t>
      </w:r>
      <w:r>
        <w:rPr>
          <w:color w:val="000000"/>
          <w:shd w:fill="FFFF00" w:color="auto" w:val="clear"/>
        </w:rPr>
        <w:tab/>
        <w:t>D/(B</w:t>
      </w:r>
      <w:r>
        <w:rPr>
          <w:color w:val="000000"/>
          <w:spacing w:val="-4"/>
          <w:shd w:fill="FFFF00" w:color="auto" w:val="clear"/>
        </w:rPr>
        <w:t> </w:t>
      </w:r>
      <w:r>
        <w:rPr>
          <w:color w:val="000000"/>
          <w:shd w:fill="FFFF00" w:color="auto" w:val="clear"/>
        </w:rPr>
        <w:t>+</w:t>
      </w:r>
      <w:r>
        <w:rPr>
          <w:color w:val="000000"/>
          <w:spacing w:val="-1"/>
          <w:shd w:fill="FFFF00" w:color="auto" w:val="clear"/>
        </w:rPr>
        <w:t> </w:t>
      </w:r>
      <w:r>
        <w:rPr>
          <w:color w:val="000000"/>
          <w:shd w:fill="FFFF00" w:color="auto" w:val="clear"/>
        </w:rPr>
        <w:t>D) </w:t>
      </w:r>
      <w:r>
        <w:rPr>
          <w:color w:val="000000"/>
          <w:spacing w:val="-5"/>
          <w:shd w:fill="FFFF00" w:color="auto" w:val="clear"/>
        </w:rPr>
        <w:t>or</w:t>
      </w:r>
    </w:p>
    <w:p>
      <w:pPr>
        <w:pStyle w:val="Heading6"/>
        <w:tabs>
          <w:tab w:pos="3759" w:val="left" w:leader="none"/>
        </w:tabs>
        <w:spacing w:before="0"/>
        <w:ind w:left="1150"/>
      </w:pPr>
      <w:r>
        <w:rPr>
          <w:color w:val="000000"/>
          <w:shd w:fill="FFFF00" w:color="auto" w:val="clear"/>
        </w:rPr>
        <w:tab/>
        <w:t>True</w:t>
      </w:r>
      <w:r>
        <w:rPr>
          <w:color w:val="000000"/>
          <w:spacing w:val="-5"/>
          <w:shd w:fill="FFFF00" w:color="auto" w:val="clear"/>
        </w:rPr>
        <w:t> </w:t>
      </w:r>
      <w:r>
        <w:rPr>
          <w:color w:val="000000"/>
          <w:shd w:fill="FFFF00" w:color="auto" w:val="clear"/>
        </w:rPr>
        <w:t>Negatives/(True</w:t>
      </w:r>
      <w:r>
        <w:rPr>
          <w:color w:val="000000"/>
          <w:spacing w:val="-2"/>
          <w:shd w:fill="FFFF00" w:color="auto" w:val="clear"/>
        </w:rPr>
        <w:t> </w:t>
      </w:r>
      <w:r>
        <w:rPr>
          <w:color w:val="000000"/>
          <w:shd w:fill="FFFF00" w:color="auto" w:val="clear"/>
        </w:rPr>
        <w:t>Negatives</w:t>
      </w:r>
      <w:r>
        <w:rPr>
          <w:color w:val="000000"/>
          <w:spacing w:val="-3"/>
          <w:shd w:fill="FFFF00" w:color="auto" w:val="clear"/>
        </w:rPr>
        <w:t> </w:t>
      </w:r>
      <w:r>
        <w:rPr>
          <w:color w:val="000000"/>
          <w:shd w:fill="FFFF00" w:color="auto" w:val="clear"/>
        </w:rPr>
        <w:t>+</w:t>
      </w:r>
      <w:r>
        <w:rPr>
          <w:color w:val="000000"/>
          <w:spacing w:val="-2"/>
          <w:shd w:fill="FFFF00" w:color="auto" w:val="clear"/>
        </w:rPr>
        <w:t> </w:t>
      </w:r>
      <w:r>
        <w:rPr>
          <w:color w:val="000000"/>
          <w:shd w:fill="FFFF00" w:color="auto" w:val="clear"/>
        </w:rPr>
        <w:t>False</w:t>
      </w:r>
      <w:r>
        <w:rPr>
          <w:color w:val="000000"/>
          <w:spacing w:val="-2"/>
          <w:shd w:fill="FFFF00" w:color="auto" w:val="clear"/>
        </w:rPr>
        <w:t> positives)</w:t>
      </w:r>
    </w:p>
    <w:p>
      <w:pPr>
        <w:pStyle w:val="BodyText"/>
        <w:spacing w:before="2"/>
        <w:rPr>
          <w:rFonts w:ascii="TimesNewRomanPS-BoldItalicMT"/>
          <w:b/>
          <w:i/>
          <w:sz w:val="16"/>
        </w:rPr>
      </w:pPr>
    </w:p>
    <w:p>
      <w:pPr>
        <w:pStyle w:val="Heading6"/>
        <w:ind w:right="278"/>
      </w:pPr>
      <w:r>
        <w:rPr>
          <w:color w:val="000000"/>
          <w:shd w:fill="FFFF00" w:color="auto" w:val="clear"/>
        </w:rPr>
        <w:t>If</w:t>
      </w:r>
      <w:r>
        <w:rPr>
          <w:color w:val="000000"/>
          <w:spacing w:val="-3"/>
          <w:shd w:fill="FFFF00" w:color="auto" w:val="clear"/>
        </w:rPr>
        <w:t> </w:t>
      </w:r>
      <w:r>
        <w:rPr>
          <w:color w:val="000000"/>
          <w:shd w:fill="FFFF00" w:color="auto" w:val="clear"/>
        </w:rPr>
        <w:t>you</w:t>
      </w:r>
      <w:r>
        <w:rPr>
          <w:color w:val="000000"/>
          <w:spacing w:val="-4"/>
          <w:shd w:fill="FFFF00" w:color="auto" w:val="clear"/>
        </w:rPr>
        <w:t> </w:t>
      </w:r>
      <w:r>
        <w:rPr>
          <w:color w:val="000000"/>
          <w:shd w:fill="FFFF00" w:color="auto" w:val="clear"/>
        </w:rPr>
        <w:t>claim</w:t>
      </w:r>
      <w:r>
        <w:rPr>
          <w:color w:val="000000"/>
          <w:spacing w:val="-4"/>
          <w:shd w:fill="FFFF00" w:color="auto" w:val="clear"/>
        </w:rPr>
        <w:t> </w:t>
      </w:r>
      <w:r>
        <w:rPr>
          <w:color w:val="000000"/>
          <w:shd w:fill="FFFF00" w:color="auto" w:val="clear"/>
        </w:rPr>
        <w:t>that</w:t>
      </w:r>
      <w:r>
        <w:rPr>
          <w:color w:val="000000"/>
          <w:spacing w:val="-3"/>
          <w:shd w:fill="FFFF00" w:color="auto" w:val="clear"/>
        </w:rPr>
        <w:t> </w:t>
      </w:r>
      <w:r>
        <w:rPr>
          <w:color w:val="000000"/>
          <w:shd w:fill="FFFF00" w:color="auto" w:val="clear"/>
        </w:rPr>
        <w:t>your</w:t>
      </w:r>
      <w:r>
        <w:rPr>
          <w:color w:val="000000"/>
          <w:spacing w:val="-3"/>
          <w:shd w:fill="FFFF00" w:color="auto" w:val="clear"/>
        </w:rPr>
        <w:t> </w:t>
      </w:r>
      <w:r>
        <w:rPr>
          <w:color w:val="000000"/>
          <w:shd w:fill="FFFF00" w:color="auto" w:val="clear"/>
        </w:rPr>
        <w:t>test</w:t>
      </w:r>
      <w:r>
        <w:rPr>
          <w:color w:val="000000"/>
          <w:spacing w:val="-3"/>
          <w:shd w:fill="FFFF00" w:color="auto" w:val="clear"/>
        </w:rPr>
        <w:t> </w:t>
      </w:r>
      <w:r>
        <w:rPr>
          <w:color w:val="000000"/>
          <w:shd w:fill="FFFF00" w:color="auto" w:val="clear"/>
        </w:rPr>
        <w:t>can</w:t>
      </w:r>
      <w:r>
        <w:rPr>
          <w:color w:val="000000"/>
          <w:spacing w:val="-4"/>
          <w:shd w:fill="FFFF00" w:color="auto" w:val="clear"/>
        </w:rPr>
        <w:t> </w:t>
      </w:r>
      <w:r>
        <w:rPr>
          <w:color w:val="000000"/>
          <w:shd w:fill="FFFF00" w:color="auto" w:val="clear"/>
        </w:rPr>
        <w:t>differentiate</w:t>
      </w:r>
      <w:r>
        <w:rPr>
          <w:color w:val="000000"/>
          <w:spacing w:val="-3"/>
          <w:shd w:fill="FFFF00" w:color="auto" w:val="clear"/>
        </w:rPr>
        <w:t> </w:t>
      </w:r>
      <w:r>
        <w:rPr>
          <w:color w:val="000000"/>
          <w:shd w:fill="FFFF00" w:color="auto" w:val="clear"/>
        </w:rPr>
        <w:t>between</w:t>
      </w:r>
      <w:r>
        <w:rPr>
          <w:color w:val="000000"/>
          <w:spacing w:val="-4"/>
          <w:shd w:fill="FFFF00" w:color="auto" w:val="clear"/>
        </w:rPr>
        <w:t> </w:t>
      </w:r>
      <w:r>
        <w:rPr>
          <w:color w:val="000000"/>
          <w:shd w:fill="FFFF00" w:color="auto" w:val="clear"/>
        </w:rPr>
        <w:t>IgG</w:t>
      </w:r>
      <w:r>
        <w:rPr>
          <w:color w:val="000000"/>
          <w:spacing w:val="-4"/>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IgM,</w:t>
      </w:r>
      <w:r>
        <w:rPr>
          <w:color w:val="000000"/>
          <w:spacing w:val="-3"/>
          <w:shd w:fill="FFFF00" w:color="auto" w:val="clear"/>
        </w:rPr>
        <w:t> </w:t>
      </w:r>
      <w:r>
        <w:rPr>
          <w:color w:val="000000"/>
          <w:shd w:fill="FFFF00" w:color="auto" w:val="clear"/>
        </w:rPr>
        <w:t>PPA</w:t>
      </w:r>
      <w:r>
        <w:rPr>
          <w:color w:val="000000"/>
          <w:spacing w:val="-4"/>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NPA</w:t>
      </w:r>
      <w:r>
        <w:rPr>
          <w:color w:val="000000"/>
          <w:spacing w:val="-4"/>
          <w:shd w:fill="FFFF00" w:color="auto" w:val="clear"/>
        </w:rPr>
        <w:t> </w:t>
      </w:r>
      <w:r>
        <w:rPr>
          <w:color w:val="000000"/>
          <w:shd w:fill="FFFF00" w:color="auto" w:val="clear"/>
        </w:rPr>
        <w:t>for</w:t>
      </w:r>
      <w:r>
        <w:rPr>
          <w:color w:val="000000"/>
        </w:rPr>
        <w:t> </w:t>
      </w:r>
      <w:r>
        <w:rPr>
          <w:color w:val="000000"/>
          <w:shd w:fill="FFFF00" w:color="auto" w:val="clear"/>
        </w:rPr>
        <w:t>IgG and IgM separately should be calculated separately.]</w:t>
      </w:r>
    </w:p>
    <w:p>
      <w:pPr>
        <w:pStyle w:val="BodyText"/>
        <w:rPr>
          <w:rFonts w:ascii="TimesNewRomanPS-BoldItalicMT"/>
          <w:b/>
          <w:i/>
        </w:rPr>
      </w:pPr>
    </w:p>
    <w:p>
      <w:pPr>
        <w:pStyle w:val="Heading6"/>
        <w:numPr>
          <w:ilvl w:val="1"/>
          <w:numId w:val="13"/>
        </w:numPr>
        <w:tabs>
          <w:tab w:pos="879" w:val="left" w:leader="none"/>
        </w:tabs>
        <w:spacing w:line="240" w:lineRule="auto" w:before="0" w:after="0"/>
        <w:ind w:left="879" w:right="0" w:hanging="359"/>
        <w:jc w:val="left"/>
      </w:pPr>
      <w:bookmarkStart w:name="4) Matrix Equivalency" w:id="95"/>
      <w:bookmarkEnd w:id="95"/>
      <w:r>
        <w:rPr>
          <w:b w:val="0"/>
          <w:i w:val="0"/>
        </w:rPr>
      </w:r>
      <w:r>
        <w:rPr>
          <w:u w:val="thick"/>
        </w:rPr>
        <w:t>Matrix </w:t>
      </w:r>
      <w:r>
        <w:rPr>
          <w:spacing w:val="-2"/>
          <w:u w:val="thick"/>
        </w:rPr>
        <w:t>Equivalency</w:t>
      </w:r>
    </w:p>
    <w:p>
      <w:pPr>
        <w:spacing w:before="120"/>
        <w:ind w:left="880" w:right="278" w:firstLine="0"/>
        <w:jc w:val="left"/>
        <w:rPr>
          <w:b/>
          <w:sz w:val="24"/>
        </w:rPr>
      </w:pPr>
      <w:r>
        <w:rPr>
          <w:rFonts w:ascii="TimesNewRomanPS-BoldItalicMT"/>
          <w:b/>
          <w:i/>
          <w:color w:val="000000"/>
          <w:sz w:val="24"/>
          <w:shd w:fill="FFFF00" w:color="auto" w:val="clear"/>
        </w:rPr>
        <w:t>[Please describe the protocol and provide the results from any matrix equivalency</w:t>
      </w:r>
      <w:r>
        <w:rPr>
          <w:rFonts w:ascii="TimesNewRomanPS-BoldItalicMT"/>
          <w:b/>
          <w:i/>
          <w:color w:val="000000"/>
          <w:sz w:val="24"/>
        </w:rPr>
        <w:t> </w:t>
      </w:r>
      <w:r>
        <w:rPr>
          <w:rFonts w:ascii="TimesNewRomanPS-BoldItalicMT"/>
          <w:b/>
          <w:i/>
          <w:color w:val="000000"/>
          <w:sz w:val="24"/>
          <w:shd w:fill="FFFF00" w:color="auto" w:val="clear"/>
        </w:rPr>
        <w:t>studies</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performed</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to</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support</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the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performance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of</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the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assay</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in</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claimed</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sample</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matrices</w:t>
      </w:r>
      <w:r>
        <w:rPr>
          <w:rFonts w:ascii="TimesNewRomanPS-BoldItalicMT"/>
          <w:b/>
          <w:i/>
          <w:color w:val="000000"/>
          <w:sz w:val="24"/>
        </w:rPr>
        <w:t> </w:t>
      </w:r>
      <w:r>
        <w:rPr>
          <w:rFonts w:ascii="TimesNewRomanPS-BoldItalicMT"/>
          <w:b/>
          <w:i/>
          <w:color w:val="000000"/>
          <w:sz w:val="24"/>
          <w:shd w:fill="FFFF00" w:color="auto" w:val="clear"/>
        </w:rPr>
        <w:t>(serum, EDTA plasma, venipuncture whole blood, different anticoagulants, etc.) that</w:t>
      </w:r>
      <w:r>
        <w:rPr>
          <w:rFonts w:ascii="TimesNewRomanPS-BoldItalicMT"/>
          <w:b/>
          <w:i/>
          <w:color w:val="000000"/>
          <w:sz w:val="24"/>
        </w:rPr>
        <w:t> </w:t>
      </w:r>
      <w:r>
        <w:rPr>
          <w:rFonts w:ascii="TimesNewRomanPS-BoldItalicMT"/>
          <w:b/>
          <w:i/>
          <w:color w:val="000000"/>
          <w:sz w:val="24"/>
          <w:shd w:fill="FFFF00" w:color="auto" w:val="clear"/>
        </w:rPr>
        <w:t>were not evaluated in the initial clinical agreement study.]</w:t>
      </w:r>
      <w:r>
        <w:rPr>
          <w:rFonts w:ascii="TimesNewRomanPS-BoldItalicMT"/>
          <w:b/>
          <w:i/>
          <w:color w:val="000000"/>
          <w:sz w:val="24"/>
        </w:rPr>
        <w:t> </w:t>
      </w:r>
      <w:r>
        <w:rPr>
          <w:b/>
          <w:color w:val="000000"/>
          <w:sz w:val="24"/>
        </w:rPr>
        <w:t>Please note: Fingerstick whole blood is not considered to be the same sample type as venipuncture whole blood and clinical agreement against PCR should be evaluated (please see Section J.3 above).</w:t>
      </w:r>
    </w:p>
    <w:p>
      <w:pPr>
        <w:pStyle w:val="BodyText"/>
        <w:rPr>
          <w:b/>
        </w:rPr>
      </w:pPr>
    </w:p>
    <w:p>
      <w:pPr>
        <w:pStyle w:val="Heading5"/>
      </w:pPr>
      <w:r>
        <w:rPr/>
        <w:t>Matrix</w:t>
      </w:r>
      <w:r>
        <w:rPr>
          <w:spacing w:val="-6"/>
        </w:rPr>
        <w:t> </w:t>
      </w:r>
      <w:r>
        <w:rPr/>
        <w:t>equivalency</w:t>
      </w:r>
      <w:r>
        <w:rPr>
          <w:spacing w:val="-4"/>
        </w:rPr>
        <w:t> </w:t>
      </w:r>
      <w:r>
        <w:rPr/>
        <w:t>studies</w:t>
      </w:r>
      <w:r>
        <w:rPr>
          <w:spacing w:val="-4"/>
        </w:rPr>
        <w:t> </w:t>
      </w:r>
      <w:r>
        <w:rPr/>
        <w:t>are</w:t>
      </w:r>
      <w:r>
        <w:rPr>
          <w:spacing w:val="-4"/>
        </w:rPr>
        <w:t> </w:t>
      </w:r>
      <w:r>
        <w:rPr/>
        <w:t>performed</w:t>
      </w:r>
      <w:r>
        <w:rPr>
          <w:spacing w:val="-5"/>
        </w:rPr>
        <w:t> </w:t>
      </w:r>
      <w:r>
        <w:rPr/>
        <w:t>to</w:t>
      </w:r>
      <w:r>
        <w:rPr>
          <w:spacing w:val="-6"/>
        </w:rPr>
        <w:t> </w:t>
      </w:r>
      <w:r>
        <w:rPr/>
        <w:t>evaluate</w:t>
      </w:r>
      <w:r>
        <w:rPr>
          <w:spacing w:val="-4"/>
        </w:rPr>
        <w:t> </w:t>
      </w:r>
      <w:r>
        <w:rPr/>
        <w:t>specimen</w:t>
      </w:r>
      <w:r>
        <w:rPr>
          <w:spacing w:val="-5"/>
        </w:rPr>
        <w:t> </w:t>
      </w:r>
      <w:r>
        <w:rPr/>
        <w:t>matrices</w:t>
      </w:r>
      <w:r>
        <w:rPr>
          <w:spacing w:val="-4"/>
        </w:rPr>
        <w:t> </w:t>
      </w:r>
      <w:r>
        <w:rPr/>
        <w:t>for</w:t>
      </w:r>
      <w:r>
        <w:rPr>
          <w:spacing w:val="-4"/>
        </w:rPr>
        <w:t> </w:t>
      </w:r>
      <w:r>
        <w:rPr/>
        <w:t>which clinical agreement isn’t initially assessed. In these studies, the matrix in which the clinical study(ies) are conducted is the comparator matrix/specimen type and each matrix set (whole blood, plasma, serum) comes from the same donor (i.e., paired </w:t>
      </w:r>
      <w:r>
        <w:rPr>
          <w:spacing w:val="-2"/>
        </w:rPr>
        <w:t>samples).</w:t>
      </w:r>
    </w:p>
    <w:p>
      <w:pPr>
        <w:spacing w:after="0"/>
        <w:sectPr>
          <w:pgSz w:w="12240" w:h="15840"/>
          <w:pgMar w:header="731" w:footer="785" w:top="1360" w:bottom="980" w:left="1280" w:right="1200"/>
        </w:sectPr>
      </w:pPr>
    </w:p>
    <w:p>
      <w:pPr>
        <w:pStyle w:val="Heading5"/>
        <w:spacing w:before="80"/>
        <w:ind w:left="879" w:right="241"/>
      </w:pPr>
      <w:r>
        <w:rPr/>
        <w:t>Typically, negative, low positive (e.g., for lateral flow tests, faint test line), and moderate positive (e.g., for lateral flow tests, strong test line) are evaluated.</w:t>
      </w:r>
      <w:r>
        <w:rPr>
          <w:spacing w:val="40"/>
        </w:rPr>
        <w:t> </w:t>
      </w:r>
      <w:r>
        <w:rPr/>
        <w:t>We believe five samples, run in duplicate for each</w:t>
      </w:r>
      <w:r>
        <w:rPr>
          <w:spacing w:val="-1"/>
        </w:rPr>
        <w:t> </w:t>
      </w:r>
      <w:r>
        <w:rPr/>
        <w:t>concentration, for a total of 30 results per matrix (assuming 3 concentrations were evaluated) may be acceptable. To allow for comparison, negative samples for each claimed specimen type/matrix are spiked with the same amount of analyte (SARS-CoV-2 IgG and IgM). We believe confirming samples are antibody seronegative with the candidate assay before spiking with SARS-CoV-2 IgG and IgM antibodies is important. For visually read tests,</w:t>
      </w:r>
      <w:r>
        <w:rPr>
          <w:spacing w:val="-4"/>
        </w:rPr>
        <w:t> </w:t>
      </w:r>
      <w:r>
        <w:rPr/>
        <w:t>blinding</w:t>
      </w:r>
      <w:r>
        <w:rPr>
          <w:spacing w:val="-4"/>
        </w:rPr>
        <w:t> </w:t>
      </w:r>
      <w:r>
        <w:rPr/>
        <w:t>and</w:t>
      </w:r>
      <w:r>
        <w:rPr>
          <w:spacing w:val="-5"/>
        </w:rPr>
        <w:t> </w:t>
      </w:r>
      <w:r>
        <w:rPr/>
        <w:t>randomization</w:t>
      </w:r>
      <w:r>
        <w:rPr>
          <w:spacing w:val="-4"/>
        </w:rPr>
        <w:t> </w:t>
      </w:r>
      <w:r>
        <w:rPr/>
        <w:t>are</w:t>
      </w:r>
      <w:r>
        <w:rPr>
          <w:spacing w:val="-4"/>
        </w:rPr>
        <w:t> </w:t>
      </w:r>
      <w:r>
        <w:rPr/>
        <w:t>important</w:t>
      </w:r>
      <w:r>
        <w:rPr>
          <w:spacing w:val="-4"/>
        </w:rPr>
        <w:t> </w:t>
      </w:r>
      <w:r>
        <w:rPr/>
        <w:t>considerations</w:t>
      </w:r>
      <w:r>
        <w:rPr>
          <w:spacing w:val="-4"/>
        </w:rPr>
        <w:t> </w:t>
      </w:r>
      <w:r>
        <w:rPr/>
        <w:t>for</w:t>
      </w:r>
      <w:r>
        <w:rPr>
          <w:spacing w:val="-5"/>
        </w:rPr>
        <w:t> </w:t>
      </w:r>
      <w:r>
        <w:rPr/>
        <w:t>the</w:t>
      </w:r>
      <w:r>
        <w:rPr>
          <w:spacing w:val="-4"/>
        </w:rPr>
        <w:t> </w:t>
      </w:r>
      <w:r>
        <w:rPr/>
        <w:t>experimental </w:t>
      </w:r>
      <w:r>
        <w:rPr>
          <w:spacing w:val="-2"/>
        </w:rPr>
        <w:t>design.</w:t>
      </w:r>
    </w:p>
    <w:p>
      <w:pPr>
        <w:pStyle w:val="BodyText"/>
        <w:rPr>
          <w:b/>
        </w:rPr>
      </w:pPr>
    </w:p>
    <w:p>
      <w:pPr>
        <w:pStyle w:val="Heading5"/>
        <w:ind w:left="879" w:right="250"/>
      </w:pPr>
      <w:r>
        <w:rPr/>
        <w:t>For these types of studies, typically, each sample is assayed with the candidate device, and the results obtained for the comparator matrix are compared to the results obtained for each additional matrix under evaluation for each subject. Positive</w:t>
      </w:r>
      <w:r>
        <w:rPr>
          <w:spacing w:val="-4"/>
        </w:rPr>
        <w:t> </w:t>
      </w:r>
      <w:r>
        <w:rPr/>
        <w:t>percent</w:t>
      </w:r>
      <w:r>
        <w:rPr>
          <w:spacing w:val="-4"/>
        </w:rPr>
        <w:t> </w:t>
      </w:r>
      <w:r>
        <w:rPr/>
        <w:t>agreement</w:t>
      </w:r>
      <w:r>
        <w:rPr>
          <w:spacing w:val="-4"/>
        </w:rPr>
        <w:t> </w:t>
      </w:r>
      <w:r>
        <w:rPr/>
        <w:t>and</w:t>
      </w:r>
      <w:r>
        <w:rPr>
          <w:spacing w:val="-5"/>
        </w:rPr>
        <w:t> </w:t>
      </w:r>
      <w:r>
        <w:rPr/>
        <w:t>negative</w:t>
      </w:r>
      <w:r>
        <w:rPr>
          <w:spacing w:val="-4"/>
        </w:rPr>
        <w:t> </w:t>
      </w:r>
      <w:r>
        <w:rPr/>
        <w:t>percent</w:t>
      </w:r>
      <w:r>
        <w:rPr>
          <w:spacing w:val="-4"/>
        </w:rPr>
        <w:t> </w:t>
      </w:r>
      <w:r>
        <w:rPr/>
        <w:t>agreement</w:t>
      </w:r>
      <w:r>
        <w:rPr>
          <w:spacing w:val="-4"/>
        </w:rPr>
        <w:t> </w:t>
      </w:r>
      <w:r>
        <w:rPr/>
        <w:t>for</w:t>
      </w:r>
      <w:r>
        <w:rPr>
          <w:spacing w:val="-5"/>
        </w:rPr>
        <w:t> </w:t>
      </w:r>
      <w:r>
        <w:rPr/>
        <w:t>each</w:t>
      </w:r>
      <w:r>
        <w:rPr>
          <w:spacing w:val="-5"/>
        </w:rPr>
        <w:t> </w:t>
      </w:r>
      <w:r>
        <w:rPr/>
        <w:t>matrix</w:t>
      </w:r>
      <w:r>
        <w:rPr>
          <w:spacing w:val="-4"/>
        </w:rPr>
        <w:t> </w:t>
      </w:r>
      <w:r>
        <w:rPr/>
        <w:t>with respect to the comparator matrix are calculated. We believe that at least 95% agreement across all matrices/subject may be acceptable to demonstrate that performance between the matrices can be considered equivalent.</w:t>
      </w:r>
    </w:p>
    <w:p>
      <w:pPr>
        <w:pStyle w:val="BodyText"/>
        <w:rPr>
          <w:b/>
        </w:rPr>
      </w:pPr>
    </w:p>
    <w:p>
      <w:pPr>
        <w:pStyle w:val="Heading6"/>
        <w:numPr>
          <w:ilvl w:val="1"/>
          <w:numId w:val="13"/>
        </w:numPr>
        <w:tabs>
          <w:tab w:pos="879" w:val="left" w:leader="none"/>
        </w:tabs>
        <w:spacing w:line="240" w:lineRule="auto" w:before="0" w:after="0"/>
        <w:ind w:left="879" w:right="0" w:hanging="359"/>
        <w:jc w:val="left"/>
      </w:pPr>
      <w:r>
        <w:rPr>
          <w:u w:val="thick"/>
        </w:rPr>
        <w:t>Studies</w:t>
      </w:r>
      <w:r>
        <w:rPr>
          <w:spacing w:val="-2"/>
          <w:u w:val="thick"/>
        </w:rPr>
        <w:t> </w:t>
      </w:r>
      <w:r>
        <w:rPr>
          <w:u w:val="thick"/>
        </w:rPr>
        <w:t>to</w:t>
      </w:r>
      <w:r>
        <w:rPr>
          <w:spacing w:val="-1"/>
          <w:u w:val="thick"/>
        </w:rPr>
        <w:t> </w:t>
      </w:r>
      <w:r>
        <w:rPr>
          <w:u w:val="thick"/>
        </w:rPr>
        <w:t>support</w:t>
      </w:r>
      <w:r>
        <w:rPr>
          <w:spacing w:val="-1"/>
          <w:u w:val="thick"/>
        </w:rPr>
        <w:t> </w:t>
      </w:r>
      <w:r>
        <w:rPr>
          <w:u w:val="thick"/>
        </w:rPr>
        <w:t>Point</w:t>
      </w:r>
      <w:r>
        <w:rPr>
          <w:spacing w:val="-1"/>
          <w:u w:val="thick"/>
        </w:rPr>
        <w:t> </w:t>
      </w:r>
      <w:r>
        <w:rPr>
          <w:u w:val="thick"/>
        </w:rPr>
        <w:t>of</w:t>
      </w:r>
      <w:r>
        <w:rPr>
          <w:spacing w:val="-2"/>
          <w:u w:val="thick"/>
        </w:rPr>
        <w:t> </w:t>
      </w:r>
      <w:r>
        <w:rPr>
          <w:u w:val="thick"/>
        </w:rPr>
        <w:t>Care</w:t>
      </w:r>
      <w:r>
        <w:rPr>
          <w:spacing w:val="-1"/>
          <w:u w:val="thick"/>
        </w:rPr>
        <w:t> </w:t>
      </w:r>
      <w:r>
        <w:rPr>
          <w:u w:val="thick"/>
        </w:rPr>
        <w:t>claim,</w:t>
      </w:r>
      <w:r>
        <w:rPr>
          <w:spacing w:val="-1"/>
          <w:u w:val="thick"/>
        </w:rPr>
        <w:t> </w:t>
      </w:r>
      <w:r>
        <w:rPr>
          <w:u w:val="thick"/>
        </w:rPr>
        <w:t>as</w:t>
      </w:r>
      <w:r>
        <w:rPr>
          <w:spacing w:val="-1"/>
          <w:u w:val="thick"/>
        </w:rPr>
        <w:t> </w:t>
      </w:r>
      <w:r>
        <w:rPr>
          <w:spacing w:val="-2"/>
          <w:u w:val="thick"/>
        </w:rPr>
        <w:t>applicable.</w:t>
      </w:r>
    </w:p>
    <w:p>
      <w:pPr>
        <w:pStyle w:val="Heading6"/>
        <w:spacing w:before="120"/>
        <w:ind w:right="241"/>
      </w:pPr>
      <w:r>
        <w:rPr>
          <w:color w:val="000000"/>
          <w:shd w:fill="FFFF00" w:color="auto" w:val="clear"/>
        </w:rPr>
        <w:t>[If</w:t>
      </w:r>
      <w:r>
        <w:rPr>
          <w:color w:val="000000"/>
          <w:spacing w:val="-3"/>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device</w:t>
      </w:r>
      <w:r>
        <w:rPr>
          <w:color w:val="000000"/>
          <w:spacing w:val="-3"/>
          <w:shd w:fill="FFFF00" w:color="auto" w:val="clear"/>
        </w:rPr>
        <w:t> </w:t>
      </w:r>
      <w:r>
        <w:rPr>
          <w:color w:val="000000"/>
          <w:shd w:fill="FFFF00" w:color="auto" w:val="clear"/>
        </w:rPr>
        <w:t>is</w:t>
      </w:r>
      <w:r>
        <w:rPr>
          <w:color w:val="000000"/>
          <w:spacing w:val="-3"/>
          <w:shd w:fill="FFFF00" w:color="auto" w:val="clear"/>
        </w:rPr>
        <w:t> </w:t>
      </w:r>
      <w:r>
        <w:rPr>
          <w:color w:val="000000"/>
          <w:shd w:fill="FFFF00" w:color="auto" w:val="clear"/>
        </w:rPr>
        <w:t>intended</w:t>
      </w:r>
      <w:r>
        <w:rPr>
          <w:color w:val="000000"/>
          <w:spacing w:val="-4"/>
          <w:shd w:fill="FFFF00" w:color="auto" w:val="clear"/>
        </w:rPr>
        <w:t> </w:t>
      </w:r>
      <w:r>
        <w:rPr>
          <w:color w:val="000000"/>
          <w:shd w:fill="FFFF00" w:color="auto" w:val="clear"/>
        </w:rPr>
        <w:t>for</w:t>
      </w:r>
      <w:r>
        <w:rPr>
          <w:color w:val="000000"/>
          <w:spacing w:val="-3"/>
          <w:shd w:fill="FFFF00" w:color="auto" w:val="clear"/>
        </w:rPr>
        <w:t> </w:t>
      </w:r>
      <w:r>
        <w:rPr>
          <w:color w:val="000000"/>
          <w:shd w:fill="FFFF00" w:color="auto" w:val="clear"/>
        </w:rPr>
        <w:t>near</w:t>
      </w:r>
      <w:r>
        <w:rPr>
          <w:color w:val="000000"/>
          <w:spacing w:val="-3"/>
          <w:shd w:fill="FFFF00" w:color="auto" w:val="clear"/>
        </w:rPr>
        <w:t> </w:t>
      </w:r>
      <w:r>
        <w:rPr>
          <w:color w:val="000000"/>
          <w:shd w:fill="FFFF00" w:color="auto" w:val="clear"/>
        </w:rPr>
        <w:t>patient</w:t>
      </w:r>
      <w:r>
        <w:rPr>
          <w:color w:val="000000"/>
          <w:spacing w:val="-4"/>
          <w:shd w:fill="FFFF00" w:color="auto" w:val="clear"/>
        </w:rPr>
        <w:t> </w:t>
      </w:r>
      <w:r>
        <w:rPr>
          <w:color w:val="000000"/>
          <w:shd w:fill="FFFF00" w:color="auto" w:val="clear"/>
        </w:rPr>
        <w:t>testing</w:t>
      </w:r>
      <w:r>
        <w:rPr>
          <w:color w:val="000000"/>
          <w:spacing w:val="-3"/>
          <w:shd w:fill="FFFF00" w:color="auto" w:val="clear"/>
        </w:rPr>
        <w:t> </w:t>
      </w:r>
      <w:r>
        <w:rPr>
          <w:color w:val="000000"/>
          <w:shd w:fill="FFFF00" w:color="auto" w:val="clear"/>
        </w:rPr>
        <w:t>or</w:t>
      </w:r>
      <w:r>
        <w:rPr>
          <w:color w:val="000000"/>
          <w:spacing w:val="-3"/>
          <w:shd w:fill="FFFF00" w:color="auto" w:val="clear"/>
        </w:rPr>
        <w:t> </w:t>
      </w:r>
      <w:r>
        <w:rPr>
          <w:color w:val="000000"/>
          <w:shd w:fill="FFFF00" w:color="auto" w:val="clear"/>
        </w:rPr>
        <w:t>Point</w:t>
      </w:r>
      <w:r>
        <w:rPr>
          <w:color w:val="000000"/>
          <w:spacing w:val="-3"/>
          <w:shd w:fill="FFFF00" w:color="auto" w:val="clear"/>
        </w:rPr>
        <w:t> </w:t>
      </w:r>
      <w:r>
        <w:rPr>
          <w:color w:val="000000"/>
          <w:shd w:fill="FFFF00" w:color="auto" w:val="clear"/>
        </w:rPr>
        <w:t>of</w:t>
      </w:r>
      <w:r>
        <w:rPr>
          <w:color w:val="000000"/>
          <w:spacing w:val="-3"/>
          <w:shd w:fill="FFFF00" w:color="auto" w:val="clear"/>
        </w:rPr>
        <w:t> </w:t>
      </w:r>
      <w:r>
        <w:rPr>
          <w:color w:val="000000"/>
          <w:shd w:fill="FFFF00" w:color="auto" w:val="clear"/>
        </w:rPr>
        <w:t>Care</w:t>
      </w:r>
      <w:r>
        <w:rPr>
          <w:color w:val="000000"/>
          <w:spacing w:val="-3"/>
          <w:shd w:fill="FFFF00" w:color="auto" w:val="clear"/>
        </w:rPr>
        <w:t> </w:t>
      </w:r>
      <w:r>
        <w:rPr>
          <w:color w:val="000000"/>
          <w:shd w:fill="FFFF00" w:color="auto" w:val="clear"/>
        </w:rPr>
        <w:t>(POC),</w:t>
      </w:r>
      <w:r>
        <w:rPr>
          <w:color w:val="000000"/>
          <w:spacing w:val="-3"/>
          <w:shd w:fill="FFFF00" w:color="auto" w:val="clear"/>
        </w:rPr>
        <w:t> </w:t>
      </w:r>
      <w:r>
        <w:rPr>
          <w:color w:val="000000"/>
          <w:shd w:fill="FFFF00" w:color="auto" w:val="clear"/>
        </w:rPr>
        <w:t>please</w:t>
      </w:r>
      <w:r>
        <w:rPr>
          <w:color w:val="000000"/>
          <w:spacing w:val="-3"/>
          <w:shd w:fill="FFFF00" w:color="auto" w:val="clear"/>
        </w:rPr>
        <w:t> </w:t>
      </w:r>
      <w:r>
        <w:rPr>
          <w:color w:val="000000"/>
          <w:shd w:fill="FFFF00" w:color="auto" w:val="clear"/>
        </w:rPr>
        <w:t>provide</w:t>
      </w:r>
      <w:r>
        <w:rPr>
          <w:color w:val="000000"/>
        </w:rPr>
        <w:t> </w:t>
      </w:r>
      <w:r>
        <w:rPr>
          <w:color w:val="000000"/>
          <w:shd w:fill="FFFF00" w:color="auto" w:val="clear"/>
        </w:rPr>
        <w:t>data to demonstrate that non-laboratory personnel can perform the test accurately in</w:t>
      </w:r>
      <w:r>
        <w:rPr>
          <w:color w:val="000000"/>
        </w:rPr>
        <w:t> </w:t>
      </w:r>
      <w:r>
        <w:rPr>
          <w:color w:val="000000"/>
          <w:shd w:fill="FFFF00" w:color="auto" w:val="clear"/>
        </w:rPr>
        <w:t>the intended use environment (i.e. a non-laboratorian healthcare provider accuracy</w:t>
      </w:r>
      <w:r>
        <w:rPr>
          <w:color w:val="000000"/>
        </w:rPr>
        <w:t> </w:t>
      </w:r>
      <w:r>
        <w:rPr>
          <w:color w:val="000000"/>
          <w:shd w:fill="FFFF00" w:color="auto" w:val="clear"/>
        </w:rPr>
        <w:t>study). Please also provide data to demonstrate robust use of your device for near</w:t>
      </w:r>
      <w:r>
        <w:rPr>
          <w:color w:val="000000"/>
        </w:rPr>
        <w:t> </w:t>
      </w:r>
      <w:r>
        <w:rPr>
          <w:color w:val="000000"/>
          <w:shd w:fill="FFFF00" w:color="auto" w:val="clear"/>
        </w:rPr>
        <w:t>patient</w:t>
      </w:r>
      <w:r>
        <w:rPr>
          <w:color w:val="000000"/>
          <w:spacing w:val="-2"/>
          <w:shd w:fill="FFFF00" w:color="auto" w:val="clear"/>
        </w:rPr>
        <w:t> </w:t>
      </w:r>
      <w:r>
        <w:rPr>
          <w:color w:val="000000"/>
          <w:shd w:fill="FFFF00" w:color="auto" w:val="clear"/>
        </w:rPr>
        <w:t>testing</w:t>
      </w:r>
      <w:r>
        <w:rPr>
          <w:color w:val="000000"/>
          <w:spacing w:val="-1"/>
          <w:shd w:fill="FFFF00" w:color="auto" w:val="clear"/>
        </w:rPr>
        <w:t> </w:t>
      </w:r>
      <w:r>
        <w:rPr>
          <w:color w:val="000000"/>
          <w:shd w:fill="FFFF00" w:color="auto" w:val="clear"/>
        </w:rPr>
        <w:t>(e.g.,</w:t>
      </w:r>
      <w:r>
        <w:rPr>
          <w:color w:val="000000"/>
          <w:spacing w:val="-1"/>
          <w:shd w:fill="FFFF00" w:color="auto" w:val="clear"/>
        </w:rPr>
        <w:t> </w:t>
      </w:r>
      <w:r>
        <w:rPr>
          <w:color w:val="000000"/>
          <w:shd w:fill="FFFF00" w:color="auto" w:val="clear"/>
        </w:rPr>
        <w:t>as</w:t>
      </w:r>
      <w:r>
        <w:rPr>
          <w:color w:val="000000"/>
          <w:spacing w:val="-2"/>
          <w:shd w:fill="FFFF00" w:color="auto" w:val="clear"/>
        </w:rPr>
        <w:t> </w:t>
      </w:r>
      <w:r>
        <w:rPr>
          <w:color w:val="000000"/>
          <w:shd w:fill="FFFF00" w:color="auto" w:val="clear"/>
        </w:rPr>
        <w:t>applicable,</w:t>
      </w:r>
      <w:r>
        <w:rPr>
          <w:color w:val="000000"/>
          <w:spacing w:val="-1"/>
          <w:shd w:fill="FFFF00" w:color="auto" w:val="clear"/>
        </w:rPr>
        <w:t> </w:t>
      </w:r>
      <w:r>
        <w:rPr>
          <w:color w:val="000000"/>
          <w:shd w:fill="FFFF00" w:color="auto" w:val="clear"/>
        </w:rPr>
        <w:t>studies</w:t>
      </w:r>
      <w:r>
        <w:rPr>
          <w:color w:val="000000"/>
          <w:spacing w:val="-1"/>
          <w:shd w:fill="FFFF00" w:color="auto" w:val="clear"/>
        </w:rPr>
        <w:t> </w:t>
      </w:r>
      <w:r>
        <w:rPr>
          <w:color w:val="000000"/>
          <w:shd w:fill="FFFF00" w:color="auto" w:val="clear"/>
        </w:rPr>
        <w:t>to</w:t>
      </w:r>
      <w:r>
        <w:rPr>
          <w:color w:val="000000"/>
          <w:spacing w:val="-3"/>
          <w:shd w:fill="FFFF00" w:color="auto" w:val="clear"/>
        </w:rPr>
        <w:t> </w:t>
      </w:r>
      <w:r>
        <w:rPr>
          <w:color w:val="000000"/>
          <w:shd w:fill="FFFF00" w:color="auto" w:val="clear"/>
        </w:rPr>
        <w:t>demonstrate</w:t>
      </w:r>
      <w:r>
        <w:rPr>
          <w:color w:val="000000"/>
          <w:spacing w:val="-1"/>
          <w:shd w:fill="FFFF00" w:color="auto" w:val="clear"/>
        </w:rPr>
        <w:t> </w:t>
      </w:r>
      <w:r>
        <w:rPr>
          <w:color w:val="000000"/>
          <w:shd w:fill="FFFF00" w:color="auto" w:val="clear"/>
        </w:rPr>
        <w:t>the</w:t>
      </w:r>
      <w:r>
        <w:rPr>
          <w:color w:val="000000"/>
          <w:spacing w:val="-1"/>
          <w:shd w:fill="FFFF00" w:color="auto" w:val="clear"/>
        </w:rPr>
        <w:t> </w:t>
      </w:r>
      <w:r>
        <w:rPr>
          <w:color w:val="000000"/>
          <w:shd w:fill="FFFF00" w:color="auto" w:val="clear"/>
        </w:rPr>
        <w:t>impact</w:t>
      </w:r>
      <w:r>
        <w:rPr>
          <w:color w:val="000000"/>
          <w:spacing w:val="-1"/>
          <w:shd w:fill="FFFF00" w:color="auto" w:val="clear"/>
        </w:rPr>
        <w:t> </w:t>
      </w:r>
      <w:r>
        <w:rPr>
          <w:color w:val="000000"/>
          <w:shd w:fill="FFFF00" w:color="auto" w:val="clear"/>
        </w:rPr>
        <w:t>of</w:t>
      </w:r>
      <w:r>
        <w:rPr>
          <w:color w:val="000000"/>
          <w:spacing w:val="-2"/>
          <w:shd w:fill="FFFF00" w:color="auto" w:val="clear"/>
        </w:rPr>
        <w:t> </w:t>
      </w:r>
      <w:r>
        <w:rPr>
          <w:color w:val="000000"/>
          <w:shd w:fill="FFFF00" w:color="auto" w:val="clear"/>
        </w:rPr>
        <w:t>adding</w:t>
      </w:r>
      <w:r>
        <w:rPr>
          <w:color w:val="000000"/>
          <w:spacing w:val="-1"/>
          <w:shd w:fill="FFFF00" w:color="auto" w:val="clear"/>
        </w:rPr>
        <w:t> </w:t>
      </w:r>
      <w:r>
        <w:rPr>
          <w:color w:val="000000"/>
          <w:shd w:fill="FFFF00" w:color="auto" w:val="clear"/>
        </w:rPr>
        <w:t>different</w:t>
      </w:r>
      <w:r>
        <w:rPr>
          <w:color w:val="000000"/>
        </w:rPr>
        <w:t> </w:t>
      </w:r>
      <w:r>
        <w:rPr>
          <w:color w:val="000000"/>
          <w:shd w:fill="FFFF00" w:color="auto" w:val="clear"/>
        </w:rPr>
        <w:t>volumes of sample, different volumes of reagents, incorrect order of sample or reagent</w:t>
      </w:r>
      <w:r>
        <w:rPr>
          <w:color w:val="000000"/>
        </w:rPr>
        <w:t> </w:t>
      </w:r>
      <w:r>
        <w:rPr>
          <w:color w:val="000000"/>
          <w:spacing w:val="-2"/>
          <w:shd w:fill="FFFF00" w:color="auto" w:val="clear"/>
        </w:rPr>
        <w:t>application).]</w:t>
      </w:r>
    </w:p>
    <w:p>
      <w:pPr>
        <w:pStyle w:val="BodyText"/>
        <w:spacing w:before="9"/>
        <w:rPr>
          <w:rFonts w:ascii="TimesNewRomanPS-BoldItalicMT"/>
          <w:b/>
          <w:i/>
          <w:sz w:val="20"/>
        </w:rPr>
      </w:pPr>
    </w:p>
    <w:p>
      <w:pPr>
        <w:pStyle w:val="Heading4"/>
        <w:numPr>
          <w:ilvl w:val="0"/>
          <w:numId w:val="13"/>
        </w:numPr>
        <w:tabs>
          <w:tab w:pos="518" w:val="left" w:leader="none"/>
        </w:tabs>
        <w:spacing w:line="240" w:lineRule="auto" w:before="0" w:after="0"/>
        <w:ind w:left="518" w:right="0" w:hanging="358"/>
        <w:jc w:val="left"/>
      </w:pPr>
      <w:bookmarkStart w:name="K. UNMET NEED ADDRESSED BY THE PRODUCT" w:id="96"/>
      <w:bookmarkEnd w:id="96"/>
      <w:r>
        <w:rPr>
          <w:b w:val="0"/>
        </w:rPr>
      </w:r>
      <w:r>
        <w:rPr/>
        <w:t>UNMET</w:t>
      </w:r>
      <w:r>
        <w:rPr>
          <w:spacing w:val="-5"/>
        </w:rPr>
        <w:t> </w:t>
      </w:r>
      <w:r>
        <w:rPr/>
        <w:t>NEED</w:t>
      </w:r>
      <w:r>
        <w:rPr>
          <w:spacing w:val="-2"/>
        </w:rPr>
        <w:t> </w:t>
      </w:r>
      <w:r>
        <w:rPr/>
        <w:t>ADDRESSED</w:t>
      </w:r>
      <w:r>
        <w:rPr>
          <w:spacing w:val="-4"/>
        </w:rPr>
        <w:t> </w:t>
      </w:r>
      <w:r>
        <w:rPr/>
        <w:t>BY</w:t>
      </w:r>
      <w:r>
        <w:rPr>
          <w:spacing w:val="-3"/>
        </w:rPr>
        <w:t> </w:t>
      </w:r>
      <w:r>
        <w:rPr/>
        <w:t>THE</w:t>
      </w:r>
      <w:r>
        <w:rPr>
          <w:spacing w:val="-3"/>
        </w:rPr>
        <w:t> </w:t>
      </w:r>
      <w:r>
        <w:rPr>
          <w:spacing w:val="-2"/>
        </w:rPr>
        <w:t>PRODUCT</w:t>
      </w:r>
    </w:p>
    <w:p>
      <w:pPr>
        <w:pStyle w:val="Heading5"/>
        <w:spacing w:before="120"/>
        <w:ind w:left="520"/>
        <w:rPr>
          <w:b w:val="0"/>
        </w:rPr>
      </w:pPr>
      <w:bookmarkStart w:name="L. APPROVED/CLEARED ALTERNATIVE PRODUCTS" w:id="97"/>
      <w:bookmarkEnd w:id="97"/>
      <w:r>
        <w:rPr>
          <w:b w:val="0"/>
        </w:rPr>
      </w:r>
      <w:r>
        <w:rPr/>
        <w:t>This</w:t>
      </w:r>
      <w:r>
        <w:rPr>
          <w:spacing w:val="-4"/>
        </w:rPr>
        <w:t> </w:t>
      </w:r>
      <w:r>
        <w:rPr/>
        <w:t>section</w:t>
      </w:r>
      <w:r>
        <w:rPr>
          <w:spacing w:val="-3"/>
        </w:rPr>
        <w:t> </w:t>
      </w:r>
      <w:r>
        <w:rPr/>
        <w:t>will</w:t>
      </w:r>
      <w:r>
        <w:rPr>
          <w:spacing w:val="-1"/>
        </w:rPr>
        <w:t> </w:t>
      </w:r>
      <w:r>
        <w:rPr/>
        <w:t>be</w:t>
      </w:r>
      <w:r>
        <w:rPr>
          <w:spacing w:val="-2"/>
        </w:rPr>
        <w:t> </w:t>
      </w:r>
      <w:r>
        <w:rPr/>
        <w:t>completed</w:t>
      </w:r>
      <w:r>
        <w:rPr>
          <w:spacing w:val="-2"/>
        </w:rPr>
        <w:t> </w:t>
      </w:r>
      <w:r>
        <w:rPr/>
        <w:t>by</w:t>
      </w:r>
      <w:r>
        <w:rPr>
          <w:spacing w:val="-1"/>
        </w:rPr>
        <w:t> </w:t>
      </w:r>
      <w:r>
        <w:rPr>
          <w:spacing w:val="-4"/>
        </w:rPr>
        <w:t>FDA</w:t>
      </w:r>
      <w:r>
        <w:rPr>
          <w:b w:val="0"/>
          <w:spacing w:val="-4"/>
        </w:rPr>
        <w:t>.</w:t>
      </w:r>
    </w:p>
    <w:p>
      <w:pPr>
        <w:pStyle w:val="BodyText"/>
        <w:spacing w:before="10"/>
        <w:rPr>
          <w:sz w:val="20"/>
        </w:rPr>
      </w:pPr>
    </w:p>
    <w:p>
      <w:pPr>
        <w:pStyle w:val="Heading4"/>
        <w:numPr>
          <w:ilvl w:val="0"/>
          <w:numId w:val="13"/>
        </w:numPr>
        <w:tabs>
          <w:tab w:pos="519" w:val="left" w:leader="none"/>
        </w:tabs>
        <w:spacing w:line="240" w:lineRule="auto" w:before="0" w:after="0"/>
        <w:ind w:left="519" w:right="0" w:hanging="359"/>
        <w:jc w:val="left"/>
      </w:pPr>
      <w:r>
        <w:rPr/>
        <w:t>APPROVED/CLEARED</w:t>
      </w:r>
      <w:r>
        <w:rPr>
          <w:spacing w:val="-8"/>
        </w:rPr>
        <w:t> </w:t>
      </w:r>
      <w:r>
        <w:rPr/>
        <w:t>ALTERNATIVE</w:t>
      </w:r>
      <w:r>
        <w:rPr>
          <w:spacing w:val="-8"/>
        </w:rPr>
        <w:t> </w:t>
      </w:r>
      <w:r>
        <w:rPr>
          <w:spacing w:val="-2"/>
        </w:rPr>
        <w:t>PRODUCTS</w:t>
      </w:r>
    </w:p>
    <w:p>
      <w:pPr>
        <w:pStyle w:val="BodyText"/>
        <w:spacing w:before="120"/>
        <w:ind w:left="519" w:right="278"/>
      </w:pPr>
      <w:r>
        <w:rPr/>
        <w:t>Currently</w:t>
      </w:r>
      <w:r>
        <w:rPr>
          <w:spacing w:val="-3"/>
        </w:rPr>
        <w:t> </w:t>
      </w:r>
      <w:r>
        <w:rPr/>
        <w:t>no</w:t>
      </w:r>
      <w:r>
        <w:rPr>
          <w:spacing w:val="-3"/>
        </w:rPr>
        <w:t> </w:t>
      </w:r>
      <w:r>
        <w:rPr/>
        <w:t>methods</w:t>
      </w:r>
      <w:r>
        <w:rPr>
          <w:spacing w:val="-3"/>
        </w:rPr>
        <w:t> </w:t>
      </w:r>
      <w:r>
        <w:rPr/>
        <w:t>for</w:t>
      </w:r>
      <w:r>
        <w:rPr>
          <w:spacing w:val="-3"/>
        </w:rPr>
        <w:t> </w:t>
      </w:r>
      <w:r>
        <w:rPr/>
        <w:t>the</w:t>
      </w:r>
      <w:r>
        <w:rPr>
          <w:spacing w:val="-3"/>
        </w:rPr>
        <w:t> </w:t>
      </w:r>
      <w:r>
        <w:rPr/>
        <w:t>qualitative</w:t>
      </w:r>
      <w:r>
        <w:rPr>
          <w:spacing w:val="-3"/>
        </w:rPr>
        <w:t> </w:t>
      </w:r>
      <w:r>
        <w:rPr/>
        <w:t>detection</w:t>
      </w:r>
      <w:r>
        <w:rPr>
          <w:spacing w:val="-5"/>
        </w:rPr>
        <w:t> </w:t>
      </w:r>
      <w:r>
        <w:rPr/>
        <w:t>of</w:t>
      </w:r>
      <w:r>
        <w:rPr>
          <w:spacing w:val="-4"/>
        </w:rPr>
        <w:t> </w:t>
      </w:r>
      <w:r>
        <w:rPr/>
        <w:t>SARS-CoV-2</w:t>
      </w:r>
      <w:r>
        <w:rPr>
          <w:spacing w:val="-3"/>
        </w:rPr>
        <w:t> </w:t>
      </w:r>
      <w:r>
        <w:rPr/>
        <w:t>IgM</w:t>
      </w:r>
      <w:r>
        <w:rPr>
          <w:spacing w:val="-3"/>
        </w:rPr>
        <w:t> </w:t>
      </w:r>
      <w:r>
        <w:rPr/>
        <w:t>or</w:t>
      </w:r>
      <w:r>
        <w:rPr>
          <w:spacing w:val="-4"/>
        </w:rPr>
        <w:t> </w:t>
      </w:r>
      <w:r>
        <w:rPr/>
        <w:t>IgG</w:t>
      </w:r>
      <w:r>
        <w:rPr>
          <w:spacing w:val="-4"/>
        </w:rPr>
        <w:t> </w:t>
      </w:r>
      <w:r>
        <w:rPr/>
        <w:t>antibodies have been approved or cleared by FDA.</w:t>
      </w:r>
    </w:p>
    <w:p>
      <w:pPr>
        <w:pStyle w:val="BodyText"/>
        <w:spacing w:before="10"/>
        <w:rPr>
          <w:sz w:val="20"/>
        </w:rPr>
      </w:pPr>
    </w:p>
    <w:p>
      <w:pPr>
        <w:pStyle w:val="Heading4"/>
        <w:numPr>
          <w:ilvl w:val="0"/>
          <w:numId w:val="13"/>
        </w:numPr>
        <w:tabs>
          <w:tab w:pos="519" w:val="left" w:leader="none"/>
        </w:tabs>
        <w:spacing w:line="240" w:lineRule="auto" w:before="0" w:after="0"/>
        <w:ind w:left="519" w:right="0" w:hanging="359"/>
        <w:jc w:val="left"/>
      </w:pPr>
      <w:bookmarkStart w:name="M. RISKS AND BENEFITS:" w:id="98"/>
      <w:bookmarkEnd w:id="98"/>
      <w:r>
        <w:rPr>
          <w:b w:val="0"/>
        </w:rPr>
      </w:r>
      <w:r>
        <w:rPr/>
        <w:t>RISKS</w:t>
      </w:r>
      <w:r>
        <w:rPr>
          <w:spacing w:val="-3"/>
        </w:rPr>
        <w:t> </w:t>
      </w:r>
      <w:r>
        <w:rPr/>
        <w:t>AND</w:t>
      </w:r>
      <w:r>
        <w:rPr>
          <w:spacing w:val="-2"/>
        </w:rPr>
        <w:t> BENEFITS:</w:t>
      </w:r>
    </w:p>
    <w:p>
      <w:pPr>
        <w:pStyle w:val="Heading5"/>
        <w:spacing w:before="120"/>
        <w:ind w:left="520"/>
      </w:pPr>
      <w:r>
        <w:rPr>
          <w:w w:val="105"/>
        </w:rPr>
        <w:t>This</w:t>
      </w:r>
      <w:r>
        <w:rPr>
          <w:spacing w:val="-6"/>
          <w:w w:val="105"/>
        </w:rPr>
        <w:t> </w:t>
      </w:r>
      <w:r>
        <w:rPr>
          <w:w w:val="105"/>
        </w:rPr>
        <w:t>section</w:t>
      </w:r>
      <w:r>
        <w:rPr>
          <w:spacing w:val="-6"/>
          <w:w w:val="105"/>
        </w:rPr>
        <w:t> </w:t>
      </w:r>
      <w:r>
        <w:rPr>
          <w:w w:val="105"/>
        </w:rPr>
        <w:t>will</w:t>
      </w:r>
      <w:r>
        <w:rPr>
          <w:spacing w:val="-6"/>
          <w:w w:val="105"/>
        </w:rPr>
        <w:t> </w:t>
      </w:r>
      <w:r>
        <w:rPr>
          <w:w w:val="105"/>
        </w:rPr>
        <w:t>be</w:t>
      </w:r>
      <w:r>
        <w:rPr>
          <w:spacing w:val="-7"/>
          <w:w w:val="105"/>
        </w:rPr>
        <w:t> </w:t>
      </w:r>
      <w:r>
        <w:rPr>
          <w:w w:val="105"/>
        </w:rPr>
        <w:t>completed</w:t>
      </w:r>
      <w:r>
        <w:rPr>
          <w:spacing w:val="-6"/>
          <w:w w:val="105"/>
        </w:rPr>
        <w:t> </w:t>
      </w:r>
      <w:r>
        <w:rPr>
          <w:w w:val="105"/>
        </w:rPr>
        <w:t>by</w:t>
      </w:r>
      <w:r>
        <w:rPr>
          <w:spacing w:val="-6"/>
          <w:w w:val="105"/>
        </w:rPr>
        <w:t> </w:t>
      </w:r>
      <w:r>
        <w:rPr>
          <w:spacing w:val="-4"/>
          <w:w w:val="105"/>
        </w:rPr>
        <w:t>FDA.</w:t>
      </w:r>
    </w:p>
    <w:p>
      <w:pPr>
        <w:pStyle w:val="BodyText"/>
        <w:rPr>
          <w:b/>
        </w:rPr>
      </w:pPr>
    </w:p>
    <w:p>
      <w:pPr>
        <w:pStyle w:val="Heading4"/>
        <w:numPr>
          <w:ilvl w:val="0"/>
          <w:numId w:val="13"/>
        </w:numPr>
        <w:tabs>
          <w:tab w:pos="519" w:val="left" w:leader="none"/>
        </w:tabs>
        <w:spacing w:line="240" w:lineRule="auto" w:before="0" w:after="0"/>
        <w:ind w:left="519" w:right="0" w:hanging="359"/>
        <w:jc w:val="left"/>
      </w:pPr>
      <w:r>
        <w:rPr/>
        <w:t>FACT</w:t>
      </w:r>
      <w:r>
        <w:rPr>
          <w:spacing w:val="-5"/>
        </w:rPr>
        <w:t> </w:t>
      </w:r>
      <w:r>
        <w:rPr/>
        <w:t>SHEET</w:t>
      </w:r>
      <w:r>
        <w:rPr>
          <w:spacing w:val="-4"/>
        </w:rPr>
        <w:t> </w:t>
      </w:r>
      <w:r>
        <w:rPr/>
        <w:t>FOR</w:t>
      </w:r>
      <w:r>
        <w:rPr>
          <w:spacing w:val="-4"/>
        </w:rPr>
        <w:t> </w:t>
      </w:r>
      <w:r>
        <w:rPr/>
        <w:t>HEALTHCARE</w:t>
      </w:r>
      <w:r>
        <w:rPr>
          <w:spacing w:val="-4"/>
        </w:rPr>
        <w:t> </w:t>
      </w:r>
      <w:r>
        <w:rPr/>
        <w:t>PROVIDERS</w:t>
      </w:r>
      <w:r>
        <w:rPr>
          <w:spacing w:val="-3"/>
        </w:rPr>
        <w:t> </w:t>
      </w:r>
      <w:r>
        <w:rPr/>
        <w:t>AND</w:t>
      </w:r>
      <w:r>
        <w:rPr>
          <w:spacing w:val="-2"/>
        </w:rPr>
        <w:t> PATIENTS:</w:t>
      </w:r>
    </w:p>
    <w:p>
      <w:pPr>
        <w:pStyle w:val="Heading6"/>
        <w:spacing w:before="120"/>
        <w:ind w:left="519" w:right="250"/>
      </w:pPr>
      <w:r>
        <w:rPr>
          <w:color w:val="000000"/>
          <w:shd w:fill="FFFF00" w:color="auto" w:val="clear"/>
        </w:rPr>
        <w:t>[Include proposed Fact Sheets for Patients and Healthcare Providers]</w:t>
      </w:r>
      <w:r>
        <w:rPr>
          <w:color w:val="000000"/>
        </w:rPr>
        <w:t> - see examples for authorized</w:t>
      </w:r>
      <w:r>
        <w:rPr>
          <w:color w:val="000000"/>
          <w:spacing w:val="-5"/>
        </w:rPr>
        <w:t> </w:t>
      </w:r>
      <w:r>
        <w:rPr>
          <w:color w:val="000000"/>
        </w:rPr>
        <w:t>EUA</w:t>
      </w:r>
      <w:r>
        <w:rPr>
          <w:color w:val="000000"/>
          <w:spacing w:val="-4"/>
        </w:rPr>
        <w:t> </w:t>
      </w:r>
      <w:r>
        <w:rPr>
          <w:color w:val="000000"/>
        </w:rPr>
        <w:t>tests</w:t>
      </w:r>
      <w:r>
        <w:rPr>
          <w:color w:val="000000"/>
          <w:spacing w:val="-3"/>
        </w:rPr>
        <w:t> </w:t>
      </w:r>
      <w:r>
        <w:rPr>
          <w:color w:val="000000"/>
        </w:rPr>
        <w:t>on</w:t>
      </w:r>
      <w:r>
        <w:rPr>
          <w:color w:val="000000"/>
          <w:spacing w:val="-4"/>
        </w:rPr>
        <w:t> </w:t>
      </w:r>
      <w:r>
        <w:rPr>
          <w:color w:val="000000"/>
        </w:rPr>
        <w:t>our</w:t>
      </w:r>
      <w:r>
        <w:rPr>
          <w:color w:val="000000"/>
          <w:spacing w:val="-3"/>
        </w:rPr>
        <w:t> </w:t>
      </w:r>
      <w:r>
        <w:rPr>
          <w:color w:val="000000"/>
        </w:rPr>
        <w:t>website.</w:t>
      </w:r>
      <w:r>
        <w:rPr>
          <w:color w:val="000000"/>
          <w:spacing w:val="-3"/>
        </w:rPr>
        <w:t> </w:t>
      </w:r>
      <w:r>
        <w:rPr>
          <w:color w:val="000000"/>
        </w:rPr>
        <w:t>During</w:t>
      </w:r>
      <w:r>
        <w:rPr>
          <w:color w:val="000000"/>
          <w:spacing w:val="-4"/>
        </w:rPr>
        <w:t> </w:t>
      </w:r>
      <w:r>
        <w:rPr>
          <w:color w:val="000000"/>
        </w:rPr>
        <w:t>review,</w:t>
      </w:r>
      <w:r>
        <w:rPr>
          <w:color w:val="000000"/>
          <w:spacing w:val="-3"/>
        </w:rPr>
        <w:t> </w:t>
      </w:r>
      <w:r>
        <w:rPr>
          <w:color w:val="000000"/>
        </w:rPr>
        <w:t>FDA</w:t>
      </w:r>
      <w:r>
        <w:rPr>
          <w:color w:val="000000"/>
          <w:spacing w:val="-3"/>
        </w:rPr>
        <w:t> </w:t>
      </w:r>
      <w:r>
        <w:rPr>
          <w:color w:val="000000"/>
        </w:rPr>
        <w:t>will</w:t>
      </w:r>
      <w:r>
        <w:rPr>
          <w:color w:val="000000"/>
          <w:spacing w:val="-3"/>
        </w:rPr>
        <w:t> </w:t>
      </w:r>
      <w:r>
        <w:rPr>
          <w:color w:val="000000"/>
        </w:rPr>
        <w:t>make</w:t>
      </w:r>
      <w:r>
        <w:rPr>
          <w:color w:val="000000"/>
          <w:spacing w:val="-3"/>
        </w:rPr>
        <w:t> </w:t>
      </w:r>
      <w:r>
        <w:rPr>
          <w:color w:val="000000"/>
        </w:rPr>
        <w:t>available</w:t>
      </w:r>
      <w:r>
        <w:rPr>
          <w:color w:val="000000"/>
          <w:spacing w:val="-3"/>
        </w:rPr>
        <w:t> </w:t>
      </w:r>
      <w:r>
        <w:rPr>
          <w:color w:val="000000"/>
        </w:rPr>
        <w:t>Fact</w:t>
      </w:r>
      <w:r>
        <w:rPr>
          <w:color w:val="000000"/>
          <w:spacing w:val="-3"/>
        </w:rPr>
        <w:t> </w:t>
      </w:r>
      <w:r>
        <w:rPr>
          <w:color w:val="000000"/>
        </w:rPr>
        <w:t>Sheet </w:t>
      </w:r>
      <w:r>
        <w:rPr>
          <w:color w:val="000000"/>
          <w:spacing w:val="-2"/>
        </w:rPr>
        <w:t>templates.</w:t>
      </w:r>
    </w:p>
    <w:p>
      <w:pPr>
        <w:spacing w:after="0"/>
        <w:sectPr>
          <w:pgSz w:w="12240" w:h="15840"/>
          <w:pgMar w:header="731" w:footer="785" w:top="1360" w:bottom="980" w:left="1280" w:right="1200"/>
        </w:sectPr>
      </w:pPr>
    </w:p>
    <w:p>
      <w:pPr>
        <w:pStyle w:val="Heading4"/>
        <w:numPr>
          <w:ilvl w:val="0"/>
          <w:numId w:val="13"/>
        </w:numPr>
        <w:tabs>
          <w:tab w:pos="518" w:val="left" w:leader="none"/>
        </w:tabs>
        <w:spacing w:line="240" w:lineRule="auto" w:before="80" w:after="0"/>
        <w:ind w:left="518" w:right="0" w:hanging="358"/>
        <w:jc w:val="left"/>
      </w:pPr>
      <w:bookmarkStart w:name="O. INSTRUCTIONS FOR USE/ PROPOSED LABELI" w:id="99"/>
      <w:bookmarkEnd w:id="99"/>
      <w:r>
        <w:rPr>
          <w:b w:val="0"/>
        </w:rPr>
      </w:r>
      <w:r>
        <w:rPr/>
        <w:t>INSTRUCTIONS</w:t>
      </w:r>
      <w:r>
        <w:rPr>
          <w:spacing w:val="-8"/>
        </w:rPr>
        <w:t> </w:t>
      </w:r>
      <w:r>
        <w:rPr/>
        <w:t>FOR</w:t>
      </w:r>
      <w:r>
        <w:rPr>
          <w:spacing w:val="-5"/>
        </w:rPr>
        <w:t> </w:t>
      </w:r>
      <w:r>
        <w:rPr/>
        <w:t>USE/</w:t>
      </w:r>
      <w:r>
        <w:rPr>
          <w:spacing w:val="-4"/>
        </w:rPr>
        <w:t> </w:t>
      </w:r>
      <w:r>
        <w:rPr/>
        <w:t>PROPOSED</w:t>
      </w:r>
      <w:r>
        <w:rPr>
          <w:spacing w:val="-5"/>
        </w:rPr>
        <w:t> </w:t>
      </w:r>
      <w:r>
        <w:rPr/>
        <w:t>LABELING/PACKAGE</w:t>
      </w:r>
      <w:r>
        <w:rPr>
          <w:spacing w:val="-4"/>
        </w:rPr>
        <w:t> </w:t>
      </w:r>
      <w:r>
        <w:rPr>
          <w:spacing w:val="-2"/>
        </w:rPr>
        <w:t>INSERT:</w:t>
      </w:r>
    </w:p>
    <w:p>
      <w:pPr>
        <w:pStyle w:val="Heading6"/>
        <w:spacing w:before="120"/>
        <w:ind w:left="520"/>
      </w:pPr>
      <w:r>
        <w:rPr>
          <w:color w:val="000000"/>
          <w:shd w:fill="FFFF00" w:color="auto" w:val="clear"/>
        </w:rPr>
        <w:t>[Include</w:t>
      </w:r>
      <w:r>
        <w:rPr>
          <w:color w:val="000000"/>
          <w:spacing w:val="-4"/>
          <w:shd w:fill="FFFF00" w:color="auto" w:val="clear"/>
        </w:rPr>
        <w:t> </w:t>
      </w:r>
      <w:r>
        <w:rPr>
          <w:color w:val="000000"/>
          <w:shd w:fill="FFFF00" w:color="auto" w:val="clear"/>
        </w:rPr>
        <w:t>Instructions</w:t>
      </w:r>
      <w:r>
        <w:rPr>
          <w:color w:val="000000"/>
          <w:spacing w:val="-2"/>
          <w:shd w:fill="FFFF00" w:color="auto" w:val="clear"/>
        </w:rPr>
        <w:t> </w:t>
      </w:r>
      <w:r>
        <w:rPr>
          <w:color w:val="000000"/>
          <w:shd w:fill="FFFF00" w:color="auto" w:val="clear"/>
        </w:rPr>
        <w:t>for</w:t>
      </w:r>
      <w:r>
        <w:rPr>
          <w:color w:val="000000"/>
          <w:spacing w:val="-2"/>
          <w:shd w:fill="FFFF00" w:color="auto" w:val="clear"/>
        </w:rPr>
        <w:t> </w:t>
      </w:r>
      <w:r>
        <w:rPr>
          <w:color w:val="000000"/>
          <w:shd w:fill="FFFF00" w:color="auto" w:val="clear"/>
        </w:rPr>
        <w:t>Use,</w:t>
      </w:r>
      <w:r>
        <w:rPr>
          <w:color w:val="000000"/>
          <w:spacing w:val="-1"/>
          <w:shd w:fill="FFFF00" w:color="auto" w:val="clear"/>
        </w:rPr>
        <w:t> </w:t>
      </w:r>
      <w:r>
        <w:rPr>
          <w:color w:val="000000"/>
          <w:shd w:fill="FFFF00" w:color="auto" w:val="clear"/>
        </w:rPr>
        <w:t>Box</w:t>
      </w:r>
      <w:r>
        <w:rPr>
          <w:color w:val="000000"/>
          <w:spacing w:val="-2"/>
          <w:shd w:fill="FFFF00" w:color="auto" w:val="clear"/>
        </w:rPr>
        <w:t> </w:t>
      </w:r>
      <w:r>
        <w:rPr>
          <w:color w:val="000000"/>
          <w:shd w:fill="FFFF00" w:color="auto" w:val="clear"/>
        </w:rPr>
        <w:t>Labels,</w:t>
      </w:r>
      <w:r>
        <w:rPr>
          <w:color w:val="000000"/>
          <w:spacing w:val="-1"/>
          <w:shd w:fill="FFFF00" w:color="auto" w:val="clear"/>
        </w:rPr>
        <w:t> </w:t>
      </w:r>
      <w:r>
        <w:rPr>
          <w:color w:val="000000"/>
          <w:shd w:fill="FFFF00" w:color="auto" w:val="clear"/>
        </w:rPr>
        <w:t>Vial</w:t>
      </w:r>
      <w:r>
        <w:rPr>
          <w:color w:val="000000"/>
          <w:spacing w:val="-2"/>
          <w:shd w:fill="FFFF00" w:color="auto" w:val="clear"/>
        </w:rPr>
        <w:t> </w:t>
      </w:r>
      <w:r>
        <w:rPr>
          <w:color w:val="000000"/>
          <w:shd w:fill="FFFF00" w:color="auto" w:val="clear"/>
        </w:rPr>
        <w:t>Labels</w:t>
      </w:r>
      <w:r>
        <w:rPr>
          <w:color w:val="000000"/>
          <w:spacing w:val="-2"/>
          <w:shd w:fill="FFFF00" w:color="auto" w:val="clear"/>
        </w:rPr>
        <w:t> </w:t>
      </w:r>
      <w:r>
        <w:rPr>
          <w:color w:val="000000"/>
          <w:shd w:fill="FFFF00" w:color="auto" w:val="clear"/>
        </w:rPr>
        <w:t>and</w:t>
      </w:r>
      <w:r>
        <w:rPr>
          <w:color w:val="000000"/>
          <w:spacing w:val="-1"/>
          <w:shd w:fill="FFFF00" w:color="auto" w:val="clear"/>
        </w:rPr>
        <w:t> </w:t>
      </w:r>
      <w:r>
        <w:rPr>
          <w:color w:val="000000"/>
          <w:shd w:fill="FFFF00" w:color="auto" w:val="clear"/>
        </w:rPr>
        <w:t>any</w:t>
      </w:r>
      <w:r>
        <w:rPr>
          <w:color w:val="000000"/>
          <w:spacing w:val="-2"/>
          <w:shd w:fill="FFFF00" w:color="auto" w:val="clear"/>
        </w:rPr>
        <w:t> </w:t>
      </w:r>
      <w:r>
        <w:rPr>
          <w:color w:val="000000"/>
          <w:shd w:fill="FFFF00" w:color="auto" w:val="clear"/>
        </w:rPr>
        <w:t>other</w:t>
      </w:r>
      <w:r>
        <w:rPr>
          <w:color w:val="000000"/>
          <w:spacing w:val="-1"/>
          <w:shd w:fill="FFFF00" w:color="auto" w:val="clear"/>
        </w:rPr>
        <w:t> </w:t>
      </w:r>
      <w:r>
        <w:rPr>
          <w:color w:val="000000"/>
          <w:shd w:fill="FFFF00" w:color="auto" w:val="clear"/>
        </w:rPr>
        <w:t>proposed</w:t>
      </w:r>
      <w:r>
        <w:rPr>
          <w:color w:val="000000"/>
          <w:spacing w:val="-1"/>
          <w:shd w:fill="FFFF00" w:color="auto" w:val="clear"/>
        </w:rPr>
        <w:t> </w:t>
      </w:r>
      <w:r>
        <w:rPr>
          <w:color w:val="000000"/>
          <w:spacing w:val="-2"/>
          <w:shd w:fill="FFFF00" w:color="auto" w:val="clear"/>
        </w:rPr>
        <w:t>labeling.]</w:t>
      </w:r>
    </w:p>
    <w:p>
      <w:pPr>
        <w:pStyle w:val="BodyText"/>
        <w:spacing w:before="9"/>
        <w:rPr>
          <w:rFonts w:ascii="TimesNewRomanPS-BoldItalicMT"/>
          <w:b/>
          <w:i/>
          <w:sz w:val="20"/>
        </w:rPr>
      </w:pPr>
    </w:p>
    <w:p>
      <w:pPr>
        <w:pStyle w:val="Heading4"/>
        <w:numPr>
          <w:ilvl w:val="0"/>
          <w:numId w:val="13"/>
        </w:numPr>
        <w:tabs>
          <w:tab w:pos="518" w:val="left" w:leader="none"/>
        </w:tabs>
        <w:spacing w:line="240" w:lineRule="auto" w:before="1" w:after="0"/>
        <w:ind w:left="518" w:right="0" w:hanging="358"/>
        <w:jc w:val="left"/>
      </w:pPr>
      <w:bookmarkStart w:name="P. RECORD KEEPING AND REPORTING INFORMAT" w:id="100"/>
      <w:bookmarkEnd w:id="100"/>
      <w:r>
        <w:rPr>
          <w:b w:val="0"/>
        </w:rPr>
      </w:r>
      <w:r>
        <w:rPr/>
        <w:t>RECORD</w:t>
      </w:r>
      <w:r>
        <w:rPr>
          <w:spacing w:val="-6"/>
        </w:rPr>
        <w:t> </w:t>
      </w:r>
      <w:r>
        <w:rPr/>
        <w:t>KEEPING</w:t>
      </w:r>
      <w:r>
        <w:rPr>
          <w:spacing w:val="-3"/>
        </w:rPr>
        <w:t> </w:t>
      </w:r>
      <w:r>
        <w:rPr/>
        <w:t>AND</w:t>
      </w:r>
      <w:r>
        <w:rPr>
          <w:spacing w:val="-3"/>
        </w:rPr>
        <w:t> </w:t>
      </w:r>
      <w:r>
        <w:rPr/>
        <w:t>REPORTING</w:t>
      </w:r>
      <w:r>
        <w:rPr>
          <w:spacing w:val="-3"/>
        </w:rPr>
        <w:t> </w:t>
      </w:r>
      <w:r>
        <w:rPr/>
        <w:t>INFORMATION</w:t>
      </w:r>
      <w:r>
        <w:rPr>
          <w:spacing w:val="-4"/>
        </w:rPr>
        <w:t> </w:t>
      </w:r>
      <w:r>
        <w:rPr/>
        <w:t>TO</w:t>
      </w:r>
      <w:r>
        <w:rPr>
          <w:spacing w:val="-3"/>
        </w:rPr>
        <w:t> </w:t>
      </w:r>
      <w:r>
        <w:rPr>
          <w:spacing w:val="-4"/>
        </w:rPr>
        <w:t>FDA:</w:t>
      </w:r>
    </w:p>
    <w:p>
      <w:pPr>
        <w:pStyle w:val="BodyText"/>
        <w:spacing w:before="120"/>
        <w:ind w:left="519" w:right="268"/>
      </w:pPr>
      <w:r>
        <w:rPr>
          <w:rFonts w:ascii="TimesNewRomanPS-BoldItalicMT" w:hAnsi="TimesNewRomanPS-BoldItalicMT"/>
          <w:b/>
          <w:i/>
          <w:color w:val="000000"/>
          <w:shd w:fill="FFFF00" w:color="auto" w:val="clear"/>
        </w:rPr>
        <w:t>[Manufacturer Name]</w:t>
      </w:r>
      <w:r>
        <w:rPr>
          <w:rFonts w:ascii="TimesNewRomanPS-BoldItalicMT" w:hAnsi="TimesNewRomanPS-BoldItalicMT"/>
          <w:b/>
          <w:i/>
          <w:color w:val="000000"/>
        </w:rPr>
        <w:t> </w:t>
      </w:r>
      <w:r>
        <w:rPr>
          <w:color w:val="000000"/>
        </w:rPr>
        <w:t>will track adverse events and report to FDA under 21 CFR Part 803. A website is available to report on adverse events, and this website is referenced in the Fact Sheet for Health Care providers as well as through the </w:t>
      </w:r>
      <w:r>
        <w:rPr>
          <w:rFonts w:ascii="TimesNewRomanPS-BoldItalicMT" w:hAnsi="TimesNewRomanPS-BoldItalicMT"/>
          <w:b/>
          <w:i/>
          <w:color w:val="000000"/>
          <w:shd w:fill="FFFF00" w:color="auto" w:val="clear"/>
        </w:rPr>
        <w:t>[Manufacturer Name]</w:t>
      </w:r>
      <w:r>
        <w:rPr>
          <w:rFonts w:ascii="TimesNewRomanPS-BoldItalicMT" w:hAnsi="TimesNewRomanPS-BoldItalicMT"/>
          <w:b/>
          <w:i/>
          <w:color w:val="000000"/>
        </w:rPr>
        <w:t> </w:t>
      </w:r>
      <w:r>
        <w:rPr>
          <w:color w:val="000000"/>
        </w:rPr>
        <w:t>Product Support website: </w:t>
      </w:r>
      <w:hyperlink r:id="rId23">
        <w:r>
          <w:rPr>
            <w:rFonts w:ascii="TimesNewRomanPS-BoldItalicMT" w:hAnsi="TimesNewRomanPS-BoldItalicMT"/>
            <w:b/>
            <w:i/>
            <w:color w:val="000000"/>
            <w:shd w:fill="FFFF00" w:color="auto" w:val="clear"/>
          </w:rPr>
          <w:t>[link to Manufacturer’s website]</w:t>
        </w:r>
        <w:r>
          <w:rPr>
            <w:i/>
            <w:color w:val="000000"/>
          </w:rPr>
          <w:t>.</w:t>
        </w:r>
      </w:hyperlink>
      <w:r>
        <w:rPr>
          <w:i/>
          <w:color w:val="000000"/>
        </w:rPr>
        <w:t> </w:t>
      </w:r>
      <w:r>
        <w:rPr>
          <w:color w:val="000000"/>
        </w:rPr>
        <w:t>Each report of an adverse event will be processed</w:t>
      </w:r>
      <w:r>
        <w:rPr>
          <w:color w:val="000000"/>
          <w:spacing w:val="-7"/>
        </w:rPr>
        <w:t> </w:t>
      </w:r>
      <w:r>
        <w:rPr>
          <w:color w:val="000000"/>
        </w:rPr>
        <w:t>according</w:t>
      </w:r>
      <w:r>
        <w:rPr>
          <w:color w:val="000000"/>
          <w:spacing w:val="-7"/>
        </w:rPr>
        <w:t> </w:t>
      </w:r>
      <w:r>
        <w:rPr>
          <w:color w:val="000000"/>
        </w:rPr>
        <w:t>to</w:t>
      </w:r>
      <w:r>
        <w:rPr>
          <w:color w:val="000000"/>
          <w:spacing w:val="-5"/>
        </w:rPr>
        <w:t> </w:t>
      </w:r>
      <w:r>
        <w:rPr>
          <w:rFonts w:ascii="TimesNewRomanPS-BoldItalicMT" w:hAnsi="TimesNewRomanPS-BoldItalicMT"/>
          <w:b/>
          <w:i/>
          <w:color w:val="000000"/>
          <w:shd w:fill="FFFF00" w:color="auto" w:val="clear"/>
        </w:rPr>
        <w:t>[Manufacturer</w:t>
      </w:r>
      <w:r>
        <w:rPr>
          <w:rFonts w:ascii="TimesNewRomanPS-BoldItalicMT" w:hAnsi="TimesNewRomanPS-BoldItalicMT"/>
          <w:b/>
          <w:i/>
          <w:color w:val="000000"/>
          <w:spacing w:val="-5"/>
          <w:shd w:fill="FFFF00" w:color="auto" w:val="clear"/>
        </w:rPr>
        <w:t> </w:t>
      </w:r>
      <w:r>
        <w:rPr>
          <w:rFonts w:ascii="TimesNewRomanPS-BoldItalicMT" w:hAnsi="TimesNewRomanPS-BoldItalicMT"/>
          <w:b/>
          <w:i/>
          <w:color w:val="000000"/>
          <w:shd w:fill="FFFF00" w:color="auto" w:val="clear"/>
        </w:rPr>
        <w:t>Name]</w:t>
      </w:r>
      <w:r>
        <w:rPr>
          <w:color w:val="000000"/>
        </w:rPr>
        <w:t>’s</w:t>
      </w:r>
      <w:r>
        <w:rPr>
          <w:color w:val="000000"/>
          <w:spacing w:val="-6"/>
        </w:rPr>
        <w:t> </w:t>
      </w:r>
      <w:r>
        <w:rPr>
          <w:color w:val="000000"/>
        </w:rPr>
        <w:t>Non-Conformance</w:t>
      </w:r>
      <w:r>
        <w:rPr>
          <w:color w:val="000000"/>
          <w:spacing w:val="-5"/>
        </w:rPr>
        <w:t> </w:t>
      </w:r>
      <w:r>
        <w:rPr>
          <w:color w:val="000000"/>
        </w:rPr>
        <w:t>Reporting</w:t>
      </w:r>
      <w:r>
        <w:rPr>
          <w:color w:val="000000"/>
          <w:spacing w:val="-5"/>
        </w:rPr>
        <w:t> </w:t>
      </w:r>
      <w:r>
        <w:rPr>
          <w:color w:val="000000"/>
        </w:rPr>
        <w:t>Requirements, and Medical Device Reports will be filed with the FDA as required. Through a process of inventory control, </w:t>
      </w:r>
      <w:r>
        <w:rPr>
          <w:rFonts w:ascii="TimesNewRomanPS-BoldItalicMT" w:hAnsi="TimesNewRomanPS-BoldItalicMT"/>
          <w:b/>
          <w:i/>
          <w:color w:val="000000"/>
          <w:shd w:fill="FFFF00" w:color="auto" w:val="clear"/>
        </w:rPr>
        <w:t>[Manufacturer Name]</w:t>
      </w:r>
      <w:r>
        <w:rPr>
          <w:rFonts w:ascii="TimesNewRomanPS-BoldItalicMT" w:hAnsi="TimesNewRomanPS-BoldItalicMT"/>
          <w:b/>
          <w:i/>
          <w:color w:val="000000"/>
        </w:rPr>
        <w:t> </w:t>
      </w:r>
      <w:r>
        <w:rPr>
          <w:color w:val="000000"/>
        </w:rPr>
        <w:t>will also maintain records of device usage/purchase. </w:t>
      </w:r>
      <w:r>
        <w:rPr>
          <w:rFonts w:ascii="TimesNewRomanPS-BoldItalicMT" w:hAnsi="TimesNewRomanPS-BoldItalicMT"/>
          <w:b/>
          <w:i/>
          <w:color w:val="000000"/>
          <w:shd w:fill="FFFF00" w:color="auto" w:val="clear"/>
        </w:rPr>
        <w:t>[Manufacturer Name]</w:t>
      </w:r>
      <w:r>
        <w:rPr>
          <w:rFonts w:ascii="TimesNewRomanPS-BoldItalicMT" w:hAnsi="TimesNewRomanPS-BoldItalicMT"/>
          <w:b/>
          <w:i/>
          <w:color w:val="000000"/>
        </w:rPr>
        <w:t> </w:t>
      </w:r>
      <w:r>
        <w:rPr>
          <w:color w:val="000000"/>
        </w:rPr>
        <w:t>will collect information on the performance of the test,</w:t>
      </w:r>
      <w:r>
        <w:rPr>
          <w:color w:val="000000"/>
          <w:spacing w:val="-1"/>
        </w:rPr>
        <w:t> </w:t>
      </w:r>
      <w:r>
        <w:rPr>
          <w:color w:val="000000"/>
        </w:rPr>
        <w:t>and report to FDA any suspected occurrence of false positive or false negative results of which </w:t>
      </w:r>
      <w:r>
        <w:rPr>
          <w:rFonts w:ascii="TimesNewRomanPS-BoldItalicMT" w:hAnsi="TimesNewRomanPS-BoldItalicMT"/>
          <w:b/>
          <w:i/>
          <w:color w:val="000000"/>
          <w:shd w:fill="FFFF00" w:color="auto" w:val="clear"/>
        </w:rPr>
        <w:t>[Manufacturer Name]</w:t>
      </w:r>
      <w:r>
        <w:rPr>
          <w:rFonts w:ascii="TimesNewRomanPS-BoldItalicMT" w:hAnsi="TimesNewRomanPS-BoldItalicMT"/>
          <w:b/>
          <w:i/>
          <w:color w:val="000000"/>
        </w:rPr>
        <w:t> </w:t>
      </w:r>
      <w:r>
        <w:rPr>
          <w:color w:val="000000"/>
        </w:rPr>
        <w:t>becomes aware. </w:t>
      </w:r>
      <w:r>
        <w:rPr>
          <w:rFonts w:ascii="TimesNewRomanPS-BoldItalicMT" w:hAnsi="TimesNewRomanPS-BoldItalicMT"/>
          <w:b/>
          <w:i/>
          <w:color w:val="000000"/>
          <w:shd w:fill="FFFF00" w:color="auto" w:val="clear"/>
        </w:rPr>
        <w:t>[Manufacturer Name]</w:t>
      </w:r>
      <w:r>
        <w:rPr>
          <w:rFonts w:ascii="TimesNewRomanPS-BoldItalicMT" w:hAnsi="TimesNewRomanPS-BoldItalicMT"/>
          <w:b/>
          <w:i/>
          <w:color w:val="000000"/>
        </w:rPr>
        <w:t> </w:t>
      </w:r>
      <w:r>
        <w:rPr>
          <w:color w:val="000000"/>
        </w:rPr>
        <w:t>will maintain records associated with this EUA and ensure these records are maintained until notified by FDA. Such records will be made available to FDA for inspection upon request.</w:t>
      </w:r>
    </w:p>
    <w:p>
      <w:pPr>
        <w:spacing w:after="0"/>
        <w:sectPr>
          <w:pgSz w:w="12240" w:h="15840"/>
          <w:pgMar w:header="731" w:footer="785" w:top="1360" w:bottom="980" w:left="1280" w:right="1200"/>
        </w:sectPr>
      </w:pPr>
    </w:p>
    <w:p>
      <w:pPr>
        <w:spacing w:before="79"/>
        <w:ind w:left="160" w:right="0" w:firstLine="0"/>
        <w:jc w:val="left"/>
        <w:rPr>
          <w:b/>
          <w:sz w:val="28"/>
        </w:rPr>
      </w:pPr>
      <w:r>
        <w:rPr>
          <w:b/>
          <w:sz w:val="28"/>
        </w:rPr>
        <w:t>Appendix</w:t>
      </w:r>
      <w:r>
        <w:rPr>
          <w:b/>
          <w:spacing w:val="-10"/>
          <w:sz w:val="28"/>
        </w:rPr>
        <w:t> </w:t>
      </w:r>
      <w:r>
        <w:rPr>
          <w:b/>
          <w:sz w:val="28"/>
        </w:rPr>
        <w:t>B:</w:t>
      </w:r>
      <w:r>
        <w:rPr>
          <w:b/>
          <w:spacing w:val="-9"/>
          <w:sz w:val="28"/>
        </w:rPr>
        <w:t> </w:t>
      </w:r>
      <w:r>
        <w:rPr>
          <w:b/>
          <w:sz w:val="28"/>
        </w:rPr>
        <w:t>Serology</w:t>
      </w:r>
      <w:r>
        <w:rPr>
          <w:b/>
          <w:spacing w:val="-9"/>
          <w:sz w:val="28"/>
        </w:rPr>
        <w:t> </w:t>
      </w:r>
      <w:r>
        <w:rPr>
          <w:b/>
          <w:sz w:val="28"/>
        </w:rPr>
        <w:t>Template</w:t>
      </w:r>
      <w:r>
        <w:rPr>
          <w:b/>
          <w:spacing w:val="-10"/>
          <w:sz w:val="28"/>
        </w:rPr>
        <w:t> </w:t>
      </w:r>
      <w:r>
        <w:rPr>
          <w:b/>
          <w:sz w:val="28"/>
        </w:rPr>
        <w:t>for</w:t>
      </w:r>
      <w:r>
        <w:rPr>
          <w:b/>
          <w:spacing w:val="-10"/>
          <w:sz w:val="28"/>
        </w:rPr>
        <w:t> </w:t>
      </w:r>
      <w:r>
        <w:rPr>
          <w:b/>
          <w:spacing w:val="-2"/>
          <w:sz w:val="28"/>
        </w:rPr>
        <w:t>Laboratories</w:t>
      </w:r>
    </w:p>
    <w:p>
      <w:pPr>
        <w:pStyle w:val="BodyText"/>
        <w:rPr>
          <w:b/>
        </w:rPr>
      </w:pPr>
    </w:p>
    <w:p>
      <w:pPr>
        <w:pStyle w:val="BodyText"/>
        <w:ind w:left="159" w:right="592"/>
      </w:pPr>
      <w:r>
        <w:rPr/>
        <w:t>This template (the “template”) includes FDA’s current recommendations for laboratories concerning what data and information they should submit to support an EUA request for a SARS-CoV-2 antibody test developed for use in a single CLIA certified high-complexity laboratory.</w:t>
      </w:r>
      <w:r>
        <w:rPr>
          <w:spacing w:val="-5"/>
        </w:rPr>
        <w:t> </w:t>
      </w:r>
      <w:r>
        <w:rPr/>
        <w:t>As</w:t>
      </w:r>
      <w:r>
        <w:rPr>
          <w:spacing w:val="-3"/>
        </w:rPr>
        <w:t> </w:t>
      </w:r>
      <w:r>
        <w:rPr/>
        <w:t>outlined</w:t>
      </w:r>
      <w:r>
        <w:rPr>
          <w:spacing w:val="-5"/>
        </w:rPr>
        <w:t> </w:t>
      </w:r>
      <w:r>
        <w:rPr/>
        <w:t>in</w:t>
      </w:r>
      <w:r>
        <w:rPr>
          <w:spacing w:val="-3"/>
        </w:rPr>
        <w:t> </w:t>
      </w:r>
      <w:r>
        <w:rPr/>
        <w:t>Section</w:t>
      </w:r>
      <w:r>
        <w:rPr>
          <w:spacing w:val="-3"/>
        </w:rPr>
        <w:t> </w:t>
      </w:r>
      <w:r>
        <w:rPr/>
        <w:t>V.C.</w:t>
      </w:r>
      <w:r>
        <w:rPr>
          <w:spacing w:val="-3"/>
        </w:rPr>
        <w:t> </w:t>
      </w:r>
      <w:r>
        <w:rPr/>
        <w:t>of</w:t>
      </w:r>
      <w:r>
        <w:rPr>
          <w:spacing w:val="-4"/>
        </w:rPr>
        <w:t> </w:t>
      </w:r>
      <w:r>
        <w:rPr/>
        <w:t>this</w:t>
      </w:r>
      <w:r>
        <w:rPr>
          <w:spacing w:val="-3"/>
        </w:rPr>
        <w:t> </w:t>
      </w:r>
      <w:r>
        <w:rPr/>
        <w:t>guidance,</w:t>
      </w:r>
      <w:r>
        <w:rPr>
          <w:spacing w:val="-3"/>
        </w:rPr>
        <w:t> </w:t>
      </w:r>
      <w:r>
        <w:rPr/>
        <w:t>FDA</w:t>
      </w:r>
      <w:r>
        <w:rPr>
          <w:spacing w:val="-4"/>
        </w:rPr>
        <w:t> </w:t>
      </w:r>
      <w:r>
        <w:rPr/>
        <w:t>recommends</w:t>
      </w:r>
      <w:r>
        <w:rPr>
          <w:spacing w:val="-3"/>
        </w:rPr>
        <w:t> </w:t>
      </w:r>
      <w:r>
        <w:rPr/>
        <w:t>that</w:t>
      </w:r>
      <w:r>
        <w:rPr>
          <w:spacing w:val="-4"/>
        </w:rPr>
        <w:t> </w:t>
      </w:r>
      <w:r>
        <w:rPr/>
        <w:t>the</w:t>
      </w:r>
      <w:r>
        <w:rPr>
          <w:spacing w:val="-4"/>
        </w:rPr>
        <w:t> </w:t>
      </w:r>
      <w:r>
        <w:rPr/>
        <w:t>following</w:t>
      </w:r>
    </w:p>
    <w:p>
      <w:pPr>
        <w:pStyle w:val="BodyText"/>
        <w:ind w:left="159" w:right="260"/>
      </w:pPr>
      <w:r>
        <w:rPr/>
        <w:t>validation</w:t>
      </w:r>
      <w:r>
        <w:rPr>
          <w:spacing w:val="-5"/>
        </w:rPr>
        <w:t> </w:t>
      </w:r>
      <w:r>
        <w:rPr/>
        <w:t>studies</w:t>
      </w:r>
      <w:r>
        <w:rPr>
          <w:spacing w:val="-5"/>
        </w:rPr>
        <w:t> </w:t>
      </w:r>
      <w:r>
        <w:rPr/>
        <w:t>be</w:t>
      </w:r>
      <w:r>
        <w:rPr>
          <w:spacing w:val="-5"/>
        </w:rPr>
        <w:t> </w:t>
      </w:r>
      <w:r>
        <w:rPr/>
        <w:t>conducted</w:t>
      </w:r>
      <w:r>
        <w:rPr>
          <w:spacing w:val="-5"/>
        </w:rPr>
        <w:t> </w:t>
      </w:r>
      <w:r>
        <w:rPr/>
        <w:t>for</w:t>
      </w:r>
      <w:r>
        <w:rPr>
          <w:spacing w:val="-5"/>
        </w:rPr>
        <w:t> </w:t>
      </w:r>
      <w:r>
        <w:rPr/>
        <w:t>a</w:t>
      </w:r>
      <w:r>
        <w:rPr>
          <w:spacing w:val="-5"/>
        </w:rPr>
        <w:t> </w:t>
      </w:r>
      <w:r>
        <w:rPr/>
        <w:t>SARS-CoV-2</w:t>
      </w:r>
      <w:r>
        <w:rPr>
          <w:spacing w:val="-5"/>
        </w:rPr>
        <w:t> </w:t>
      </w:r>
      <w:r>
        <w:rPr/>
        <w:t>serological</w:t>
      </w:r>
      <w:r>
        <w:rPr>
          <w:spacing w:val="-5"/>
        </w:rPr>
        <w:t> </w:t>
      </w:r>
      <w:r>
        <w:rPr/>
        <w:t>assay:</w:t>
      </w:r>
      <w:r>
        <w:rPr>
          <w:spacing w:val="-5"/>
        </w:rPr>
        <w:t> </w:t>
      </w:r>
      <w:r>
        <w:rPr/>
        <w:t>Cross-reactivity/Analytical Specificity, Class Specificity, and Clinical Agreement Study. This template provides one example of how a laboratory can submit these validation data and other recommended information to FDA, but alternative approaches can be used. For more information about EUAs in general, please see the FDA Guidance document: </w:t>
      </w:r>
      <w:hyperlink r:id="rId22">
        <w:r>
          <w:rPr>
            <w:i/>
            <w:color w:val="0000FF"/>
            <w:u w:val="single" w:color="0000FF"/>
          </w:rPr>
          <w:t>Emergency Use Authorization of Medical</w:t>
        </w:r>
      </w:hyperlink>
      <w:r>
        <w:rPr>
          <w:i/>
          <w:color w:val="0000FF"/>
        </w:rPr>
        <w:t> </w:t>
      </w:r>
      <w:hyperlink r:id="rId22">
        <w:r>
          <w:rPr>
            <w:i/>
            <w:color w:val="0000FF"/>
            <w:u w:val="single" w:color="0000FF"/>
          </w:rPr>
          <w:t>Products and Related Authorities</w:t>
        </w:r>
      </w:hyperlink>
      <w:r>
        <w:rPr/>
        <w:t>.</w:t>
      </w:r>
    </w:p>
    <w:p>
      <w:pPr>
        <w:pStyle w:val="BodyText"/>
        <w:spacing w:before="2"/>
        <w:rPr>
          <w:sz w:val="16"/>
        </w:rPr>
      </w:pPr>
    </w:p>
    <w:p>
      <w:pPr>
        <w:pStyle w:val="Heading4"/>
        <w:spacing w:before="90"/>
        <w:ind w:left="461" w:right="538" w:firstLine="0"/>
        <w:jc w:val="center"/>
      </w:pPr>
      <w:r>
        <w:rPr/>
        <w:t>GENERAL</w:t>
      </w:r>
      <w:r>
        <w:rPr>
          <w:spacing w:val="-6"/>
        </w:rPr>
        <w:t> </w:t>
      </w:r>
      <w:r>
        <w:rPr/>
        <w:t>INFORMATION</w:t>
      </w:r>
      <w:r>
        <w:rPr>
          <w:spacing w:val="-4"/>
        </w:rPr>
        <w:t> </w:t>
      </w:r>
      <w:r>
        <w:rPr/>
        <w:t>ABOUT</w:t>
      </w:r>
      <w:r>
        <w:rPr>
          <w:spacing w:val="-4"/>
        </w:rPr>
        <w:t> </w:t>
      </w:r>
      <w:r>
        <w:rPr/>
        <w:t>THIS</w:t>
      </w:r>
      <w:r>
        <w:rPr>
          <w:spacing w:val="-3"/>
        </w:rPr>
        <w:t> </w:t>
      </w:r>
      <w:r>
        <w:rPr>
          <w:spacing w:val="-2"/>
        </w:rPr>
        <w:t>TEMPLATE</w:t>
      </w:r>
    </w:p>
    <w:p>
      <w:pPr>
        <w:pStyle w:val="ListParagraph"/>
        <w:numPr>
          <w:ilvl w:val="0"/>
          <w:numId w:val="14"/>
        </w:numPr>
        <w:tabs>
          <w:tab w:pos="520" w:val="left" w:leader="none"/>
        </w:tabs>
        <w:spacing w:line="240" w:lineRule="auto" w:before="136" w:after="0"/>
        <w:ind w:left="520" w:right="269" w:hanging="360"/>
        <w:jc w:val="left"/>
        <w:rPr>
          <w:sz w:val="24"/>
        </w:rPr>
      </w:pPr>
      <w:r>
        <w:rPr>
          <w:sz w:val="24"/>
        </w:rPr>
        <w:t>This EUA review template (EUA template) is only intended for use by CLIA certified high- complexity</w:t>
      </w:r>
      <w:r>
        <w:rPr>
          <w:spacing w:val="-3"/>
          <w:sz w:val="24"/>
        </w:rPr>
        <w:t> </w:t>
      </w:r>
      <w:r>
        <w:rPr>
          <w:sz w:val="24"/>
        </w:rPr>
        <w:t>laboratories</w:t>
      </w:r>
      <w:r>
        <w:rPr>
          <w:spacing w:val="-4"/>
          <w:sz w:val="24"/>
        </w:rPr>
        <w:t> </w:t>
      </w:r>
      <w:r>
        <w:rPr>
          <w:sz w:val="24"/>
        </w:rPr>
        <w:t>who</w:t>
      </w:r>
      <w:r>
        <w:rPr>
          <w:spacing w:val="-3"/>
          <w:sz w:val="24"/>
        </w:rPr>
        <w:t> </w:t>
      </w:r>
      <w:r>
        <w:rPr>
          <w:sz w:val="24"/>
        </w:rPr>
        <w:t>intend</w:t>
      </w:r>
      <w:r>
        <w:rPr>
          <w:spacing w:val="-3"/>
          <w:sz w:val="24"/>
        </w:rPr>
        <w:t> </w:t>
      </w:r>
      <w:r>
        <w:rPr>
          <w:sz w:val="24"/>
        </w:rPr>
        <w:t>to</w:t>
      </w:r>
      <w:r>
        <w:rPr>
          <w:spacing w:val="-3"/>
          <w:sz w:val="24"/>
        </w:rPr>
        <w:t> </w:t>
      </w:r>
      <w:r>
        <w:rPr>
          <w:sz w:val="24"/>
        </w:rPr>
        <w:t>submit</w:t>
      </w:r>
      <w:r>
        <w:rPr>
          <w:spacing w:val="-3"/>
          <w:sz w:val="24"/>
        </w:rPr>
        <w:t> </w:t>
      </w:r>
      <w:r>
        <w:rPr>
          <w:sz w:val="24"/>
        </w:rPr>
        <w:t>a</w:t>
      </w:r>
      <w:r>
        <w:rPr>
          <w:spacing w:val="-3"/>
          <w:sz w:val="24"/>
        </w:rPr>
        <w:t> </w:t>
      </w:r>
      <w:r>
        <w:rPr>
          <w:sz w:val="24"/>
        </w:rPr>
        <w:t>pre-EUA</w:t>
      </w:r>
      <w:r>
        <w:rPr>
          <w:spacing w:val="-4"/>
          <w:sz w:val="24"/>
        </w:rPr>
        <w:t> </w:t>
      </w:r>
      <w:r>
        <w:rPr>
          <w:sz w:val="24"/>
        </w:rPr>
        <w:t>or</w:t>
      </w:r>
      <w:r>
        <w:rPr>
          <w:spacing w:val="-3"/>
          <w:sz w:val="24"/>
        </w:rPr>
        <w:t> </w:t>
      </w:r>
      <w:r>
        <w:rPr>
          <w:sz w:val="24"/>
        </w:rPr>
        <w:t>EUA</w:t>
      </w:r>
      <w:r>
        <w:rPr>
          <w:spacing w:val="-4"/>
          <w:sz w:val="24"/>
        </w:rPr>
        <w:t> </w:t>
      </w:r>
      <w:r>
        <w:rPr>
          <w:sz w:val="24"/>
        </w:rPr>
        <w:t>to</w:t>
      </w:r>
      <w:r>
        <w:rPr>
          <w:spacing w:val="-3"/>
          <w:sz w:val="24"/>
        </w:rPr>
        <w:t> </w:t>
      </w:r>
      <w:r>
        <w:rPr>
          <w:sz w:val="24"/>
        </w:rPr>
        <w:t>FDA</w:t>
      </w:r>
      <w:r>
        <w:rPr>
          <w:spacing w:val="-3"/>
          <w:sz w:val="24"/>
        </w:rPr>
        <w:t> </w:t>
      </w:r>
      <w:r>
        <w:rPr>
          <w:sz w:val="24"/>
        </w:rPr>
        <w:t>for</w:t>
      </w:r>
      <w:r>
        <w:rPr>
          <w:spacing w:val="-3"/>
          <w:sz w:val="24"/>
        </w:rPr>
        <w:t> </w:t>
      </w:r>
      <w:r>
        <w:rPr>
          <w:sz w:val="24"/>
        </w:rPr>
        <w:t>a</w:t>
      </w:r>
      <w:r>
        <w:rPr>
          <w:spacing w:val="-3"/>
          <w:sz w:val="24"/>
        </w:rPr>
        <w:t> </w:t>
      </w:r>
      <w:r>
        <w:rPr>
          <w:sz w:val="24"/>
        </w:rPr>
        <w:t>SARS-CoV-2 antibody test.</w:t>
      </w:r>
    </w:p>
    <w:p>
      <w:pPr>
        <w:pStyle w:val="ListParagraph"/>
        <w:numPr>
          <w:ilvl w:val="0"/>
          <w:numId w:val="14"/>
        </w:numPr>
        <w:tabs>
          <w:tab w:pos="520" w:val="left" w:leader="none"/>
        </w:tabs>
        <w:spacing w:line="240" w:lineRule="auto" w:before="177" w:after="0"/>
        <w:ind w:left="520" w:right="376" w:hanging="360"/>
        <w:jc w:val="left"/>
        <w:rPr>
          <w:sz w:val="24"/>
        </w:rPr>
      </w:pPr>
      <w:r>
        <w:rPr>
          <w:sz w:val="24"/>
        </w:rPr>
        <w:t>Text highlighted in yellow </w:t>
      </w:r>
      <w:r>
        <w:rPr>
          <w:rFonts w:ascii="TimesNewRomanPS-BoldItalicMT" w:hAnsi="TimesNewRomanPS-BoldItalicMT"/>
          <w:b/>
          <w:i/>
          <w:color w:val="000000"/>
          <w:sz w:val="24"/>
          <w:shd w:fill="FFFF00" w:color="auto" w:val="clear"/>
        </w:rPr>
        <w:t>[Text]</w:t>
      </w:r>
      <w:r>
        <w:rPr>
          <w:rFonts w:ascii="TimesNewRomanPS-BoldItalicMT" w:hAnsi="TimesNewRomanPS-BoldItalicMT"/>
          <w:b/>
          <w:i/>
          <w:color w:val="000000"/>
          <w:sz w:val="24"/>
        </w:rPr>
        <w:t> </w:t>
      </w:r>
      <w:r>
        <w:rPr>
          <w:color w:val="000000"/>
          <w:sz w:val="24"/>
        </w:rPr>
        <w:t>should be completed by the laboratory (sponsor) as applicable to their specific test. Text in </w:t>
      </w:r>
      <w:r>
        <w:rPr>
          <w:b/>
          <w:color w:val="000000"/>
          <w:sz w:val="24"/>
        </w:rPr>
        <w:t>bold </w:t>
      </w:r>
      <w:r>
        <w:rPr>
          <w:color w:val="000000"/>
          <w:sz w:val="24"/>
        </w:rPr>
        <w:t>outlines the Food and Drug Administration’s (FDA) recommendations for the sponsors’ consideration when providing the suggested information</w:t>
      </w:r>
      <w:r>
        <w:rPr>
          <w:color w:val="000000"/>
          <w:spacing w:val="-3"/>
          <w:sz w:val="24"/>
        </w:rPr>
        <w:t> </w:t>
      </w:r>
      <w:r>
        <w:rPr>
          <w:color w:val="000000"/>
          <w:sz w:val="24"/>
        </w:rPr>
        <w:t>in</w:t>
      </w:r>
      <w:r>
        <w:rPr>
          <w:color w:val="000000"/>
          <w:spacing w:val="-4"/>
          <w:sz w:val="24"/>
        </w:rPr>
        <w:t> </w:t>
      </w:r>
      <w:r>
        <w:rPr>
          <w:color w:val="000000"/>
          <w:sz w:val="24"/>
        </w:rPr>
        <w:t>a</w:t>
      </w:r>
      <w:r>
        <w:rPr>
          <w:color w:val="000000"/>
          <w:spacing w:val="-3"/>
          <w:sz w:val="24"/>
        </w:rPr>
        <w:t> </w:t>
      </w:r>
      <w:r>
        <w:rPr>
          <w:color w:val="000000"/>
          <w:sz w:val="24"/>
        </w:rPr>
        <w:t>specific</w:t>
      </w:r>
      <w:r>
        <w:rPr>
          <w:color w:val="000000"/>
          <w:spacing w:val="-4"/>
          <w:sz w:val="24"/>
        </w:rPr>
        <w:t> </w:t>
      </w:r>
      <w:r>
        <w:rPr>
          <w:color w:val="000000"/>
          <w:sz w:val="24"/>
        </w:rPr>
        <w:t>section.</w:t>
      </w:r>
      <w:r>
        <w:rPr>
          <w:color w:val="000000"/>
          <w:spacing w:val="-3"/>
          <w:sz w:val="24"/>
        </w:rPr>
        <w:t> </w:t>
      </w:r>
      <w:r>
        <w:rPr>
          <w:color w:val="000000"/>
          <w:sz w:val="24"/>
        </w:rPr>
        <w:t>Text</w:t>
      </w:r>
      <w:r>
        <w:rPr>
          <w:color w:val="000000"/>
          <w:spacing w:val="-4"/>
          <w:sz w:val="24"/>
        </w:rPr>
        <w:t> </w:t>
      </w:r>
      <w:r>
        <w:rPr>
          <w:color w:val="000000"/>
          <w:sz w:val="24"/>
        </w:rPr>
        <w:t>in</w:t>
      </w:r>
      <w:r>
        <w:rPr>
          <w:color w:val="000000"/>
          <w:spacing w:val="-3"/>
          <w:sz w:val="24"/>
        </w:rPr>
        <w:t> </w:t>
      </w:r>
      <w:r>
        <w:rPr>
          <w:color w:val="000000"/>
          <w:sz w:val="24"/>
        </w:rPr>
        <w:t>regular</w:t>
      </w:r>
      <w:r>
        <w:rPr>
          <w:color w:val="000000"/>
          <w:spacing w:val="-4"/>
          <w:sz w:val="24"/>
        </w:rPr>
        <w:t> </w:t>
      </w:r>
      <w:r>
        <w:rPr>
          <w:color w:val="000000"/>
          <w:sz w:val="24"/>
        </w:rPr>
        <w:t>font</w:t>
      </w:r>
      <w:r>
        <w:rPr>
          <w:color w:val="000000"/>
          <w:spacing w:val="-3"/>
          <w:sz w:val="24"/>
        </w:rPr>
        <w:t> </w:t>
      </w:r>
      <w:r>
        <w:rPr>
          <w:color w:val="000000"/>
          <w:sz w:val="24"/>
        </w:rPr>
        <w:t>is</w:t>
      </w:r>
      <w:r>
        <w:rPr>
          <w:color w:val="000000"/>
          <w:spacing w:val="-4"/>
          <w:sz w:val="24"/>
        </w:rPr>
        <w:t> </w:t>
      </w:r>
      <w:r>
        <w:rPr>
          <w:color w:val="000000"/>
          <w:sz w:val="24"/>
        </w:rPr>
        <w:t>recommended</w:t>
      </w:r>
      <w:r>
        <w:rPr>
          <w:color w:val="000000"/>
          <w:spacing w:val="-3"/>
          <w:sz w:val="24"/>
        </w:rPr>
        <w:t> </w:t>
      </w:r>
      <w:r>
        <w:rPr>
          <w:color w:val="000000"/>
          <w:sz w:val="24"/>
        </w:rPr>
        <w:t>language</w:t>
      </w:r>
      <w:r>
        <w:rPr>
          <w:color w:val="000000"/>
          <w:spacing w:val="-4"/>
          <w:sz w:val="24"/>
        </w:rPr>
        <w:t> </w:t>
      </w:r>
      <w:r>
        <w:rPr>
          <w:color w:val="000000"/>
          <w:sz w:val="24"/>
        </w:rPr>
        <w:t>provided</w:t>
      </w:r>
      <w:r>
        <w:rPr>
          <w:color w:val="000000"/>
          <w:spacing w:val="-3"/>
          <w:sz w:val="24"/>
        </w:rPr>
        <w:t> </w:t>
      </w:r>
      <w:r>
        <w:rPr>
          <w:color w:val="000000"/>
          <w:sz w:val="24"/>
        </w:rPr>
        <w:t>by FDA as an example. As explained throughout, this template is intended to be a helpful aid that provides FDA’s recommendations to help facilitate the pre-EUA/EUA submission </w:t>
      </w:r>
      <w:r>
        <w:rPr>
          <w:color w:val="000000"/>
          <w:spacing w:val="-2"/>
          <w:sz w:val="24"/>
        </w:rPr>
        <w:t>process.</w:t>
      </w:r>
    </w:p>
    <w:p>
      <w:pPr>
        <w:pStyle w:val="ListParagraph"/>
        <w:numPr>
          <w:ilvl w:val="0"/>
          <w:numId w:val="14"/>
        </w:numPr>
        <w:tabs>
          <w:tab w:pos="520" w:val="left" w:leader="none"/>
        </w:tabs>
        <w:spacing w:line="240" w:lineRule="auto" w:before="175" w:after="0"/>
        <w:ind w:left="520" w:right="392" w:hanging="360"/>
        <w:jc w:val="left"/>
        <w:rPr>
          <w:sz w:val="24"/>
        </w:rPr>
      </w:pPr>
      <w:r>
        <w:rPr>
          <w:sz w:val="24"/>
        </w:rPr>
        <w:t>This</w:t>
      </w:r>
      <w:r>
        <w:rPr>
          <w:spacing w:val="-3"/>
          <w:sz w:val="24"/>
        </w:rPr>
        <w:t> </w:t>
      </w:r>
      <w:r>
        <w:rPr>
          <w:sz w:val="24"/>
        </w:rPr>
        <w:t>is</w:t>
      </w:r>
      <w:r>
        <w:rPr>
          <w:spacing w:val="-3"/>
          <w:sz w:val="24"/>
        </w:rPr>
        <w:t> </w:t>
      </w:r>
      <w:r>
        <w:rPr>
          <w:sz w:val="24"/>
        </w:rPr>
        <w:t>an</w:t>
      </w:r>
      <w:r>
        <w:rPr>
          <w:spacing w:val="-3"/>
          <w:sz w:val="24"/>
        </w:rPr>
        <w:t> </w:t>
      </w:r>
      <w:r>
        <w:rPr>
          <w:sz w:val="24"/>
        </w:rPr>
        <w:t>EUA</w:t>
      </w:r>
      <w:r>
        <w:rPr>
          <w:spacing w:val="-4"/>
          <w:sz w:val="24"/>
        </w:rPr>
        <w:t> </w:t>
      </w:r>
      <w:r>
        <w:rPr>
          <w:sz w:val="24"/>
        </w:rPr>
        <w:t>interactive</w:t>
      </w:r>
      <w:r>
        <w:rPr>
          <w:spacing w:val="-3"/>
          <w:sz w:val="24"/>
        </w:rPr>
        <w:t> </w:t>
      </w:r>
      <w:r>
        <w:rPr>
          <w:sz w:val="24"/>
        </w:rPr>
        <w:t>review</w:t>
      </w:r>
      <w:r>
        <w:rPr>
          <w:spacing w:val="-4"/>
          <w:sz w:val="24"/>
        </w:rPr>
        <w:t> </w:t>
      </w:r>
      <w:r>
        <w:rPr>
          <w:sz w:val="24"/>
        </w:rPr>
        <w:t>template</w:t>
      </w:r>
      <w:r>
        <w:rPr>
          <w:spacing w:val="-3"/>
          <w:sz w:val="24"/>
        </w:rPr>
        <w:t> </w:t>
      </w:r>
      <w:r>
        <w:rPr>
          <w:sz w:val="24"/>
        </w:rPr>
        <w:t>for</w:t>
      </w:r>
      <w:r>
        <w:rPr>
          <w:spacing w:val="-3"/>
          <w:sz w:val="24"/>
        </w:rPr>
        <w:t> </w:t>
      </w:r>
      <w:r>
        <w:rPr>
          <w:sz w:val="24"/>
        </w:rPr>
        <w:t>Pre-EUA/EUA</w:t>
      </w:r>
      <w:r>
        <w:rPr>
          <w:spacing w:val="-4"/>
          <w:sz w:val="24"/>
        </w:rPr>
        <w:t> </w:t>
      </w:r>
      <w:r>
        <w:rPr>
          <w:sz w:val="24"/>
        </w:rPr>
        <w:t>submissions.</w:t>
      </w:r>
      <w:r>
        <w:rPr>
          <w:spacing w:val="-3"/>
          <w:sz w:val="24"/>
        </w:rPr>
        <w:t> </w:t>
      </w:r>
      <w:r>
        <w:rPr>
          <w:sz w:val="24"/>
        </w:rPr>
        <w:t>The</w:t>
      </w:r>
      <w:r>
        <w:rPr>
          <w:spacing w:val="-3"/>
          <w:sz w:val="24"/>
        </w:rPr>
        <w:t> </w:t>
      </w:r>
      <w:r>
        <w:rPr>
          <w:sz w:val="24"/>
        </w:rPr>
        <w:t>template</w:t>
      </w:r>
      <w:r>
        <w:rPr>
          <w:spacing w:val="-4"/>
          <w:sz w:val="24"/>
        </w:rPr>
        <w:t> </w:t>
      </w:r>
      <w:r>
        <w:rPr>
          <w:sz w:val="24"/>
        </w:rPr>
        <w:t>is subject</w:t>
      </w:r>
      <w:r>
        <w:rPr>
          <w:spacing w:val="-1"/>
          <w:sz w:val="24"/>
        </w:rPr>
        <w:t> </w:t>
      </w:r>
      <w:r>
        <w:rPr>
          <w:sz w:val="24"/>
        </w:rPr>
        <w:t>to</w:t>
      </w:r>
      <w:r>
        <w:rPr>
          <w:spacing w:val="-1"/>
          <w:sz w:val="24"/>
        </w:rPr>
        <w:t> </w:t>
      </w:r>
      <w:r>
        <w:rPr>
          <w:sz w:val="24"/>
        </w:rPr>
        <w:t>change</w:t>
      </w:r>
      <w:r>
        <w:rPr>
          <w:spacing w:val="-1"/>
          <w:sz w:val="24"/>
        </w:rPr>
        <w:t> </w:t>
      </w:r>
      <w:r>
        <w:rPr>
          <w:sz w:val="24"/>
        </w:rPr>
        <w:t>as</w:t>
      </w:r>
      <w:r>
        <w:rPr>
          <w:spacing w:val="-1"/>
          <w:sz w:val="24"/>
        </w:rPr>
        <w:t> </w:t>
      </w:r>
      <w:r>
        <w:rPr>
          <w:sz w:val="24"/>
        </w:rPr>
        <w:t>we</w:t>
      </w:r>
      <w:r>
        <w:rPr>
          <w:spacing w:val="-1"/>
          <w:sz w:val="24"/>
        </w:rPr>
        <w:t> </w:t>
      </w:r>
      <w:r>
        <w:rPr>
          <w:sz w:val="24"/>
        </w:rPr>
        <w:t>learn</w:t>
      </w:r>
      <w:r>
        <w:rPr>
          <w:spacing w:val="-1"/>
          <w:sz w:val="24"/>
        </w:rPr>
        <w:t> </w:t>
      </w:r>
      <w:r>
        <w:rPr>
          <w:sz w:val="24"/>
        </w:rPr>
        <w:t>more</w:t>
      </w:r>
      <w:r>
        <w:rPr>
          <w:spacing w:val="-1"/>
          <w:sz w:val="24"/>
        </w:rPr>
        <w:t> </w:t>
      </w:r>
      <w:r>
        <w:rPr>
          <w:sz w:val="24"/>
        </w:rPr>
        <w:t>about</w:t>
      </w:r>
      <w:r>
        <w:rPr>
          <w:spacing w:val="-1"/>
          <w:sz w:val="24"/>
        </w:rPr>
        <w:t> </w:t>
      </w:r>
      <w:r>
        <w:rPr>
          <w:sz w:val="24"/>
        </w:rPr>
        <w:t>the</w:t>
      </w:r>
      <w:r>
        <w:rPr>
          <w:spacing w:val="-1"/>
          <w:sz w:val="24"/>
        </w:rPr>
        <w:t> </w:t>
      </w:r>
      <w:r>
        <w:rPr>
          <w:sz w:val="24"/>
        </w:rPr>
        <w:t>COVID-19</w:t>
      </w:r>
      <w:r>
        <w:rPr>
          <w:spacing w:val="-1"/>
          <w:sz w:val="24"/>
        </w:rPr>
        <w:t> </w:t>
      </w:r>
      <w:r>
        <w:rPr>
          <w:sz w:val="24"/>
        </w:rPr>
        <w:t>disease</w:t>
      </w:r>
      <w:r>
        <w:rPr>
          <w:spacing w:val="-1"/>
          <w:sz w:val="24"/>
        </w:rPr>
        <w:t> </w:t>
      </w:r>
      <w:r>
        <w:rPr>
          <w:sz w:val="24"/>
        </w:rPr>
        <w:t>and</w:t>
      </w:r>
      <w:r>
        <w:rPr>
          <w:spacing w:val="-1"/>
          <w:sz w:val="24"/>
        </w:rPr>
        <w:t> </w:t>
      </w:r>
      <w:r>
        <w:rPr>
          <w:sz w:val="24"/>
        </w:rPr>
        <w:t>its</w:t>
      </w:r>
      <w:r>
        <w:rPr>
          <w:spacing w:val="-1"/>
          <w:sz w:val="24"/>
        </w:rPr>
        <w:t> </w:t>
      </w:r>
      <w:r>
        <w:rPr>
          <w:sz w:val="24"/>
        </w:rPr>
        <w:t>risk-benefit</w:t>
      </w:r>
      <w:r>
        <w:rPr>
          <w:spacing w:val="-1"/>
          <w:sz w:val="24"/>
        </w:rPr>
        <w:t> </w:t>
      </w:r>
      <w:r>
        <w:rPr>
          <w:sz w:val="24"/>
        </w:rPr>
        <w:t>profile.</w:t>
      </w:r>
    </w:p>
    <w:p>
      <w:pPr>
        <w:pStyle w:val="ListParagraph"/>
        <w:numPr>
          <w:ilvl w:val="0"/>
          <w:numId w:val="14"/>
        </w:numPr>
        <w:tabs>
          <w:tab w:pos="520" w:val="left" w:leader="none"/>
        </w:tabs>
        <w:spacing w:line="240" w:lineRule="auto" w:before="177" w:after="0"/>
        <w:ind w:left="520" w:right="497" w:hanging="360"/>
        <w:jc w:val="left"/>
        <w:rPr>
          <w:sz w:val="16"/>
        </w:rPr>
      </w:pPr>
      <w:r>
        <w:rPr>
          <w:sz w:val="24"/>
        </w:rPr>
        <w:t>Please</w:t>
      </w:r>
      <w:r>
        <w:rPr>
          <w:spacing w:val="-3"/>
          <w:sz w:val="24"/>
        </w:rPr>
        <w:t> </w:t>
      </w:r>
      <w:r>
        <w:rPr>
          <w:sz w:val="24"/>
        </w:rPr>
        <w:t>be</w:t>
      </w:r>
      <w:r>
        <w:rPr>
          <w:spacing w:val="-4"/>
          <w:sz w:val="24"/>
        </w:rPr>
        <w:t> </w:t>
      </w:r>
      <w:r>
        <w:rPr>
          <w:sz w:val="24"/>
        </w:rPr>
        <w:t>reminded</w:t>
      </w:r>
      <w:r>
        <w:rPr>
          <w:spacing w:val="-3"/>
          <w:sz w:val="24"/>
        </w:rPr>
        <w:t> </w:t>
      </w:r>
      <w:r>
        <w:rPr>
          <w:sz w:val="24"/>
        </w:rPr>
        <w:t>that</w:t>
      </w:r>
      <w:r>
        <w:rPr>
          <w:spacing w:val="-3"/>
          <w:sz w:val="24"/>
        </w:rPr>
        <w:t> </w:t>
      </w:r>
      <w:r>
        <w:rPr>
          <w:sz w:val="24"/>
        </w:rPr>
        <w:t>tests</w:t>
      </w:r>
      <w:r>
        <w:rPr>
          <w:spacing w:val="-3"/>
          <w:sz w:val="24"/>
        </w:rPr>
        <w:t> </w:t>
      </w:r>
      <w:r>
        <w:rPr>
          <w:sz w:val="24"/>
        </w:rPr>
        <w:t>for</w:t>
      </w:r>
      <w:r>
        <w:rPr>
          <w:spacing w:val="-4"/>
          <w:sz w:val="24"/>
        </w:rPr>
        <w:t> </w:t>
      </w:r>
      <w:r>
        <w:rPr>
          <w:sz w:val="24"/>
        </w:rPr>
        <w:t>the</w:t>
      </w:r>
      <w:r>
        <w:rPr>
          <w:spacing w:val="-4"/>
          <w:sz w:val="24"/>
        </w:rPr>
        <w:t> </w:t>
      </w:r>
      <w:r>
        <w:rPr>
          <w:sz w:val="24"/>
        </w:rPr>
        <w:t>detection</w:t>
      </w:r>
      <w:r>
        <w:rPr>
          <w:spacing w:val="-3"/>
          <w:sz w:val="24"/>
        </w:rPr>
        <w:t> </w:t>
      </w:r>
      <w:r>
        <w:rPr>
          <w:sz w:val="24"/>
        </w:rPr>
        <w:t>of</w:t>
      </w:r>
      <w:r>
        <w:rPr>
          <w:spacing w:val="-4"/>
          <w:sz w:val="24"/>
        </w:rPr>
        <w:t> </w:t>
      </w:r>
      <w:r>
        <w:rPr>
          <w:sz w:val="24"/>
        </w:rPr>
        <w:t>antibodies</w:t>
      </w:r>
      <w:r>
        <w:rPr>
          <w:spacing w:val="-3"/>
          <w:sz w:val="24"/>
        </w:rPr>
        <w:t> </w:t>
      </w:r>
      <w:r>
        <w:rPr>
          <w:sz w:val="24"/>
        </w:rPr>
        <w:t>against</w:t>
      </w:r>
      <w:r>
        <w:rPr>
          <w:spacing w:val="-3"/>
          <w:sz w:val="24"/>
        </w:rPr>
        <w:t> </w:t>
      </w:r>
      <w:r>
        <w:rPr>
          <w:sz w:val="24"/>
        </w:rPr>
        <w:t>SARS-CoV-2</w:t>
      </w:r>
      <w:r>
        <w:rPr>
          <w:spacing w:val="-2"/>
          <w:sz w:val="24"/>
        </w:rPr>
        <w:t> </w:t>
      </w:r>
      <w:r>
        <w:rPr>
          <w:sz w:val="24"/>
        </w:rPr>
        <w:t>must</w:t>
      </w:r>
      <w:r>
        <w:rPr>
          <w:spacing w:val="-3"/>
          <w:sz w:val="24"/>
        </w:rPr>
        <w:t> </w:t>
      </w:r>
      <w:r>
        <w:rPr>
          <w:sz w:val="24"/>
        </w:rPr>
        <w:t>not be distributed and/or used for clinical diagnoses</w:t>
      </w:r>
      <w:r>
        <w:rPr>
          <w:sz w:val="16"/>
        </w:rPr>
        <w:t>.</w:t>
      </w:r>
    </w:p>
    <w:p>
      <w:pPr>
        <w:pStyle w:val="BodyText"/>
        <w:spacing w:before="10"/>
        <w:rPr>
          <w:sz w:val="20"/>
        </w:rPr>
      </w:pPr>
    </w:p>
    <w:p>
      <w:pPr>
        <w:pStyle w:val="Heading4"/>
        <w:ind w:left="458" w:right="538" w:firstLine="0"/>
        <w:jc w:val="center"/>
      </w:pPr>
      <w:r>
        <w:rPr/>
        <w:t>EXAMPLE</w:t>
      </w:r>
      <w:r>
        <w:rPr>
          <w:spacing w:val="-4"/>
        </w:rPr>
        <w:t> </w:t>
      </w:r>
      <w:r>
        <w:rPr>
          <w:spacing w:val="-2"/>
        </w:rPr>
        <w:t>TEMPLATE</w:t>
      </w:r>
    </w:p>
    <w:p>
      <w:pPr>
        <w:pStyle w:val="BodyText"/>
        <w:spacing w:before="10"/>
        <w:rPr>
          <w:b/>
          <w:sz w:val="20"/>
        </w:rPr>
      </w:pPr>
    </w:p>
    <w:p>
      <w:pPr>
        <w:pStyle w:val="Heading4"/>
        <w:numPr>
          <w:ilvl w:val="0"/>
          <w:numId w:val="15"/>
        </w:numPr>
        <w:tabs>
          <w:tab w:pos="519" w:val="left" w:leader="none"/>
        </w:tabs>
        <w:spacing w:line="240" w:lineRule="auto" w:before="0" w:after="0"/>
        <w:ind w:left="519" w:right="0" w:hanging="359"/>
        <w:jc w:val="left"/>
      </w:pPr>
      <w:bookmarkStart w:name="A. PURPOSE OF SUBMISSION" w:id="101"/>
      <w:bookmarkEnd w:id="101"/>
      <w:r>
        <w:rPr>
          <w:b w:val="0"/>
        </w:rPr>
      </w:r>
      <w:r>
        <w:rPr/>
        <w:t>PURPOSE</w:t>
      </w:r>
      <w:r>
        <w:rPr>
          <w:spacing w:val="-3"/>
        </w:rPr>
        <w:t> </w:t>
      </w:r>
      <w:r>
        <w:rPr/>
        <w:t>OF</w:t>
      </w:r>
      <w:r>
        <w:rPr>
          <w:spacing w:val="-3"/>
        </w:rPr>
        <w:t> </w:t>
      </w:r>
      <w:r>
        <w:rPr>
          <w:spacing w:val="-2"/>
        </w:rPr>
        <w:t>SUBMISSION</w:t>
      </w:r>
    </w:p>
    <w:p>
      <w:pPr>
        <w:pStyle w:val="BodyText"/>
        <w:spacing w:before="120"/>
        <w:ind w:left="519" w:right="307"/>
      </w:pPr>
      <w:r>
        <w:rPr/>
        <w:t>Emergency Use Authorization (EUA) request for </w:t>
      </w:r>
      <w:r>
        <w:rPr>
          <w:rFonts w:ascii="TimesNewRomanPS-BoldItalicMT"/>
          <w:b/>
          <w:i/>
          <w:color w:val="000000"/>
          <w:shd w:fill="FFFF00" w:color="auto" w:val="clear"/>
        </w:rPr>
        <w:t>[test name]</w:t>
      </w:r>
      <w:r>
        <w:rPr>
          <w:rFonts w:ascii="TimesNewRomanPS-BoldItalicMT"/>
          <w:b/>
          <w:i/>
          <w:color w:val="000000"/>
        </w:rPr>
        <w:t> </w:t>
      </w:r>
      <w:r>
        <w:rPr>
          <w:color w:val="000000"/>
        </w:rPr>
        <w:t>to be performed for the detection of </w:t>
      </w:r>
      <w:r>
        <w:rPr>
          <w:rFonts w:ascii="TimesNewRomanPS-BoldItalicMT"/>
          <w:b/>
          <w:i/>
          <w:color w:val="000000"/>
          <w:shd w:fill="FFFF00" w:color="auto" w:val="clear"/>
        </w:rPr>
        <w:t>[specify types of antibodies e.g., IgG, IgG/IgM or total]</w:t>
      </w:r>
      <w:r>
        <w:rPr>
          <w:rFonts w:ascii="TimesNewRomanPS-BoldItalicMT"/>
          <w:b/>
          <w:i/>
          <w:color w:val="000000"/>
        </w:rPr>
        <w:t> </w:t>
      </w:r>
      <w:r>
        <w:rPr>
          <w:color w:val="000000"/>
        </w:rPr>
        <w:t>antibodies to SARS- CoV-2</w:t>
      </w:r>
      <w:r>
        <w:rPr>
          <w:color w:val="000000"/>
          <w:spacing w:val="-2"/>
        </w:rPr>
        <w:t> </w:t>
      </w:r>
      <w:r>
        <w:rPr>
          <w:color w:val="000000"/>
        </w:rPr>
        <w:t>in</w:t>
      </w:r>
      <w:r>
        <w:rPr>
          <w:color w:val="000000"/>
          <w:spacing w:val="-2"/>
        </w:rPr>
        <w:t> </w:t>
      </w:r>
      <w:r>
        <w:rPr>
          <w:rFonts w:ascii="TimesNewRomanPS-BoldItalicMT"/>
          <w:b/>
          <w:i/>
          <w:color w:val="000000"/>
          <w:shd w:fill="FFFF00" w:color="auto" w:val="clear"/>
        </w:rPr>
        <w:t>[specify</w:t>
      </w:r>
      <w:r>
        <w:rPr>
          <w:rFonts w:ascii="TimesNewRomanPS-BoldItalicMT"/>
          <w:b/>
          <w:i/>
          <w:color w:val="000000"/>
          <w:spacing w:val="-2"/>
          <w:shd w:fill="FFFF00" w:color="auto" w:val="clear"/>
        </w:rPr>
        <w:t> </w:t>
      </w:r>
      <w:r>
        <w:rPr>
          <w:rFonts w:ascii="TimesNewRomanPS-BoldItalicMT"/>
          <w:b/>
          <w:i/>
          <w:color w:val="000000"/>
          <w:shd w:fill="FFFF00" w:color="auto" w:val="clear"/>
        </w:rPr>
        <w:t>matrices]</w:t>
      </w:r>
      <w:r>
        <w:rPr>
          <w:rFonts w:ascii="TimesNewRomanPS-BoldItalicMT"/>
          <w:b/>
          <w:i/>
          <w:color w:val="000000"/>
          <w:spacing w:val="-2"/>
        </w:rPr>
        <w:t> </w:t>
      </w:r>
      <w:r>
        <w:rPr>
          <w:color w:val="000000"/>
        </w:rPr>
        <w:t>from</w:t>
      </w:r>
      <w:r>
        <w:rPr>
          <w:color w:val="000000"/>
          <w:spacing w:val="-4"/>
        </w:rPr>
        <w:t> </w:t>
      </w:r>
      <w:r>
        <w:rPr>
          <w:color w:val="000000"/>
        </w:rPr>
        <w:t>individuals</w:t>
      </w:r>
      <w:r>
        <w:rPr>
          <w:color w:val="000000"/>
          <w:spacing w:val="-2"/>
        </w:rPr>
        <w:t> </w:t>
      </w:r>
      <w:r>
        <w:rPr>
          <w:color w:val="000000"/>
        </w:rPr>
        <w:t>with</w:t>
      </w:r>
      <w:r>
        <w:rPr>
          <w:color w:val="000000"/>
          <w:spacing w:val="-2"/>
        </w:rPr>
        <w:t> </w:t>
      </w:r>
      <w:r>
        <w:rPr>
          <w:color w:val="000000"/>
        </w:rPr>
        <w:t>current</w:t>
      </w:r>
      <w:r>
        <w:rPr>
          <w:color w:val="000000"/>
          <w:spacing w:val="-2"/>
        </w:rPr>
        <w:t> </w:t>
      </w:r>
      <w:r>
        <w:rPr>
          <w:color w:val="000000"/>
        </w:rPr>
        <w:t>or</w:t>
      </w:r>
      <w:r>
        <w:rPr>
          <w:color w:val="000000"/>
          <w:spacing w:val="-3"/>
        </w:rPr>
        <w:t> </w:t>
      </w:r>
      <w:r>
        <w:rPr>
          <w:color w:val="000000"/>
        </w:rPr>
        <w:t>prior</w:t>
      </w:r>
      <w:r>
        <w:rPr>
          <w:color w:val="000000"/>
          <w:spacing w:val="-2"/>
        </w:rPr>
        <w:t> </w:t>
      </w:r>
      <w:r>
        <w:rPr>
          <w:color w:val="000000"/>
        </w:rPr>
        <w:t>COVID-19</w:t>
      </w:r>
      <w:r>
        <w:rPr>
          <w:color w:val="000000"/>
          <w:spacing w:val="-2"/>
        </w:rPr>
        <w:t> </w:t>
      </w:r>
      <w:r>
        <w:rPr>
          <w:color w:val="000000"/>
        </w:rPr>
        <w:t>infection.</w:t>
      </w:r>
      <w:r>
        <w:rPr>
          <w:color w:val="000000"/>
          <w:spacing w:val="-2"/>
        </w:rPr>
        <w:t> </w:t>
      </w:r>
      <w:r>
        <w:rPr>
          <w:color w:val="000000"/>
        </w:rPr>
        <w:t>The test</w:t>
      </w:r>
      <w:r>
        <w:rPr>
          <w:color w:val="000000"/>
          <w:spacing w:val="-4"/>
        </w:rPr>
        <w:t> </w:t>
      </w:r>
      <w:r>
        <w:rPr>
          <w:color w:val="000000"/>
        </w:rPr>
        <w:t>will</w:t>
      </w:r>
      <w:r>
        <w:rPr>
          <w:color w:val="000000"/>
          <w:spacing w:val="-4"/>
        </w:rPr>
        <w:t> </w:t>
      </w:r>
      <w:r>
        <w:rPr>
          <w:color w:val="000000"/>
        </w:rPr>
        <w:t>be</w:t>
      </w:r>
      <w:r>
        <w:rPr>
          <w:color w:val="000000"/>
          <w:spacing w:val="-5"/>
        </w:rPr>
        <w:t> </w:t>
      </w:r>
      <w:r>
        <w:rPr>
          <w:color w:val="000000"/>
        </w:rPr>
        <w:t>performed</w:t>
      </w:r>
      <w:r>
        <w:rPr>
          <w:color w:val="000000"/>
          <w:spacing w:val="-4"/>
        </w:rPr>
        <w:t> </w:t>
      </w:r>
      <w:r>
        <w:rPr>
          <w:color w:val="000000"/>
        </w:rPr>
        <w:t>in</w:t>
      </w:r>
      <w:r>
        <w:rPr>
          <w:color w:val="000000"/>
          <w:spacing w:val="-4"/>
        </w:rPr>
        <w:t> </w:t>
      </w:r>
      <w:r>
        <w:rPr>
          <w:color w:val="000000"/>
        </w:rPr>
        <w:t>CLIA</w:t>
      </w:r>
      <w:r>
        <w:rPr>
          <w:color w:val="000000"/>
          <w:spacing w:val="-5"/>
        </w:rPr>
        <w:t> </w:t>
      </w:r>
      <w:r>
        <w:rPr>
          <w:color w:val="000000"/>
        </w:rPr>
        <w:t>certified</w:t>
      </w:r>
      <w:r>
        <w:rPr>
          <w:color w:val="000000"/>
          <w:spacing w:val="-4"/>
        </w:rPr>
        <w:t> </w:t>
      </w:r>
      <w:r>
        <w:rPr>
          <w:color w:val="000000"/>
        </w:rPr>
        <w:t>high-complexity</w:t>
      </w:r>
      <w:r>
        <w:rPr>
          <w:color w:val="000000"/>
          <w:spacing w:val="-4"/>
        </w:rPr>
        <w:t> </w:t>
      </w:r>
      <w:r>
        <w:rPr>
          <w:color w:val="000000"/>
        </w:rPr>
        <w:t>laboratories.</w:t>
      </w:r>
      <w:r>
        <w:rPr>
          <w:color w:val="000000"/>
          <w:spacing w:val="-4"/>
        </w:rPr>
        <w:t> </w:t>
      </w:r>
      <w:r>
        <w:rPr>
          <w:color w:val="000000"/>
        </w:rPr>
        <w:t>Additional</w:t>
      </w:r>
      <w:r>
        <w:rPr>
          <w:color w:val="000000"/>
          <w:spacing w:val="-4"/>
        </w:rPr>
        <w:t> </w:t>
      </w:r>
      <w:r>
        <w:rPr>
          <w:color w:val="000000"/>
        </w:rPr>
        <w:t>testing</w:t>
      </w:r>
      <w:r>
        <w:rPr>
          <w:color w:val="000000"/>
          <w:spacing w:val="-4"/>
        </w:rPr>
        <w:t> </w:t>
      </w:r>
      <w:r>
        <w:rPr>
          <w:color w:val="000000"/>
        </w:rPr>
        <w:t>and confirmation</w:t>
      </w:r>
      <w:r>
        <w:rPr>
          <w:color w:val="000000"/>
          <w:spacing w:val="-4"/>
        </w:rPr>
        <w:t> </w:t>
      </w:r>
      <w:r>
        <w:rPr>
          <w:color w:val="000000"/>
        </w:rPr>
        <w:t>procedures</w:t>
      </w:r>
      <w:r>
        <w:rPr>
          <w:color w:val="000000"/>
          <w:spacing w:val="-1"/>
        </w:rPr>
        <w:t> </w:t>
      </w:r>
      <w:r>
        <w:rPr>
          <w:color w:val="000000"/>
        </w:rPr>
        <w:t>should</w:t>
      </w:r>
      <w:r>
        <w:rPr>
          <w:color w:val="000000"/>
          <w:spacing w:val="-2"/>
        </w:rPr>
        <w:t> </w:t>
      </w:r>
      <w:r>
        <w:rPr>
          <w:color w:val="000000"/>
        </w:rPr>
        <w:t>be</w:t>
      </w:r>
      <w:r>
        <w:rPr>
          <w:color w:val="000000"/>
          <w:spacing w:val="-2"/>
        </w:rPr>
        <w:t> </w:t>
      </w:r>
      <w:r>
        <w:rPr>
          <w:color w:val="000000"/>
        </w:rPr>
        <w:t>performed</w:t>
      </w:r>
      <w:r>
        <w:rPr>
          <w:color w:val="000000"/>
          <w:spacing w:val="-1"/>
        </w:rPr>
        <w:t> </w:t>
      </w:r>
      <w:r>
        <w:rPr>
          <w:color w:val="000000"/>
        </w:rPr>
        <w:t>in</w:t>
      </w:r>
      <w:r>
        <w:rPr>
          <w:color w:val="000000"/>
          <w:spacing w:val="-2"/>
        </w:rPr>
        <w:t> </w:t>
      </w:r>
      <w:r>
        <w:rPr>
          <w:color w:val="000000"/>
        </w:rPr>
        <w:t>consultation</w:t>
      </w:r>
      <w:r>
        <w:rPr>
          <w:color w:val="000000"/>
          <w:spacing w:val="-1"/>
        </w:rPr>
        <w:t> </w:t>
      </w:r>
      <w:r>
        <w:rPr>
          <w:color w:val="000000"/>
        </w:rPr>
        <w:t>with</w:t>
      </w:r>
      <w:r>
        <w:rPr>
          <w:color w:val="000000"/>
          <w:spacing w:val="-1"/>
        </w:rPr>
        <w:t> </w:t>
      </w:r>
      <w:r>
        <w:rPr>
          <w:color w:val="000000"/>
        </w:rPr>
        <w:t>public</w:t>
      </w:r>
      <w:r>
        <w:rPr>
          <w:color w:val="000000"/>
          <w:spacing w:val="-2"/>
        </w:rPr>
        <w:t> </w:t>
      </w:r>
      <w:r>
        <w:rPr>
          <w:color w:val="000000"/>
        </w:rPr>
        <w:t>health</w:t>
      </w:r>
      <w:r>
        <w:rPr>
          <w:color w:val="000000"/>
          <w:spacing w:val="-1"/>
        </w:rPr>
        <w:t> </w:t>
      </w:r>
      <w:r>
        <w:rPr>
          <w:color w:val="000000"/>
        </w:rPr>
        <w:t>and/or</w:t>
      </w:r>
      <w:r>
        <w:rPr>
          <w:color w:val="000000"/>
          <w:spacing w:val="-1"/>
        </w:rPr>
        <w:t> </w:t>
      </w:r>
      <w:r>
        <w:rPr>
          <w:color w:val="000000"/>
          <w:spacing w:val="-2"/>
        </w:rPr>
        <w:t>other</w:t>
      </w:r>
    </w:p>
    <w:p>
      <w:pPr>
        <w:pStyle w:val="BodyText"/>
        <w:spacing w:line="247" w:lineRule="auto" w:before="35"/>
        <w:ind w:left="519" w:right="278"/>
      </w:pPr>
      <w:r>
        <w:rPr/>
        <w:t>authorities</w:t>
      </w:r>
      <w:r>
        <w:rPr>
          <w:spacing w:val="-3"/>
        </w:rPr>
        <w:t> </w:t>
      </w:r>
      <w:r>
        <w:rPr/>
        <w:t>to</w:t>
      </w:r>
      <w:r>
        <w:rPr>
          <w:spacing w:val="-3"/>
        </w:rPr>
        <w:t> </w:t>
      </w:r>
      <w:r>
        <w:rPr/>
        <w:t>whom</w:t>
      </w:r>
      <w:r>
        <w:rPr>
          <w:spacing w:val="-5"/>
        </w:rPr>
        <w:t> </w:t>
      </w:r>
      <w:r>
        <w:rPr/>
        <w:t>reporting</w:t>
      </w:r>
      <w:r>
        <w:rPr>
          <w:spacing w:val="-5"/>
        </w:rPr>
        <w:t> </w:t>
      </w:r>
      <w:r>
        <w:rPr/>
        <w:t>is</w:t>
      </w:r>
      <w:r>
        <w:rPr>
          <w:spacing w:val="-3"/>
        </w:rPr>
        <w:t> </w:t>
      </w:r>
      <w:r>
        <w:rPr/>
        <w:t>required.</w:t>
      </w:r>
      <w:r>
        <w:rPr>
          <w:spacing w:val="40"/>
        </w:rPr>
        <w:t> </w:t>
      </w:r>
      <w:r>
        <w:rPr/>
        <w:t>Positive</w:t>
      </w:r>
      <w:r>
        <w:rPr>
          <w:spacing w:val="-3"/>
        </w:rPr>
        <w:t> </w:t>
      </w:r>
      <w:r>
        <w:rPr/>
        <w:t>results</w:t>
      </w:r>
      <w:r>
        <w:rPr>
          <w:spacing w:val="-3"/>
        </w:rPr>
        <w:t> </w:t>
      </w:r>
      <w:r>
        <w:rPr/>
        <w:t>should</w:t>
      </w:r>
      <w:r>
        <w:rPr>
          <w:spacing w:val="-3"/>
        </w:rPr>
        <w:t> </w:t>
      </w:r>
      <w:r>
        <w:rPr/>
        <w:t>also</w:t>
      </w:r>
      <w:r>
        <w:rPr>
          <w:spacing w:val="-3"/>
        </w:rPr>
        <w:t> </w:t>
      </w:r>
      <w:r>
        <w:rPr/>
        <w:t>be</w:t>
      </w:r>
      <w:r>
        <w:rPr>
          <w:spacing w:val="-4"/>
        </w:rPr>
        <w:t> </w:t>
      </w:r>
      <w:r>
        <w:rPr/>
        <w:t>reported</w:t>
      </w:r>
      <w:r>
        <w:rPr>
          <w:spacing w:val="-3"/>
        </w:rPr>
        <w:t> </w:t>
      </w:r>
      <w:r>
        <w:rPr/>
        <w:t>in </w:t>
      </w:r>
      <w:bookmarkStart w:name="B. MEASURAND" w:id="102"/>
      <w:bookmarkEnd w:id="102"/>
      <w:r>
        <w:rPr/>
        <w:t>accorda</w:t>
      </w:r>
      <w:r>
        <w:rPr/>
        <w:t>nce with local, state, and federal regulations.</w:t>
      </w:r>
    </w:p>
    <w:p>
      <w:pPr>
        <w:pStyle w:val="Heading4"/>
        <w:numPr>
          <w:ilvl w:val="0"/>
          <w:numId w:val="15"/>
        </w:numPr>
        <w:tabs>
          <w:tab w:pos="519" w:val="left" w:leader="none"/>
        </w:tabs>
        <w:spacing w:line="240" w:lineRule="auto" w:before="232" w:after="0"/>
        <w:ind w:left="519" w:right="0" w:hanging="359"/>
        <w:jc w:val="left"/>
      </w:pPr>
      <w:r>
        <w:rPr>
          <w:spacing w:val="-2"/>
        </w:rPr>
        <w:t>MEASURAND</w:t>
      </w:r>
    </w:p>
    <w:p>
      <w:pPr>
        <w:pStyle w:val="Heading6"/>
        <w:spacing w:before="120"/>
        <w:ind w:left="520" w:right="303"/>
      </w:pPr>
      <w:r>
        <w:rPr>
          <w:color w:val="000000"/>
          <w:shd w:fill="FFFF00" w:color="auto" w:val="clear"/>
        </w:rPr>
        <w:t>[Specify</w:t>
      </w:r>
      <w:r>
        <w:rPr>
          <w:color w:val="000000"/>
          <w:spacing w:val="-3"/>
          <w:shd w:fill="FFFF00" w:color="auto" w:val="clear"/>
        </w:rPr>
        <w:t> </w:t>
      </w:r>
      <w:r>
        <w:rPr>
          <w:color w:val="000000"/>
          <w:shd w:fill="FFFF00" w:color="auto" w:val="clear"/>
        </w:rPr>
        <w:t>what</w:t>
      </w:r>
      <w:r>
        <w:rPr>
          <w:color w:val="000000"/>
          <w:spacing w:val="-3"/>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test</w:t>
      </w:r>
      <w:r>
        <w:rPr>
          <w:color w:val="000000"/>
          <w:spacing w:val="-3"/>
          <w:shd w:fill="FFFF00" w:color="auto" w:val="clear"/>
        </w:rPr>
        <w:t> </w:t>
      </w:r>
      <w:r>
        <w:rPr>
          <w:color w:val="000000"/>
          <w:shd w:fill="FFFF00" w:color="auto" w:val="clear"/>
        </w:rPr>
        <w:t>detects</w:t>
      </w:r>
      <w:r>
        <w:rPr>
          <w:color w:val="000000"/>
          <w:spacing w:val="-3"/>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whether</w:t>
      </w:r>
      <w:r>
        <w:rPr>
          <w:color w:val="000000"/>
          <w:spacing w:val="-3"/>
          <w:shd w:fill="FFFF00" w:color="auto" w:val="clear"/>
        </w:rPr>
        <w:t> </w:t>
      </w:r>
      <w:r>
        <w:rPr>
          <w:color w:val="000000"/>
          <w:shd w:fill="FFFF00" w:color="auto" w:val="clear"/>
        </w:rPr>
        <w:t>it</w:t>
      </w:r>
      <w:r>
        <w:rPr>
          <w:color w:val="000000"/>
          <w:spacing w:val="-4"/>
          <w:shd w:fill="FFFF00" w:color="auto" w:val="clear"/>
        </w:rPr>
        <w:t> </w:t>
      </w:r>
      <w:r>
        <w:rPr>
          <w:color w:val="000000"/>
          <w:shd w:fill="FFFF00" w:color="auto" w:val="clear"/>
        </w:rPr>
        <w:t>can</w:t>
      </w:r>
      <w:r>
        <w:rPr>
          <w:color w:val="000000"/>
          <w:spacing w:val="-4"/>
          <w:shd w:fill="FFFF00" w:color="auto" w:val="clear"/>
        </w:rPr>
        <w:t> </w:t>
      </w:r>
      <w:r>
        <w:rPr>
          <w:color w:val="000000"/>
          <w:shd w:fill="FFFF00" w:color="auto" w:val="clear"/>
        </w:rPr>
        <w:t>differentiate</w:t>
      </w:r>
      <w:r>
        <w:rPr>
          <w:color w:val="000000"/>
          <w:spacing w:val="-3"/>
          <w:shd w:fill="FFFF00" w:color="auto" w:val="clear"/>
        </w:rPr>
        <w:t> </w:t>
      </w:r>
      <w:r>
        <w:rPr>
          <w:color w:val="000000"/>
          <w:shd w:fill="FFFF00" w:color="auto" w:val="clear"/>
        </w:rPr>
        <w:t>between</w:t>
      </w:r>
      <w:r>
        <w:rPr>
          <w:color w:val="000000"/>
          <w:spacing w:val="-5"/>
          <w:shd w:fill="FFFF00" w:color="auto" w:val="clear"/>
        </w:rPr>
        <w:t> </w:t>
      </w:r>
      <w:r>
        <w:rPr>
          <w:color w:val="000000"/>
          <w:shd w:fill="FFFF00" w:color="auto" w:val="clear"/>
        </w:rPr>
        <w:t>IgM</w:t>
      </w:r>
      <w:r>
        <w:rPr>
          <w:color w:val="000000"/>
          <w:spacing w:val="-3"/>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IgG</w:t>
      </w:r>
      <w:r>
        <w:rPr>
          <w:color w:val="000000"/>
          <w:spacing w:val="-4"/>
          <w:shd w:fill="FFFF00" w:color="auto" w:val="clear"/>
        </w:rPr>
        <w:t> </w:t>
      </w:r>
      <w:r>
        <w:rPr>
          <w:color w:val="000000"/>
          <w:shd w:fill="FFFF00" w:color="auto" w:val="clear"/>
        </w:rPr>
        <w:t>or</w:t>
      </w:r>
      <w:r>
        <w:rPr>
          <w:color w:val="000000"/>
          <w:spacing w:val="-3"/>
          <w:shd w:fill="FFFF00" w:color="auto" w:val="clear"/>
        </w:rPr>
        <w:t> </w:t>
      </w:r>
      <w:r>
        <w:rPr>
          <w:color w:val="000000"/>
          <w:shd w:fill="FFFF00" w:color="auto" w:val="clear"/>
        </w:rPr>
        <w:t>if</w:t>
      </w:r>
      <w:r>
        <w:rPr>
          <w:color w:val="000000"/>
        </w:rPr>
        <w:t> </w:t>
      </w:r>
      <w:r>
        <w:rPr>
          <w:color w:val="000000"/>
          <w:shd w:fill="FFFF00" w:color="auto" w:val="clear"/>
        </w:rPr>
        <w:t>the test detects total antibody without differentiation]</w:t>
      </w:r>
    </w:p>
    <w:p>
      <w:pPr>
        <w:spacing w:after="0"/>
        <w:sectPr>
          <w:pgSz w:w="12240" w:h="15840"/>
          <w:pgMar w:header="731" w:footer="785" w:top="1360" w:bottom="980" w:left="1280" w:right="1200"/>
        </w:sectPr>
      </w:pPr>
    </w:p>
    <w:p>
      <w:pPr>
        <w:pStyle w:val="Heading4"/>
        <w:numPr>
          <w:ilvl w:val="0"/>
          <w:numId w:val="15"/>
        </w:numPr>
        <w:tabs>
          <w:tab w:pos="519" w:val="left" w:leader="none"/>
        </w:tabs>
        <w:spacing w:line="240" w:lineRule="auto" w:before="80" w:after="0"/>
        <w:ind w:left="519" w:right="0" w:hanging="359"/>
        <w:jc w:val="left"/>
      </w:pPr>
      <w:bookmarkStart w:name="C. LABORATORY/SPONSOR" w:id="103"/>
      <w:bookmarkEnd w:id="103"/>
      <w:r>
        <w:rPr>
          <w:b w:val="0"/>
        </w:rPr>
      </w:r>
      <w:r>
        <w:rPr>
          <w:spacing w:val="-2"/>
        </w:rPr>
        <w:t>LABORATORY/SPONSOR</w:t>
      </w:r>
    </w:p>
    <w:p>
      <w:pPr>
        <w:pStyle w:val="Heading6"/>
        <w:spacing w:before="120"/>
        <w:ind w:left="520"/>
      </w:pPr>
      <w:r>
        <w:rPr>
          <w:color w:val="000000"/>
          <w:shd w:fill="FFFF00" w:color="auto" w:val="clear"/>
        </w:rPr>
        <w:t>[Include</w:t>
      </w:r>
      <w:r>
        <w:rPr>
          <w:color w:val="000000"/>
          <w:spacing w:val="-3"/>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following</w:t>
      </w:r>
      <w:r>
        <w:rPr>
          <w:color w:val="000000"/>
          <w:spacing w:val="-5"/>
          <w:shd w:fill="FFFF00" w:color="auto" w:val="clear"/>
        </w:rPr>
        <w:t> </w:t>
      </w:r>
      <w:r>
        <w:rPr>
          <w:color w:val="000000"/>
          <w:shd w:fill="FFFF00" w:color="auto" w:val="clear"/>
        </w:rPr>
        <w:t>information:</w:t>
      </w:r>
      <w:r>
        <w:rPr>
          <w:color w:val="000000"/>
          <w:spacing w:val="40"/>
          <w:shd w:fill="FFFF00" w:color="auto" w:val="clear"/>
        </w:rPr>
        <w:t> </w:t>
      </w:r>
      <w:r>
        <w:rPr>
          <w:color w:val="000000"/>
          <w:shd w:fill="FFFF00" w:color="auto" w:val="clear"/>
        </w:rPr>
        <w:t>Official</w:t>
      </w:r>
      <w:r>
        <w:rPr>
          <w:color w:val="000000"/>
          <w:spacing w:val="-3"/>
          <w:shd w:fill="FFFF00" w:color="auto" w:val="clear"/>
        </w:rPr>
        <w:t> </w:t>
      </w:r>
      <w:r>
        <w:rPr>
          <w:color w:val="000000"/>
          <w:shd w:fill="FFFF00" w:color="auto" w:val="clear"/>
        </w:rPr>
        <w:t>name,</w:t>
      </w:r>
      <w:r>
        <w:rPr>
          <w:color w:val="000000"/>
          <w:spacing w:val="-4"/>
          <w:shd w:fill="FFFF00" w:color="auto" w:val="clear"/>
        </w:rPr>
        <w:t> </w:t>
      </w:r>
      <w:r>
        <w:rPr>
          <w:color w:val="000000"/>
          <w:shd w:fill="FFFF00" w:color="auto" w:val="clear"/>
        </w:rPr>
        <w:t>address</w:t>
      </w:r>
      <w:r>
        <w:rPr>
          <w:color w:val="000000"/>
          <w:spacing w:val="-4"/>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contact</w:t>
      </w:r>
      <w:r>
        <w:rPr>
          <w:color w:val="000000"/>
          <w:spacing w:val="-4"/>
          <w:shd w:fill="FFFF00" w:color="auto" w:val="clear"/>
        </w:rPr>
        <w:t> </w:t>
      </w:r>
      <w:r>
        <w:rPr>
          <w:color w:val="000000"/>
          <w:shd w:fill="FFFF00" w:color="auto" w:val="clear"/>
        </w:rPr>
        <w:t>information</w:t>
      </w:r>
      <w:r>
        <w:rPr>
          <w:color w:val="000000"/>
          <w:spacing w:val="-5"/>
          <w:shd w:fill="FFFF00" w:color="auto" w:val="clear"/>
        </w:rPr>
        <w:t> </w:t>
      </w:r>
      <w:r>
        <w:rPr>
          <w:color w:val="000000"/>
          <w:shd w:fill="FFFF00" w:color="auto" w:val="clear"/>
        </w:rPr>
        <w:t>of</w:t>
      </w:r>
      <w:r>
        <w:rPr>
          <w:color w:val="000000"/>
        </w:rPr>
        <w:t> </w:t>
      </w:r>
      <w:bookmarkStart w:name="D. REGULATORY INFORMATION" w:id="104"/>
      <w:bookmarkEnd w:id="104"/>
      <w:r>
        <w:rPr>
          <w:color w:val="000000"/>
        </w:rPr>
      </w:r>
      <w:r>
        <w:rPr>
          <w:color w:val="000000"/>
          <w:shd w:fill="FFFF00" w:color="auto" w:val="clear"/>
        </w:rPr>
        <w:t>applicant and all locations where specimen testing will be performed]</w:t>
      </w:r>
    </w:p>
    <w:p>
      <w:pPr>
        <w:pStyle w:val="BodyText"/>
        <w:spacing w:before="9"/>
        <w:rPr>
          <w:rFonts w:ascii="TimesNewRomanPS-BoldItalicMT"/>
          <w:b/>
          <w:i/>
          <w:sz w:val="20"/>
        </w:rPr>
      </w:pPr>
    </w:p>
    <w:p>
      <w:pPr>
        <w:pStyle w:val="Heading4"/>
        <w:numPr>
          <w:ilvl w:val="0"/>
          <w:numId w:val="15"/>
        </w:numPr>
        <w:tabs>
          <w:tab w:pos="519" w:val="left" w:leader="none"/>
        </w:tabs>
        <w:spacing w:line="240" w:lineRule="auto" w:before="1" w:after="0"/>
        <w:ind w:left="519" w:right="0" w:hanging="359"/>
        <w:jc w:val="left"/>
      </w:pPr>
      <w:r>
        <w:rPr/>
        <w:t>REGULATORY</w:t>
      </w:r>
      <w:r>
        <w:rPr>
          <w:spacing w:val="-6"/>
        </w:rPr>
        <w:t> </w:t>
      </w:r>
      <w:r>
        <w:rPr>
          <w:spacing w:val="-2"/>
        </w:rPr>
        <w:t>INFORMATION</w:t>
      </w:r>
    </w:p>
    <w:p>
      <w:pPr>
        <w:pStyle w:val="Heading5"/>
        <w:spacing w:before="120"/>
        <w:ind w:left="520"/>
      </w:pPr>
      <w:bookmarkStart w:name="D. Approval/Clearance Status:" w:id="105"/>
      <w:bookmarkEnd w:id="105"/>
      <w:r>
        <w:rPr>
          <w:b w:val="0"/>
        </w:rPr>
      </w:r>
      <w:r>
        <w:rPr/>
        <w:t>D.</w:t>
      </w:r>
      <w:r>
        <w:rPr>
          <w:spacing w:val="62"/>
        </w:rPr>
        <w:t> </w:t>
      </w:r>
      <w:r>
        <w:rPr/>
        <w:t>Approval/Clearance</w:t>
      </w:r>
      <w:r>
        <w:rPr>
          <w:spacing w:val="-1"/>
        </w:rPr>
        <w:t> </w:t>
      </w:r>
      <w:r>
        <w:rPr>
          <w:spacing w:val="-2"/>
        </w:rPr>
        <w:t>Status:</w:t>
      </w:r>
    </w:p>
    <w:p>
      <w:pPr>
        <w:pStyle w:val="BodyText"/>
        <w:ind w:left="520" w:right="278"/>
      </w:pPr>
      <w:r>
        <w:rPr/>
        <w:t>The</w:t>
      </w:r>
      <w:r>
        <w:rPr>
          <w:spacing w:val="-3"/>
        </w:rPr>
        <w:t> </w:t>
      </w:r>
      <w:r>
        <w:rPr>
          <w:rFonts w:ascii="TimesNewRomanPS-BoldItalicMT"/>
          <w:b/>
          <w:i/>
          <w:color w:val="000000"/>
          <w:shd w:fill="FFFF00" w:color="auto" w:val="clear"/>
        </w:rPr>
        <w:t>[test</w:t>
      </w:r>
      <w:r>
        <w:rPr>
          <w:rFonts w:ascii="TimesNewRomanPS-BoldItalicMT"/>
          <w:b/>
          <w:i/>
          <w:color w:val="000000"/>
          <w:spacing w:val="-3"/>
          <w:shd w:fill="FFFF00" w:color="auto" w:val="clear"/>
        </w:rPr>
        <w:t> </w:t>
      </w:r>
      <w:r>
        <w:rPr>
          <w:rFonts w:ascii="TimesNewRomanPS-BoldItalicMT"/>
          <w:b/>
          <w:i/>
          <w:color w:val="000000"/>
          <w:shd w:fill="FFFF00" w:color="auto" w:val="clear"/>
        </w:rPr>
        <w:t>name]</w:t>
      </w:r>
      <w:r>
        <w:rPr>
          <w:rFonts w:ascii="TimesNewRomanPS-BoldItalicMT"/>
          <w:b/>
          <w:i/>
          <w:color w:val="000000"/>
          <w:spacing w:val="-4"/>
        </w:rPr>
        <w:t> </w:t>
      </w:r>
      <w:r>
        <w:rPr>
          <w:color w:val="000000"/>
        </w:rPr>
        <w:t>is</w:t>
      </w:r>
      <w:r>
        <w:rPr>
          <w:color w:val="000000"/>
          <w:spacing w:val="-3"/>
        </w:rPr>
        <w:t> </w:t>
      </w:r>
      <w:r>
        <w:rPr>
          <w:color w:val="000000"/>
        </w:rPr>
        <w:t>not</w:t>
      </w:r>
      <w:r>
        <w:rPr>
          <w:color w:val="000000"/>
          <w:spacing w:val="-3"/>
        </w:rPr>
        <w:t> </w:t>
      </w:r>
      <w:r>
        <w:rPr>
          <w:color w:val="000000"/>
        </w:rPr>
        <w:t>cleared,</w:t>
      </w:r>
      <w:r>
        <w:rPr>
          <w:color w:val="000000"/>
          <w:spacing w:val="-3"/>
        </w:rPr>
        <w:t> </w:t>
      </w:r>
      <w:r>
        <w:rPr>
          <w:color w:val="000000"/>
        </w:rPr>
        <w:t>CLIA</w:t>
      </w:r>
      <w:r>
        <w:rPr>
          <w:color w:val="000000"/>
          <w:spacing w:val="-5"/>
        </w:rPr>
        <w:t> </w:t>
      </w:r>
      <w:r>
        <w:rPr>
          <w:color w:val="000000"/>
        </w:rPr>
        <w:t>waived,</w:t>
      </w:r>
      <w:r>
        <w:rPr>
          <w:color w:val="000000"/>
          <w:spacing w:val="-3"/>
        </w:rPr>
        <w:t> </w:t>
      </w:r>
      <w:r>
        <w:rPr>
          <w:color w:val="000000"/>
        </w:rPr>
        <w:t>approved,</w:t>
      </w:r>
      <w:r>
        <w:rPr>
          <w:color w:val="000000"/>
          <w:spacing w:val="-3"/>
        </w:rPr>
        <w:t> </w:t>
      </w:r>
      <w:r>
        <w:rPr>
          <w:color w:val="000000"/>
        </w:rPr>
        <w:t>or</w:t>
      </w:r>
      <w:r>
        <w:rPr>
          <w:color w:val="000000"/>
          <w:spacing w:val="-3"/>
        </w:rPr>
        <w:t> </w:t>
      </w:r>
      <w:r>
        <w:rPr>
          <w:color w:val="000000"/>
        </w:rPr>
        <w:t>subject</w:t>
      </w:r>
      <w:r>
        <w:rPr>
          <w:color w:val="000000"/>
          <w:spacing w:val="-4"/>
        </w:rPr>
        <w:t> </w:t>
      </w:r>
      <w:r>
        <w:rPr>
          <w:color w:val="000000"/>
        </w:rPr>
        <w:t>to</w:t>
      </w:r>
      <w:r>
        <w:rPr>
          <w:color w:val="000000"/>
          <w:spacing w:val="-3"/>
        </w:rPr>
        <w:t> </w:t>
      </w:r>
      <w:r>
        <w:rPr>
          <w:color w:val="000000"/>
        </w:rPr>
        <w:t>an</w:t>
      </w:r>
      <w:r>
        <w:rPr>
          <w:color w:val="000000"/>
          <w:spacing w:val="-3"/>
        </w:rPr>
        <w:t> </w:t>
      </w:r>
      <w:r>
        <w:rPr>
          <w:color w:val="000000"/>
        </w:rPr>
        <w:t>approved investigational device exemption.</w:t>
      </w:r>
    </w:p>
    <w:p>
      <w:pPr>
        <w:pStyle w:val="BodyText"/>
        <w:spacing w:before="10"/>
        <w:rPr>
          <w:sz w:val="20"/>
        </w:rPr>
      </w:pPr>
    </w:p>
    <w:p>
      <w:pPr>
        <w:pStyle w:val="Heading4"/>
        <w:numPr>
          <w:ilvl w:val="0"/>
          <w:numId w:val="15"/>
        </w:numPr>
        <w:tabs>
          <w:tab w:pos="519" w:val="left" w:leader="none"/>
        </w:tabs>
        <w:spacing w:line="240" w:lineRule="auto" w:before="0" w:after="0"/>
        <w:ind w:left="519" w:right="0" w:hanging="359"/>
        <w:jc w:val="left"/>
      </w:pPr>
      <w:bookmarkStart w:name="E. PROPOSED INTENDED USE" w:id="106"/>
      <w:bookmarkEnd w:id="106"/>
      <w:r>
        <w:rPr>
          <w:b w:val="0"/>
        </w:rPr>
      </w:r>
      <w:r>
        <w:rPr/>
        <w:t>PROPOSED</w:t>
      </w:r>
      <w:r>
        <w:rPr>
          <w:spacing w:val="-6"/>
        </w:rPr>
        <w:t> </w:t>
      </w:r>
      <w:r>
        <w:rPr/>
        <w:t>INTENDED</w:t>
      </w:r>
      <w:r>
        <w:rPr>
          <w:spacing w:val="-5"/>
        </w:rPr>
        <w:t> USE</w:t>
      </w:r>
    </w:p>
    <w:p>
      <w:pPr>
        <w:pStyle w:val="Heading5"/>
        <w:numPr>
          <w:ilvl w:val="1"/>
          <w:numId w:val="15"/>
        </w:numPr>
        <w:tabs>
          <w:tab w:pos="879" w:val="left" w:leader="none"/>
        </w:tabs>
        <w:spacing w:line="240" w:lineRule="auto" w:before="120" w:after="0"/>
        <w:ind w:left="879" w:right="0" w:hanging="359"/>
        <w:jc w:val="left"/>
      </w:pPr>
      <w:bookmarkStart w:name="1) Intended Use (IU):" w:id="107"/>
      <w:bookmarkEnd w:id="107"/>
      <w:r>
        <w:rPr>
          <w:b w:val="0"/>
        </w:rPr>
      </w:r>
      <w:r>
        <w:rPr>
          <w:u w:val="thick"/>
        </w:rPr>
        <w:t>Intended</w:t>
      </w:r>
      <w:r>
        <w:rPr>
          <w:spacing w:val="-3"/>
          <w:u w:val="thick"/>
        </w:rPr>
        <w:t> </w:t>
      </w:r>
      <w:r>
        <w:rPr>
          <w:u w:val="thick"/>
        </w:rPr>
        <w:t>Use</w:t>
      </w:r>
      <w:r>
        <w:rPr>
          <w:spacing w:val="-2"/>
          <w:u w:val="thick"/>
        </w:rPr>
        <w:t> (IU):</w:t>
      </w:r>
    </w:p>
    <w:p>
      <w:pPr>
        <w:pStyle w:val="Heading5"/>
        <w:spacing w:before="60"/>
      </w:pPr>
      <w:r>
        <w:rPr/>
        <w:t>The</w:t>
      </w:r>
      <w:r>
        <w:rPr>
          <w:spacing w:val="-3"/>
        </w:rPr>
        <w:t> </w:t>
      </w:r>
      <w:r>
        <w:rPr/>
        <w:t>proposed</w:t>
      </w:r>
      <w:r>
        <w:rPr>
          <w:spacing w:val="-4"/>
        </w:rPr>
        <w:t> </w:t>
      </w:r>
      <w:r>
        <w:rPr/>
        <w:t>IU</w:t>
      </w:r>
      <w:r>
        <w:rPr>
          <w:spacing w:val="-3"/>
        </w:rPr>
        <w:t> </w:t>
      </w:r>
      <w:r>
        <w:rPr/>
        <w:t>will</w:t>
      </w:r>
      <w:r>
        <w:rPr>
          <w:spacing w:val="-3"/>
        </w:rPr>
        <w:t> </w:t>
      </w:r>
      <w:r>
        <w:rPr/>
        <w:t>be</w:t>
      </w:r>
      <w:r>
        <w:rPr>
          <w:spacing w:val="-3"/>
        </w:rPr>
        <w:t> </w:t>
      </w:r>
      <w:r>
        <w:rPr/>
        <w:t>finalized</w:t>
      </w:r>
      <w:r>
        <w:rPr>
          <w:spacing w:val="-3"/>
        </w:rPr>
        <w:t> </w:t>
      </w:r>
      <w:r>
        <w:rPr/>
        <w:t>based</w:t>
      </w:r>
      <w:r>
        <w:rPr>
          <w:spacing w:val="-4"/>
        </w:rPr>
        <w:t> </w:t>
      </w:r>
      <w:r>
        <w:rPr/>
        <w:t>on</w:t>
      </w:r>
      <w:r>
        <w:rPr>
          <w:spacing w:val="-4"/>
        </w:rPr>
        <w:t> </w:t>
      </w:r>
      <w:r>
        <w:rPr/>
        <w:t>the</w:t>
      </w:r>
      <w:r>
        <w:rPr>
          <w:spacing w:val="-3"/>
        </w:rPr>
        <w:t> </w:t>
      </w:r>
      <w:r>
        <w:rPr/>
        <w:t>data</w:t>
      </w:r>
      <w:r>
        <w:rPr>
          <w:spacing w:val="-3"/>
        </w:rPr>
        <w:t> </w:t>
      </w:r>
      <w:r>
        <w:rPr/>
        <w:t>provided</w:t>
      </w:r>
      <w:r>
        <w:rPr>
          <w:spacing w:val="-4"/>
        </w:rPr>
        <w:t> </w:t>
      </w:r>
      <w:r>
        <w:rPr/>
        <w:t>at</w:t>
      </w:r>
      <w:r>
        <w:rPr>
          <w:spacing w:val="-3"/>
        </w:rPr>
        <w:t> </w:t>
      </w:r>
      <w:r>
        <w:rPr/>
        <w:t>the</w:t>
      </w:r>
      <w:r>
        <w:rPr>
          <w:spacing w:val="-3"/>
        </w:rPr>
        <w:t> </w:t>
      </w:r>
      <w:r>
        <w:rPr/>
        <w:t>time</w:t>
      </w:r>
      <w:r>
        <w:rPr>
          <w:spacing w:val="-3"/>
        </w:rPr>
        <w:t> </w:t>
      </w:r>
      <w:r>
        <w:rPr/>
        <w:t>of authorization. An example IU is provided below.</w:t>
      </w:r>
    </w:p>
    <w:p>
      <w:pPr>
        <w:pStyle w:val="BodyText"/>
        <w:spacing w:before="2"/>
        <w:rPr>
          <w:b/>
          <w:sz w:val="16"/>
        </w:rPr>
      </w:pPr>
    </w:p>
    <w:p>
      <w:pPr>
        <w:spacing w:before="90"/>
        <w:ind w:left="880" w:right="287" w:firstLine="0"/>
        <w:jc w:val="left"/>
        <w:rPr>
          <w:sz w:val="24"/>
        </w:rPr>
      </w:pPr>
      <w:r>
        <w:rPr>
          <w:sz w:val="24"/>
        </w:rPr>
        <w:t>The </w:t>
      </w:r>
      <w:r>
        <w:rPr>
          <w:rFonts w:ascii="TimesNewRomanPS-BoldItalicMT" w:hAnsi="TimesNewRomanPS-BoldItalicMT"/>
          <w:b/>
          <w:i/>
          <w:color w:val="000000"/>
          <w:sz w:val="24"/>
          <w:shd w:fill="FFFF00" w:color="auto" w:val="clear"/>
        </w:rPr>
        <w:t>[test name]</w:t>
      </w:r>
      <w:r>
        <w:rPr>
          <w:rFonts w:ascii="TimesNewRomanPS-BoldItalicMT" w:hAnsi="TimesNewRomanPS-BoldItalicMT"/>
          <w:b/>
          <w:i/>
          <w:color w:val="000000"/>
          <w:sz w:val="24"/>
        </w:rPr>
        <w:t> </w:t>
      </w:r>
      <w:r>
        <w:rPr>
          <w:color w:val="000000"/>
          <w:sz w:val="24"/>
        </w:rPr>
        <w:t>is a </w:t>
      </w:r>
      <w:r>
        <w:rPr>
          <w:rFonts w:ascii="TimesNewRomanPS-BoldItalicMT" w:hAnsi="TimesNewRomanPS-BoldItalicMT"/>
          <w:b/>
          <w:i/>
          <w:color w:val="000000"/>
          <w:sz w:val="24"/>
          <w:shd w:fill="FFFF00" w:color="auto" w:val="clear"/>
        </w:rPr>
        <w:t>[specify technology e.g., Enzyme-Linked Immunosorbent Assay</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(ELISA)]</w:t>
      </w:r>
      <w:r>
        <w:rPr>
          <w:rFonts w:ascii="TimesNewRomanPS-BoldItalicMT" w:hAnsi="TimesNewRomanPS-BoldItalicMT"/>
          <w:b/>
          <w:i/>
          <w:color w:val="000000"/>
          <w:sz w:val="24"/>
        </w:rPr>
        <w:t> </w:t>
      </w:r>
      <w:r>
        <w:rPr>
          <w:color w:val="000000"/>
          <w:sz w:val="24"/>
        </w:rPr>
        <w:t>intended for qualitative </w:t>
      </w:r>
      <w:r>
        <w:rPr>
          <w:rFonts w:ascii="TimesNewRomanPS-BoldItalicMT" w:hAnsi="TimesNewRomanPS-BoldItalicMT"/>
          <w:b/>
          <w:i/>
          <w:color w:val="000000"/>
          <w:sz w:val="24"/>
          <w:shd w:fill="FFFF00" w:color="auto" w:val="clear"/>
        </w:rPr>
        <w:t>[or semi-quantitative or quantitative tests, if</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appropriate validation data is provided. Performance evaluations beyond what is</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currently</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described</w:t>
      </w:r>
      <w:r>
        <w:rPr>
          <w:rFonts w:ascii="TimesNewRomanPS-BoldItalicMT" w:hAnsi="TimesNewRomanPS-BoldItalicMT"/>
          <w:b/>
          <w:i/>
          <w:color w:val="000000"/>
          <w:spacing w:val="-5"/>
          <w:sz w:val="24"/>
          <w:shd w:fill="FFFF00" w:color="auto" w:val="clear"/>
        </w:rPr>
        <w:t> </w:t>
      </w:r>
      <w:r>
        <w:rPr>
          <w:rFonts w:ascii="TimesNewRomanPS-BoldItalicMT" w:hAnsi="TimesNewRomanPS-BoldItalicMT"/>
          <w:b/>
          <w:i/>
          <w:color w:val="000000"/>
          <w:sz w:val="24"/>
          <w:shd w:fill="FFFF00" w:color="auto" w:val="clear"/>
        </w:rPr>
        <w:t>in</w:t>
      </w:r>
      <w:r>
        <w:rPr>
          <w:rFonts w:ascii="TimesNewRomanPS-BoldItalicMT" w:hAnsi="TimesNewRomanPS-BoldItalicMT"/>
          <w:b/>
          <w:i/>
          <w:color w:val="000000"/>
          <w:spacing w:val="-4"/>
          <w:sz w:val="24"/>
          <w:shd w:fill="FFFF00" w:color="auto" w:val="clear"/>
        </w:rPr>
        <w:t> </w:t>
      </w:r>
      <w:r>
        <w:rPr>
          <w:rFonts w:ascii="TimesNewRomanPS-BoldItalicMT" w:hAnsi="TimesNewRomanPS-BoldItalicMT"/>
          <w:b/>
          <w:i/>
          <w:color w:val="000000"/>
          <w:sz w:val="24"/>
          <w:shd w:fill="FFFF00" w:color="auto" w:val="clear"/>
        </w:rPr>
        <w:t>the</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template</w:t>
      </w:r>
      <w:r>
        <w:rPr>
          <w:rFonts w:ascii="TimesNewRomanPS-BoldItalicMT" w:hAnsi="TimesNewRomanPS-BoldItalicMT"/>
          <w:b/>
          <w:i/>
          <w:color w:val="000000"/>
          <w:spacing w:val="-4"/>
          <w:sz w:val="24"/>
          <w:shd w:fill="FFFF00" w:color="auto" w:val="clear"/>
        </w:rPr>
        <w:t> </w:t>
      </w:r>
      <w:r>
        <w:rPr>
          <w:rFonts w:ascii="TimesNewRomanPS-BoldItalicMT" w:hAnsi="TimesNewRomanPS-BoldItalicMT"/>
          <w:b/>
          <w:i/>
          <w:color w:val="000000"/>
          <w:sz w:val="24"/>
          <w:shd w:fill="FFFF00" w:color="auto" w:val="clear"/>
        </w:rPr>
        <w:t>may</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be</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necessary]</w:t>
      </w:r>
      <w:r>
        <w:rPr>
          <w:rFonts w:ascii="TimesNewRomanPS-BoldItalicMT" w:hAnsi="TimesNewRomanPS-BoldItalicMT"/>
          <w:b/>
          <w:i/>
          <w:color w:val="000000"/>
          <w:spacing w:val="-3"/>
          <w:sz w:val="24"/>
        </w:rPr>
        <w:t> </w:t>
      </w:r>
      <w:r>
        <w:rPr>
          <w:color w:val="000000"/>
          <w:sz w:val="24"/>
        </w:rPr>
        <w:t>detection</w:t>
      </w:r>
      <w:r>
        <w:rPr>
          <w:color w:val="000000"/>
          <w:spacing w:val="-3"/>
          <w:sz w:val="24"/>
        </w:rPr>
        <w:t> </w:t>
      </w:r>
      <w:r>
        <w:rPr>
          <w:color w:val="000000"/>
          <w:sz w:val="24"/>
        </w:rPr>
        <w:t>of</w:t>
      </w:r>
      <w:r>
        <w:rPr>
          <w:color w:val="000000"/>
          <w:spacing w:val="-4"/>
          <w:sz w:val="24"/>
        </w:rPr>
        <w:t> </w:t>
      </w:r>
      <w:r>
        <w:rPr>
          <w:rFonts w:ascii="TimesNewRomanPS-BoldItalicMT" w:hAnsi="TimesNewRomanPS-BoldItalicMT"/>
          <w:b/>
          <w:i/>
          <w:color w:val="000000"/>
          <w:sz w:val="24"/>
          <w:shd w:fill="FFFF00" w:color="auto" w:val="clear"/>
        </w:rPr>
        <w:t>[specify</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the</w:t>
      </w:r>
      <w:r>
        <w:rPr>
          <w:rFonts w:ascii="TimesNewRomanPS-BoldItalicMT" w:hAnsi="TimesNewRomanPS-BoldItalicMT"/>
          <w:b/>
          <w:i/>
          <w:color w:val="000000"/>
          <w:spacing w:val="-3"/>
          <w:sz w:val="24"/>
          <w:shd w:fill="FFFF00" w:color="auto" w:val="clear"/>
        </w:rPr>
        <w:t> </w:t>
      </w:r>
      <w:r>
        <w:rPr>
          <w:rFonts w:ascii="TimesNewRomanPS-BoldItalicMT" w:hAnsi="TimesNewRomanPS-BoldItalicMT"/>
          <w:b/>
          <w:i/>
          <w:color w:val="000000"/>
          <w:sz w:val="24"/>
          <w:shd w:fill="FFFF00" w:color="auto" w:val="clear"/>
        </w:rPr>
        <w:t>antibody</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class or classes that are being detected, or indicate whether the test only detects total</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antibodies]</w:t>
      </w:r>
      <w:r>
        <w:rPr>
          <w:rFonts w:ascii="TimesNewRomanPS-BoldItalicMT" w:hAnsi="TimesNewRomanPS-BoldItalicMT"/>
          <w:b/>
          <w:i/>
          <w:color w:val="000000"/>
          <w:sz w:val="24"/>
        </w:rPr>
        <w:t> </w:t>
      </w:r>
      <w:r>
        <w:rPr>
          <w:color w:val="000000"/>
          <w:sz w:val="24"/>
        </w:rPr>
        <w:t>antibodies to SARS-CoV-2 in human </w:t>
      </w:r>
      <w:r>
        <w:rPr>
          <w:rFonts w:ascii="TimesNewRomanPS-BoldItalicMT" w:hAnsi="TimesNewRomanPS-BoldItalicMT"/>
          <w:b/>
          <w:i/>
          <w:color w:val="000000"/>
          <w:sz w:val="24"/>
          <w:shd w:fill="FFFF00" w:color="auto" w:val="clear"/>
        </w:rPr>
        <w:t>[specify matrices including</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anticoagulants]</w:t>
      </w:r>
      <w:r>
        <w:rPr>
          <w:color w:val="000000"/>
          <w:sz w:val="24"/>
        </w:rPr>
        <w:t>. The </w:t>
      </w:r>
      <w:r>
        <w:rPr>
          <w:rFonts w:ascii="TimesNewRomanPS-BoldItalicMT" w:hAnsi="TimesNewRomanPS-BoldItalicMT"/>
          <w:b/>
          <w:i/>
          <w:color w:val="000000"/>
          <w:sz w:val="24"/>
          <w:shd w:fill="FFFF00" w:color="auto" w:val="clear"/>
        </w:rPr>
        <w:t>[test name]</w:t>
      </w:r>
      <w:r>
        <w:rPr>
          <w:rFonts w:ascii="TimesNewRomanPS-BoldItalicMT" w:hAnsi="TimesNewRomanPS-BoldItalicMT"/>
          <w:b/>
          <w:i/>
          <w:color w:val="000000"/>
          <w:sz w:val="24"/>
        </w:rPr>
        <w:t> </w:t>
      </w:r>
      <w:r>
        <w:rPr>
          <w:color w:val="000000"/>
          <w:sz w:val="24"/>
        </w:rPr>
        <w:t>is intended for use as an aid in identifying individuals with an adaptive immune response to SARS-CoV-2, indicating recent or prior infection. At this time, it is unknown for how long antibodies persist following infection and if the presence of antibodies confers protective immunity. The </w:t>
      </w:r>
      <w:r>
        <w:rPr>
          <w:rFonts w:ascii="TimesNewRomanPS-BoldItalicMT" w:hAnsi="TimesNewRomanPS-BoldItalicMT"/>
          <w:b/>
          <w:i/>
          <w:color w:val="000000"/>
          <w:sz w:val="24"/>
          <w:shd w:fill="FFFF00" w:color="auto" w:val="clear"/>
        </w:rPr>
        <w:t>[test name]</w:t>
      </w:r>
      <w:r>
        <w:rPr>
          <w:rFonts w:ascii="TimesNewRomanPS-BoldItalicMT" w:hAnsi="TimesNewRomanPS-BoldItalicMT"/>
          <w:b/>
          <w:i/>
          <w:color w:val="000000"/>
          <w:sz w:val="24"/>
        </w:rPr>
        <w:t> </w:t>
      </w:r>
      <w:r>
        <w:rPr>
          <w:color w:val="000000"/>
          <w:sz w:val="24"/>
        </w:rPr>
        <w:t>should not be used to diagnose acute SARS-CoV-2 infection. Testing is limited to </w:t>
      </w:r>
      <w:r>
        <w:rPr>
          <w:rFonts w:ascii="TimesNewRomanPS-BoldItalicMT" w:hAnsi="TimesNewRomanPS-BoldItalicMT"/>
          <w:b/>
          <w:i/>
          <w:color w:val="000000"/>
          <w:sz w:val="24"/>
          <w:shd w:fill="FFFF00" w:color="auto" w:val="clear"/>
        </w:rPr>
        <w:t>[Name of Clinical</w:t>
      </w:r>
      <w:r>
        <w:rPr>
          <w:rFonts w:ascii="TimesNewRomanPS-BoldItalicMT" w:hAnsi="TimesNewRomanPS-BoldItalicMT"/>
          <w:b/>
          <w:i/>
          <w:color w:val="000000"/>
          <w:sz w:val="24"/>
        </w:rPr>
        <w:t> </w:t>
      </w:r>
      <w:r>
        <w:rPr>
          <w:rFonts w:ascii="TimesNewRomanPS-BoldItalicMT" w:hAnsi="TimesNewRomanPS-BoldItalicMT"/>
          <w:b/>
          <w:i/>
          <w:color w:val="000000"/>
          <w:sz w:val="24"/>
          <w:shd w:fill="FFFF00" w:color="auto" w:val="clear"/>
        </w:rPr>
        <w:t>Laboratory(s)]</w:t>
      </w:r>
      <w:r>
        <w:rPr>
          <w:rFonts w:ascii="TimesNewRomanPS-BoldItalicMT" w:hAnsi="TimesNewRomanPS-BoldItalicMT"/>
          <w:b/>
          <w:i/>
          <w:color w:val="000000"/>
          <w:sz w:val="24"/>
        </w:rPr>
        <w:t> </w:t>
      </w:r>
      <w:r>
        <w:rPr>
          <w:color w:val="000000"/>
          <w:sz w:val="24"/>
        </w:rPr>
        <w:t>that are Clinical Laboratory Improvement Amendments of 1988 (CLIA), 42 U.S.C. §263a certified high-complexity laboratories.</w:t>
      </w:r>
    </w:p>
    <w:p>
      <w:pPr>
        <w:pStyle w:val="BodyText"/>
        <w:spacing w:before="160"/>
        <w:ind w:left="879"/>
      </w:pPr>
      <w:r>
        <w:rPr/>
        <w:t>Results are for the detection of SARS CoV-2 antibodies.</w:t>
      </w:r>
      <w:r>
        <w:rPr>
          <w:rFonts w:ascii="TimesNewRomanPS-BoldItalicMT"/>
          <w:b/>
          <w:i/>
          <w:color w:val="000000"/>
          <w:shd w:fill="FFFF00" w:color="auto" w:val="clear"/>
        </w:rPr>
        <w:t> [Specify antibodies detected]</w:t>
      </w:r>
      <w:r>
        <w:rPr>
          <w:rFonts w:ascii="TimesNewRomanPS-BoldItalicMT"/>
          <w:b/>
          <w:i/>
          <w:color w:val="000000"/>
        </w:rPr>
        <w:t> </w:t>
      </w:r>
      <w:r>
        <w:rPr>
          <w:color w:val="000000"/>
        </w:rPr>
        <w:t>antibodies to SARS-CoV-2 are generally detectable in blood several days after initial infection, although the duration of time antibodies are present post-infection is not well characterized.</w:t>
      </w:r>
      <w:r>
        <w:rPr>
          <w:color w:val="000000"/>
          <w:spacing w:val="-4"/>
        </w:rPr>
        <w:t> </w:t>
      </w:r>
      <w:r>
        <w:rPr>
          <w:color w:val="000000"/>
        </w:rPr>
        <w:t>Individuals</w:t>
      </w:r>
      <w:r>
        <w:rPr>
          <w:color w:val="000000"/>
          <w:spacing w:val="-4"/>
        </w:rPr>
        <w:t> </w:t>
      </w:r>
      <w:r>
        <w:rPr>
          <w:color w:val="000000"/>
        </w:rPr>
        <w:t>may</w:t>
      </w:r>
      <w:r>
        <w:rPr>
          <w:color w:val="000000"/>
          <w:spacing w:val="-4"/>
        </w:rPr>
        <w:t> </w:t>
      </w:r>
      <w:r>
        <w:rPr>
          <w:color w:val="000000"/>
        </w:rPr>
        <w:t>have</w:t>
      </w:r>
      <w:r>
        <w:rPr>
          <w:color w:val="000000"/>
          <w:spacing w:val="-3"/>
        </w:rPr>
        <w:t> </w:t>
      </w:r>
      <w:r>
        <w:rPr>
          <w:color w:val="000000"/>
        </w:rPr>
        <w:t>detectable</w:t>
      </w:r>
      <w:r>
        <w:rPr>
          <w:color w:val="000000"/>
          <w:spacing w:val="-4"/>
        </w:rPr>
        <w:t> </w:t>
      </w:r>
      <w:r>
        <w:rPr>
          <w:color w:val="000000"/>
        </w:rPr>
        <w:t>virus</w:t>
      </w:r>
      <w:r>
        <w:rPr>
          <w:color w:val="000000"/>
          <w:spacing w:val="-4"/>
        </w:rPr>
        <w:t> </w:t>
      </w:r>
      <w:r>
        <w:rPr>
          <w:color w:val="000000"/>
        </w:rPr>
        <w:t>present</w:t>
      </w:r>
      <w:r>
        <w:rPr>
          <w:color w:val="000000"/>
          <w:spacing w:val="-4"/>
        </w:rPr>
        <w:t> </w:t>
      </w:r>
      <w:r>
        <w:rPr>
          <w:color w:val="000000"/>
        </w:rPr>
        <w:t>for</w:t>
      </w:r>
      <w:r>
        <w:rPr>
          <w:color w:val="000000"/>
          <w:spacing w:val="-4"/>
        </w:rPr>
        <w:t> </w:t>
      </w:r>
      <w:r>
        <w:rPr>
          <w:color w:val="000000"/>
        </w:rPr>
        <w:t>several</w:t>
      </w:r>
      <w:r>
        <w:rPr>
          <w:color w:val="000000"/>
          <w:spacing w:val="-4"/>
        </w:rPr>
        <w:t> </w:t>
      </w:r>
      <w:r>
        <w:rPr>
          <w:color w:val="000000"/>
        </w:rPr>
        <w:t>weeks</w:t>
      </w:r>
      <w:r>
        <w:rPr>
          <w:color w:val="000000"/>
          <w:spacing w:val="-4"/>
        </w:rPr>
        <w:t> </w:t>
      </w:r>
      <w:r>
        <w:rPr>
          <w:color w:val="000000"/>
        </w:rPr>
        <w:t>following </w:t>
      </w:r>
      <w:r>
        <w:rPr>
          <w:color w:val="000000"/>
          <w:spacing w:val="-2"/>
        </w:rPr>
        <w:t>seroconversion.</w:t>
      </w:r>
    </w:p>
    <w:p>
      <w:pPr>
        <w:pStyle w:val="BodyText"/>
        <w:spacing w:before="159"/>
        <w:ind w:left="880"/>
      </w:pPr>
      <w:r>
        <w:rPr/>
        <w:t>Laboratories</w:t>
      </w:r>
      <w:r>
        <w:rPr>
          <w:spacing w:val="-4"/>
        </w:rPr>
        <w:t> </w:t>
      </w:r>
      <w:r>
        <w:rPr/>
        <w:t>within</w:t>
      </w:r>
      <w:r>
        <w:rPr>
          <w:spacing w:val="-3"/>
        </w:rPr>
        <w:t> </w:t>
      </w:r>
      <w:r>
        <w:rPr/>
        <w:t>the</w:t>
      </w:r>
      <w:r>
        <w:rPr>
          <w:spacing w:val="-4"/>
        </w:rPr>
        <w:t> </w:t>
      </w:r>
      <w:r>
        <w:rPr/>
        <w:t>United</w:t>
      </w:r>
      <w:r>
        <w:rPr>
          <w:spacing w:val="-3"/>
        </w:rPr>
        <w:t> </w:t>
      </w:r>
      <w:r>
        <w:rPr/>
        <w:t>States</w:t>
      </w:r>
      <w:r>
        <w:rPr>
          <w:spacing w:val="-3"/>
        </w:rPr>
        <w:t> </w:t>
      </w:r>
      <w:r>
        <w:rPr/>
        <w:t>and</w:t>
      </w:r>
      <w:r>
        <w:rPr>
          <w:spacing w:val="-3"/>
        </w:rPr>
        <w:t> </w:t>
      </w:r>
      <w:r>
        <w:rPr/>
        <w:t>its</w:t>
      </w:r>
      <w:r>
        <w:rPr>
          <w:spacing w:val="-4"/>
        </w:rPr>
        <w:t> </w:t>
      </w:r>
      <w:r>
        <w:rPr/>
        <w:t>territories</w:t>
      </w:r>
      <w:r>
        <w:rPr>
          <w:spacing w:val="-3"/>
        </w:rPr>
        <w:t> </w:t>
      </w:r>
      <w:r>
        <w:rPr/>
        <w:t>are</w:t>
      </w:r>
      <w:r>
        <w:rPr>
          <w:spacing w:val="-3"/>
        </w:rPr>
        <w:t> </w:t>
      </w:r>
      <w:r>
        <w:rPr/>
        <w:t>required</w:t>
      </w:r>
      <w:r>
        <w:rPr>
          <w:spacing w:val="-5"/>
        </w:rPr>
        <w:t> </w:t>
      </w:r>
      <w:r>
        <w:rPr/>
        <w:t>to</w:t>
      </w:r>
      <w:r>
        <w:rPr>
          <w:spacing w:val="-3"/>
        </w:rPr>
        <w:t> </w:t>
      </w:r>
      <w:r>
        <w:rPr/>
        <w:t>report</w:t>
      </w:r>
      <w:r>
        <w:rPr>
          <w:spacing w:val="-3"/>
        </w:rPr>
        <w:t> </w:t>
      </w:r>
      <w:r>
        <w:rPr/>
        <w:t>all</w:t>
      </w:r>
      <w:r>
        <w:rPr>
          <w:spacing w:val="-3"/>
        </w:rPr>
        <w:t> </w:t>
      </w:r>
      <w:r>
        <w:rPr/>
        <w:t>positive results to the appropriate public health authorities.</w:t>
      </w:r>
    </w:p>
    <w:p>
      <w:pPr>
        <w:spacing w:before="160"/>
        <w:ind w:left="879" w:right="278" w:firstLine="0"/>
        <w:jc w:val="left"/>
        <w:rPr>
          <w:sz w:val="24"/>
        </w:rPr>
      </w:pPr>
      <w:r>
        <w:rPr>
          <w:rFonts w:ascii="TimesNewRomanPS-BoldItalicMT"/>
          <w:b/>
          <w:i/>
          <w:color w:val="000000"/>
          <w:sz w:val="24"/>
          <w:shd w:fill="FFFF00" w:color="auto" w:val="clear"/>
        </w:rPr>
        <w:t>[As</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applicable,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the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sensitivity</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of</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[test</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name]</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early</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after</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infection</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is</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unknown.]</w:t>
      </w:r>
      <w:r>
        <w:rPr>
          <w:rFonts w:ascii="TimesNewRomanPS-BoldItalicMT"/>
          <w:b/>
          <w:i/>
          <w:color w:val="000000"/>
          <w:spacing w:val="-3"/>
          <w:sz w:val="24"/>
        </w:rPr>
        <w:t> </w:t>
      </w:r>
      <w:r>
        <w:rPr>
          <w:color w:val="000000"/>
          <w:sz w:val="24"/>
        </w:rPr>
        <w:t>Negative results do not preclude acute SARS-CoV-2 infection. If acute infection is suspected, direct testing for SARS-CoV-2 is necessary.</w:t>
      </w:r>
    </w:p>
    <w:p>
      <w:pPr>
        <w:pStyle w:val="BodyText"/>
        <w:spacing w:before="161"/>
        <w:ind w:left="879"/>
      </w:pPr>
      <w:r>
        <w:rPr/>
        <w:t>False</w:t>
      </w:r>
      <w:r>
        <w:rPr>
          <w:spacing w:val="-3"/>
        </w:rPr>
        <w:t> </w:t>
      </w:r>
      <w:r>
        <w:rPr/>
        <w:t>positive</w:t>
      </w:r>
      <w:r>
        <w:rPr>
          <w:spacing w:val="-3"/>
        </w:rPr>
        <w:t> </w:t>
      </w:r>
      <w:r>
        <w:rPr/>
        <w:t>results</w:t>
      </w:r>
      <w:r>
        <w:rPr>
          <w:spacing w:val="-3"/>
        </w:rPr>
        <w:t> </w:t>
      </w:r>
      <w:r>
        <w:rPr/>
        <w:t>for</w:t>
      </w:r>
      <w:r>
        <w:rPr>
          <w:spacing w:val="-4"/>
        </w:rPr>
        <w:t> </w:t>
      </w:r>
      <w:r>
        <w:rPr>
          <w:rFonts w:ascii="TimesNewRomanPS-BoldItalicMT"/>
          <w:b/>
          <w:i/>
          <w:color w:val="000000"/>
          <w:shd w:fill="FFFF00" w:color="auto" w:val="clear"/>
        </w:rPr>
        <w:t>[test</w:t>
      </w:r>
      <w:r>
        <w:rPr>
          <w:rFonts w:ascii="TimesNewRomanPS-BoldItalicMT"/>
          <w:b/>
          <w:i/>
          <w:color w:val="000000"/>
          <w:spacing w:val="-3"/>
          <w:shd w:fill="FFFF00" w:color="auto" w:val="clear"/>
        </w:rPr>
        <w:t> </w:t>
      </w:r>
      <w:r>
        <w:rPr>
          <w:rFonts w:ascii="TimesNewRomanPS-BoldItalicMT"/>
          <w:b/>
          <w:i/>
          <w:color w:val="000000"/>
          <w:shd w:fill="FFFF00" w:color="auto" w:val="clear"/>
        </w:rPr>
        <w:t>name]</w:t>
      </w:r>
      <w:r>
        <w:rPr>
          <w:rFonts w:ascii="TimesNewRomanPS-BoldItalicMT"/>
          <w:b/>
          <w:i/>
          <w:color w:val="000000"/>
          <w:spacing w:val="-4"/>
        </w:rPr>
        <w:t> </w:t>
      </w:r>
      <w:r>
        <w:rPr>
          <w:color w:val="000000"/>
        </w:rPr>
        <w:t>may</w:t>
      </w:r>
      <w:r>
        <w:rPr>
          <w:color w:val="000000"/>
          <w:spacing w:val="-3"/>
        </w:rPr>
        <w:t> </w:t>
      </w:r>
      <w:r>
        <w:rPr>
          <w:color w:val="000000"/>
        </w:rPr>
        <w:t>occur</w:t>
      </w:r>
      <w:r>
        <w:rPr>
          <w:color w:val="000000"/>
          <w:spacing w:val="-3"/>
        </w:rPr>
        <w:t> </w:t>
      </w:r>
      <w:r>
        <w:rPr>
          <w:color w:val="000000"/>
        </w:rPr>
        <w:t>due</w:t>
      </w:r>
      <w:r>
        <w:rPr>
          <w:color w:val="000000"/>
          <w:spacing w:val="-3"/>
        </w:rPr>
        <w:t> </w:t>
      </w:r>
      <w:r>
        <w:rPr>
          <w:color w:val="000000"/>
        </w:rPr>
        <w:t>to</w:t>
      </w:r>
      <w:r>
        <w:rPr>
          <w:color w:val="000000"/>
          <w:spacing w:val="-3"/>
        </w:rPr>
        <w:t> </w:t>
      </w:r>
      <w:r>
        <w:rPr>
          <w:color w:val="000000"/>
        </w:rPr>
        <w:t>cross-reactivity</w:t>
      </w:r>
      <w:r>
        <w:rPr>
          <w:color w:val="000000"/>
          <w:spacing w:val="-3"/>
        </w:rPr>
        <w:t> </w:t>
      </w:r>
      <w:r>
        <w:rPr>
          <w:color w:val="000000"/>
        </w:rPr>
        <w:t>from</w:t>
      </w:r>
      <w:r>
        <w:rPr>
          <w:color w:val="000000"/>
          <w:spacing w:val="-4"/>
        </w:rPr>
        <w:t> </w:t>
      </w:r>
      <w:r>
        <w:rPr>
          <w:color w:val="000000"/>
        </w:rPr>
        <w:t>pre-existing antibodies or other possible causes.</w:t>
      </w:r>
    </w:p>
    <w:p>
      <w:pPr>
        <w:pStyle w:val="BodyText"/>
        <w:spacing w:before="160"/>
        <w:ind w:left="880" w:right="556"/>
      </w:pPr>
      <w:r>
        <w:rPr/>
        <w:t>The</w:t>
      </w:r>
      <w:r>
        <w:rPr>
          <w:spacing w:val="-3"/>
        </w:rPr>
        <w:t> </w:t>
      </w:r>
      <w:r>
        <w:rPr>
          <w:rFonts w:ascii="TimesNewRomanPS-BoldItalicMT" w:hAnsi="TimesNewRomanPS-BoldItalicMT"/>
          <w:b/>
          <w:i/>
          <w:color w:val="000000"/>
          <w:shd w:fill="FFFF00" w:color="auto" w:val="clear"/>
        </w:rPr>
        <w:t>[test</w:t>
      </w:r>
      <w:r>
        <w:rPr>
          <w:rFonts w:ascii="TimesNewRomanPS-BoldItalicMT" w:hAnsi="TimesNewRomanPS-BoldItalicMT"/>
          <w:b/>
          <w:i/>
          <w:color w:val="000000"/>
          <w:spacing w:val="-3"/>
          <w:shd w:fill="FFFF00" w:color="auto" w:val="clear"/>
        </w:rPr>
        <w:t> </w:t>
      </w:r>
      <w:r>
        <w:rPr>
          <w:rFonts w:ascii="TimesNewRomanPS-BoldItalicMT" w:hAnsi="TimesNewRomanPS-BoldItalicMT"/>
          <w:b/>
          <w:i/>
          <w:color w:val="000000"/>
          <w:shd w:fill="FFFF00" w:color="auto" w:val="clear"/>
        </w:rPr>
        <w:t>name]</w:t>
      </w:r>
      <w:r>
        <w:rPr>
          <w:rFonts w:ascii="TimesNewRomanPS-BoldItalicMT" w:hAnsi="TimesNewRomanPS-BoldItalicMT"/>
          <w:b/>
          <w:i/>
          <w:color w:val="000000"/>
          <w:spacing w:val="-4"/>
        </w:rPr>
        <w:t> </w:t>
      </w:r>
      <w:r>
        <w:rPr>
          <w:color w:val="000000"/>
        </w:rPr>
        <w:t>is</w:t>
      </w:r>
      <w:r>
        <w:rPr>
          <w:color w:val="000000"/>
          <w:spacing w:val="-3"/>
        </w:rPr>
        <w:t> </w:t>
      </w:r>
      <w:r>
        <w:rPr>
          <w:color w:val="000000"/>
        </w:rPr>
        <w:t>only</w:t>
      </w:r>
      <w:r>
        <w:rPr>
          <w:color w:val="000000"/>
          <w:spacing w:val="-3"/>
        </w:rPr>
        <w:t> </w:t>
      </w:r>
      <w:r>
        <w:rPr>
          <w:color w:val="000000"/>
        </w:rPr>
        <w:t>for</w:t>
      </w:r>
      <w:r>
        <w:rPr>
          <w:color w:val="000000"/>
          <w:spacing w:val="-3"/>
        </w:rPr>
        <w:t> </w:t>
      </w:r>
      <w:r>
        <w:rPr>
          <w:color w:val="000000"/>
        </w:rPr>
        <w:t>use</w:t>
      </w:r>
      <w:r>
        <w:rPr>
          <w:color w:val="000000"/>
          <w:spacing w:val="-3"/>
        </w:rPr>
        <w:t> </w:t>
      </w:r>
      <w:r>
        <w:rPr>
          <w:color w:val="000000"/>
        </w:rPr>
        <w:t>under</w:t>
      </w:r>
      <w:r>
        <w:rPr>
          <w:color w:val="000000"/>
          <w:spacing w:val="-4"/>
        </w:rPr>
        <w:t> </w:t>
      </w:r>
      <w:r>
        <w:rPr>
          <w:color w:val="000000"/>
        </w:rPr>
        <w:t>the</w:t>
      </w:r>
      <w:r>
        <w:rPr>
          <w:color w:val="000000"/>
          <w:spacing w:val="-3"/>
        </w:rPr>
        <w:t> </w:t>
      </w:r>
      <w:r>
        <w:rPr>
          <w:color w:val="000000"/>
        </w:rPr>
        <w:t>Food</w:t>
      </w:r>
      <w:r>
        <w:rPr>
          <w:color w:val="000000"/>
          <w:spacing w:val="-3"/>
        </w:rPr>
        <w:t> </w:t>
      </w:r>
      <w:r>
        <w:rPr>
          <w:color w:val="000000"/>
        </w:rPr>
        <w:t>and</w:t>
      </w:r>
      <w:r>
        <w:rPr>
          <w:color w:val="000000"/>
          <w:spacing w:val="-3"/>
        </w:rPr>
        <w:t> </w:t>
      </w:r>
      <w:r>
        <w:rPr>
          <w:color w:val="000000"/>
        </w:rPr>
        <w:t>Drug</w:t>
      </w:r>
      <w:r>
        <w:rPr>
          <w:color w:val="000000"/>
          <w:spacing w:val="-3"/>
        </w:rPr>
        <w:t> </w:t>
      </w:r>
      <w:r>
        <w:rPr>
          <w:color w:val="000000"/>
        </w:rPr>
        <w:t>Administration’s</w:t>
      </w:r>
      <w:r>
        <w:rPr>
          <w:color w:val="000000"/>
          <w:spacing w:val="-4"/>
        </w:rPr>
        <w:t> </w:t>
      </w:r>
      <w:r>
        <w:rPr>
          <w:color w:val="000000"/>
        </w:rPr>
        <w:t>Emergency Use Authorization.</w:t>
      </w:r>
    </w:p>
    <w:p>
      <w:pPr>
        <w:spacing w:after="0"/>
        <w:sectPr>
          <w:pgSz w:w="12240" w:h="15840"/>
          <w:pgMar w:header="731" w:footer="785" w:top="1360" w:bottom="980" w:left="1280" w:right="1200"/>
        </w:sectPr>
      </w:pPr>
    </w:p>
    <w:p>
      <w:pPr>
        <w:pStyle w:val="Heading5"/>
        <w:numPr>
          <w:ilvl w:val="1"/>
          <w:numId w:val="15"/>
        </w:numPr>
        <w:tabs>
          <w:tab w:pos="879" w:val="left" w:leader="none"/>
        </w:tabs>
        <w:spacing w:line="240" w:lineRule="auto" w:before="80" w:after="0"/>
        <w:ind w:left="879" w:right="0" w:hanging="359"/>
        <w:jc w:val="left"/>
      </w:pPr>
      <w:bookmarkStart w:name="2) Special Conditions for Use Statements" w:id="108"/>
      <w:bookmarkEnd w:id="108"/>
      <w:r>
        <w:rPr>
          <w:b w:val="0"/>
        </w:rPr>
      </w:r>
      <w:r>
        <w:rPr>
          <w:u w:val="thick"/>
        </w:rPr>
        <w:t>Special</w:t>
      </w:r>
      <w:r>
        <w:rPr>
          <w:spacing w:val="-3"/>
          <w:u w:val="thick"/>
        </w:rPr>
        <w:t> </w:t>
      </w:r>
      <w:r>
        <w:rPr>
          <w:u w:val="thick"/>
        </w:rPr>
        <w:t>Conditions</w:t>
      </w:r>
      <w:r>
        <w:rPr>
          <w:spacing w:val="-2"/>
          <w:u w:val="thick"/>
        </w:rPr>
        <w:t> </w:t>
      </w:r>
      <w:r>
        <w:rPr>
          <w:u w:val="thick"/>
        </w:rPr>
        <w:t>for</w:t>
      </w:r>
      <w:r>
        <w:rPr>
          <w:spacing w:val="-3"/>
          <w:u w:val="thick"/>
        </w:rPr>
        <w:t> </w:t>
      </w:r>
      <w:r>
        <w:rPr>
          <w:u w:val="thick"/>
        </w:rPr>
        <w:t>Use</w:t>
      </w:r>
      <w:r>
        <w:rPr>
          <w:spacing w:val="-2"/>
          <w:u w:val="thick"/>
        </w:rPr>
        <w:t> Statements:</w:t>
      </w:r>
    </w:p>
    <w:p>
      <w:pPr>
        <w:pStyle w:val="BodyText"/>
        <w:spacing w:before="60"/>
        <w:ind w:left="880"/>
      </w:pPr>
      <w:r>
        <w:rPr/>
        <w:t>For</w:t>
      </w:r>
      <w:r>
        <w:rPr>
          <w:spacing w:val="-4"/>
        </w:rPr>
        <w:t> </w:t>
      </w:r>
      <w:r>
        <w:rPr/>
        <w:t>prescription</w:t>
      </w:r>
      <w:r>
        <w:rPr>
          <w:spacing w:val="-1"/>
        </w:rPr>
        <w:t> </w:t>
      </w:r>
      <w:r>
        <w:rPr/>
        <w:t>use</w:t>
      </w:r>
      <w:r>
        <w:rPr>
          <w:spacing w:val="-1"/>
        </w:rPr>
        <w:t> </w:t>
      </w:r>
      <w:r>
        <w:rPr>
          <w:spacing w:val="-4"/>
        </w:rPr>
        <w:t>only</w:t>
      </w:r>
    </w:p>
    <w:p>
      <w:pPr>
        <w:spacing w:before="0"/>
        <w:ind w:left="880" w:right="0" w:firstLine="0"/>
        <w:jc w:val="left"/>
        <w:rPr>
          <w:sz w:val="24"/>
        </w:rPr>
      </w:pPr>
      <w:r>
        <w:rPr>
          <w:sz w:val="24"/>
        </w:rPr>
        <w:t>For</w:t>
      </w:r>
      <w:r>
        <w:rPr>
          <w:spacing w:val="-1"/>
          <w:sz w:val="24"/>
        </w:rPr>
        <w:t> </w:t>
      </w:r>
      <w:r>
        <w:rPr>
          <w:i/>
          <w:sz w:val="24"/>
        </w:rPr>
        <w:t>in</w:t>
      </w:r>
      <w:r>
        <w:rPr>
          <w:i/>
          <w:spacing w:val="-2"/>
          <w:sz w:val="24"/>
        </w:rPr>
        <w:t> </w:t>
      </w:r>
      <w:r>
        <w:rPr>
          <w:i/>
          <w:sz w:val="24"/>
        </w:rPr>
        <w:t>vitro</w:t>
      </w:r>
      <w:r>
        <w:rPr>
          <w:i/>
          <w:spacing w:val="-2"/>
          <w:sz w:val="24"/>
        </w:rPr>
        <w:t> </w:t>
      </w:r>
      <w:r>
        <w:rPr>
          <w:sz w:val="24"/>
        </w:rPr>
        <w:t>diagnostic</w:t>
      </w:r>
      <w:r>
        <w:rPr>
          <w:spacing w:val="-1"/>
          <w:sz w:val="24"/>
        </w:rPr>
        <w:t> </w:t>
      </w:r>
      <w:r>
        <w:rPr>
          <w:sz w:val="24"/>
        </w:rPr>
        <w:t>use</w:t>
      </w:r>
      <w:r>
        <w:rPr>
          <w:spacing w:val="-1"/>
          <w:sz w:val="24"/>
        </w:rPr>
        <w:t> </w:t>
      </w:r>
      <w:r>
        <w:rPr>
          <w:spacing w:val="-4"/>
          <w:sz w:val="24"/>
        </w:rPr>
        <w:t>only</w:t>
      </w:r>
    </w:p>
    <w:p>
      <w:pPr>
        <w:pStyle w:val="BodyText"/>
        <w:ind w:left="880"/>
      </w:pPr>
      <w:bookmarkStart w:name="3) Instruments Used:" w:id="109"/>
      <w:bookmarkEnd w:id="109"/>
      <w:r>
        <w:rPr/>
      </w:r>
      <w:r>
        <w:rPr/>
        <w:t>For</w:t>
      </w:r>
      <w:r>
        <w:rPr>
          <w:spacing w:val="-2"/>
        </w:rPr>
        <w:t> </w:t>
      </w:r>
      <w:r>
        <w:rPr/>
        <w:t>Emergency</w:t>
      </w:r>
      <w:r>
        <w:rPr>
          <w:spacing w:val="-1"/>
        </w:rPr>
        <w:t> </w:t>
      </w:r>
      <w:r>
        <w:rPr/>
        <w:t>Use</w:t>
      </w:r>
      <w:r>
        <w:rPr>
          <w:spacing w:val="-2"/>
        </w:rPr>
        <w:t> </w:t>
      </w:r>
      <w:r>
        <w:rPr/>
        <w:t>Authorization</w:t>
      </w:r>
      <w:r>
        <w:rPr>
          <w:spacing w:val="-1"/>
        </w:rPr>
        <w:t> </w:t>
      </w:r>
      <w:r>
        <w:rPr>
          <w:spacing w:val="-4"/>
        </w:rPr>
        <w:t>only</w:t>
      </w:r>
    </w:p>
    <w:p>
      <w:pPr>
        <w:pStyle w:val="BodyText"/>
        <w:spacing w:before="9"/>
        <w:rPr>
          <w:sz w:val="20"/>
        </w:rPr>
      </w:pPr>
    </w:p>
    <w:p>
      <w:pPr>
        <w:pStyle w:val="Heading5"/>
        <w:numPr>
          <w:ilvl w:val="1"/>
          <w:numId w:val="15"/>
        </w:numPr>
        <w:tabs>
          <w:tab w:pos="879" w:val="left" w:leader="none"/>
        </w:tabs>
        <w:spacing w:line="240" w:lineRule="auto" w:before="1" w:after="0"/>
        <w:ind w:left="879" w:right="0" w:hanging="359"/>
        <w:jc w:val="left"/>
      </w:pPr>
      <w:r>
        <w:rPr>
          <w:u w:val="thick"/>
        </w:rPr>
        <w:t>Instruments</w:t>
      </w:r>
      <w:r>
        <w:rPr>
          <w:spacing w:val="-6"/>
          <w:u w:val="thick"/>
        </w:rPr>
        <w:t> </w:t>
      </w:r>
      <w:r>
        <w:rPr>
          <w:spacing w:val="-4"/>
          <w:u w:val="thick"/>
        </w:rPr>
        <w:t>Used:</w:t>
      </w:r>
    </w:p>
    <w:p>
      <w:pPr>
        <w:spacing w:before="120"/>
        <w:ind w:left="880" w:right="0" w:firstLine="0"/>
        <w:jc w:val="left"/>
        <w:rPr>
          <w:rFonts w:ascii="TimesNewRomanPS-BoldItalicMT"/>
          <w:b/>
          <w:i/>
          <w:sz w:val="24"/>
        </w:rPr>
      </w:pPr>
      <w:bookmarkStart w:name="The [test name] test is to be used with " w:id="110"/>
      <w:bookmarkEnd w:id="110"/>
      <w:r>
        <w:rPr/>
      </w:r>
      <w:r>
        <w:rPr>
          <w:b/>
          <w:sz w:val="24"/>
        </w:rPr>
        <w:t>The</w:t>
      </w:r>
      <w:r>
        <w:rPr>
          <w:b/>
          <w:spacing w:val="-3"/>
          <w:sz w:val="24"/>
        </w:rPr>
        <w:t> </w:t>
      </w:r>
      <w:r>
        <w:rPr>
          <w:rFonts w:ascii="TimesNewRomanPS-BoldItalicMT"/>
          <w:b/>
          <w:i/>
          <w:color w:val="000000"/>
          <w:sz w:val="24"/>
          <w:shd w:fill="FFFF00" w:color="auto" w:val="clear"/>
        </w:rPr>
        <w:t>[test</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name]</w:t>
      </w:r>
      <w:r>
        <w:rPr>
          <w:rFonts w:ascii="TimesNewRomanPS-BoldItalicMT"/>
          <w:b/>
          <w:i/>
          <w:color w:val="000000"/>
          <w:spacing w:val="-3"/>
          <w:sz w:val="24"/>
        </w:rPr>
        <w:t> </w:t>
      </w:r>
      <w:r>
        <w:rPr>
          <w:b/>
          <w:color w:val="000000"/>
          <w:sz w:val="24"/>
        </w:rPr>
        <w:t>test</w:t>
      </w:r>
      <w:r>
        <w:rPr>
          <w:b/>
          <w:color w:val="000000"/>
          <w:spacing w:val="-4"/>
          <w:sz w:val="24"/>
        </w:rPr>
        <w:t> </w:t>
      </w:r>
      <w:r>
        <w:rPr>
          <w:b/>
          <w:color w:val="000000"/>
          <w:sz w:val="24"/>
        </w:rPr>
        <w:t>is</w:t>
      </w:r>
      <w:r>
        <w:rPr>
          <w:b/>
          <w:color w:val="000000"/>
          <w:spacing w:val="-3"/>
          <w:sz w:val="24"/>
        </w:rPr>
        <w:t> </w:t>
      </w:r>
      <w:r>
        <w:rPr>
          <w:b/>
          <w:color w:val="000000"/>
          <w:sz w:val="24"/>
        </w:rPr>
        <w:t>to</w:t>
      </w:r>
      <w:r>
        <w:rPr>
          <w:b/>
          <w:color w:val="000000"/>
          <w:spacing w:val="-3"/>
          <w:sz w:val="24"/>
        </w:rPr>
        <w:t> </w:t>
      </w:r>
      <w:r>
        <w:rPr>
          <w:b/>
          <w:color w:val="000000"/>
          <w:sz w:val="24"/>
        </w:rPr>
        <w:t>be</w:t>
      </w:r>
      <w:r>
        <w:rPr>
          <w:b/>
          <w:color w:val="000000"/>
          <w:spacing w:val="-3"/>
          <w:sz w:val="24"/>
        </w:rPr>
        <w:t> </w:t>
      </w:r>
      <w:r>
        <w:rPr>
          <w:b/>
          <w:color w:val="000000"/>
          <w:sz w:val="24"/>
        </w:rPr>
        <w:t>used</w:t>
      </w:r>
      <w:r>
        <w:rPr>
          <w:b/>
          <w:color w:val="000000"/>
          <w:spacing w:val="-4"/>
          <w:sz w:val="24"/>
        </w:rPr>
        <w:t> </w:t>
      </w:r>
      <w:r>
        <w:rPr>
          <w:b/>
          <w:color w:val="000000"/>
          <w:sz w:val="24"/>
        </w:rPr>
        <w:t>with</w:t>
      </w:r>
      <w:r>
        <w:rPr>
          <w:b/>
          <w:color w:val="000000"/>
          <w:spacing w:val="-4"/>
          <w:sz w:val="24"/>
        </w:rPr>
        <w:t> </w:t>
      </w:r>
      <w:r>
        <w:rPr>
          <w:b/>
          <w:color w:val="000000"/>
          <w:sz w:val="24"/>
        </w:rPr>
        <w:t>the</w:t>
      </w:r>
      <w:r>
        <w:rPr>
          <w:b/>
          <w:color w:val="000000"/>
          <w:spacing w:val="-3"/>
          <w:sz w:val="24"/>
        </w:rPr>
        <w:t> </w:t>
      </w:r>
      <w:r>
        <w:rPr>
          <w:rFonts w:ascii="TimesNewRomanPS-BoldItalicMT"/>
          <w:b/>
          <w:i/>
          <w:color w:val="000000"/>
          <w:sz w:val="24"/>
          <w:shd w:fill="FFFF00" w:color="auto" w:val="clear"/>
        </w:rPr>
        <w:t>[list</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all</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instruments,</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software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requirements,</w:t>
      </w:r>
      <w:r>
        <w:rPr>
          <w:rFonts w:ascii="TimesNewRomanPS-BoldItalicMT"/>
          <w:b/>
          <w:i/>
          <w:color w:val="000000"/>
          <w:sz w:val="24"/>
        </w:rPr>
        <w:t> </w:t>
      </w:r>
      <w:r>
        <w:rPr>
          <w:rFonts w:ascii="TimesNewRomanPS-BoldItalicMT"/>
          <w:b/>
          <w:i/>
          <w:color w:val="000000"/>
          <w:sz w:val="24"/>
          <w:shd w:fill="FFFF00" w:color="auto" w:val="clear"/>
        </w:rPr>
        <w:t>other applicable instrumentation, etc.].</w:t>
      </w:r>
    </w:p>
    <w:p>
      <w:pPr>
        <w:pStyle w:val="BodyText"/>
        <w:spacing w:before="10"/>
        <w:rPr>
          <w:rFonts w:ascii="TimesNewRomanPS-BoldItalicMT"/>
          <w:b/>
          <w:i/>
          <w:sz w:val="20"/>
        </w:rPr>
      </w:pPr>
    </w:p>
    <w:p>
      <w:pPr>
        <w:pStyle w:val="Heading4"/>
        <w:numPr>
          <w:ilvl w:val="0"/>
          <w:numId w:val="15"/>
        </w:numPr>
        <w:tabs>
          <w:tab w:pos="518" w:val="left" w:leader="none"/>
        </w:tabs>
        <w:spacing w:line="240" w:lineRule="auto" w:before="0" w:after="0"/>
        <w:ind w:left="518" w:right="0" w:hanging="358"/>
        <w:jc w:val="left"/>
      </w:pPr>
      <w:bookmarkStart w:name="F. DEVICE DESCRIPTION AND TEST PRINCIPLE" w:id="111"/>
      <w:bookmarkEnd w:id="111"/>
      <w:r>
        <w:rPr>
          <w:b w:val="0"/>
        </w:rPr>
      </w:r>
      <w:r>
        <w:rPr/>
        <w:t>DEVICE</w:t>
      </w:r>
      <w:r>
        <w:rPr>
          <w:spacing w:val="-4"/>
        </w:rPr>
        <w:t> </w:t>
      </w:r>
      <w:r>
        <w:rPr/>
        <w:t>DESCRIPTION</w:t>
      </w:r>
      <w:r>
        <w:rPr>
          <w:spacing w:val="-4"/>
        </w:rPr>
        <w:t> </w:t>
      </w:r>
      <w:r>
        <w:rPr/>
        <w:t>AND</w:t>
      </w:r>
      <w:r>
        <w:rPr>
          <w:spacing w:val="-3"/>
        </w:rPr>
        <w:t> </w:t>
      </w:r>
      <w:r>
        <w:rPr/>
        <w:t>TEST</w:t>
      </w:r>
      <w:r>
        <w:rPr>
          <w:spacing w:val="-3"/>
        </w:rPr>
        <w:t> </w:t>
      </w:r>
      <w:r>
        <w:rPr>
          <w:spacing w:val="-2"/>
        </w:rPr>
        <w:t>PRINCIPLE</w:t>
      </w:r>
    </w:p>
    <w:p>
      <w:pPr>
        <w:pStyle w:val="Heading5"/>
        <w:numPr>
          <w:ilvl w:val="1"/>
          <w:numId w:val="15"/>
        </w:numPr>
        <w:tabs>
          <w:tab w:pos="879" w:val="left" w:leader="none"/>
        </w:tabs>
        <w:spacing w:line="240" w:lineRule="auto" w:before="120" w:after="0"/>
        <w:ind w:left="879" w:right="0" w:hanging="359"/>
        <w:jc w:val="left"/>
      </w:pPr>
      <w:bookmarkStart w:name="1) Product Overview/Test Principle:" w:id="112"/>
      <w:bookmarkEnd w:id="112"/>
      <w:r>
        <w:rPr>
          <w:b w:val="0"/>
        </w:rPr>
      </w:r>
      <w:r>
        <w:rPr>
          <w:u w:val="thick"/>
        </w:rPr>
        <w:t>Product</w:t>
      </w:r>
      <w:r>
        <w:rPr>
          <w:spacing w:val="-5"/>
          <w:u w:val="thick"/>
        </w:rPr>
        <w:t> </w:t>
      </w:r>
      <w:r>
        <w:rPr>
          <w:u w:val="thick"/>
        </w:rPr>
        <w:t>Overview/Test</w:t>
      </w:r>
      <w:r>
        <w:rPr>
          <w:spacing w:val="-4"/>
          <w:u w:val="thick"/>
        </w:rPr>
        <w:t> </w:t>
      </w:r>
      <w:r>
        <w:rPr>
          <w:spacing w:val="-2"/>
          <w:u w:val="thick"/>
        </w:rPr>
        <w:t>Principle:</w:t>
      </w:r>
    </w:p>
    <w:p>
      <w:pPr>
        <w:pStyle w:val="Heading6"/>
        <w:spacing w:before="60"/>
      </w:pPr>
      <w:r>
        <w:rPr>
          <w:color w:val="000000"/>
          <w:shd w:fill="FFFF00" w:color="auto" w:val="clear"/>
        </w:rPr>
        <w:t>[Briefly describe the technology of the test and how this technology identifies the</w:t>
      </w:r>
      <w:r>
        <w:rPr>
          <w:color w:val="000000"/>
        </w:rPr>
        <w:t> </w:t>
      </w:r>
      <w:r>
        <w:rPr>
          <w:color w:val="000000"/>
          <w:shd w:fill="FFFF00" w:color="auto" w:val="clear"/>
        </w:rPr>
        <w:t>measurand (i.e., the test principle), and the instruments/reader employed/required to</w:t>
      </w:r>
      <w:r>
        <w:rPr>
          <w:color w:val="000000"/>
        </w:rPr>
        <w:t> </w:t>
      </w:r>
      <w:r>
        <w:rPr>
          <w:color w:val="000000"/>
          <w:shd w:fill="FFFF00" w:color="auto" w:val="clear"/>
        </w:rPr>
        <w:t>perform</w:t>
      </w:r>
      <w:r>
        <w:rPr>
          <w:color w:val="000000"/>
          <w:spacing w:val="-4"/>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test</w:t>
      </w:r>
      <w:r>
        <w:rPr>
          <w:color w:val="000000"/>
          <w:spacing w:val="-4"/>
          <w:shd w:fill="FFFF00" w:color="auto" w:val="clear"/>
        </w:rPr>
        <w:t> </w:t>
      </w:r>
      <w:r>
        <w:rPr>
          <w:color w:val="000000"/>
          <w:shd w:fill="FFFF00" w:color="auto" w:val="clear"/>
        </w:rPr>
        <w:t>from</w:t>
      </w:r>
      <w:r>
        <w:rPr>
          <w:color w:val="000000"/>
          <w:spacing w:val="-3"/>
          <w:shd w:fill="FFFF00" w:color="auto" w:val="clear"/>
        </w:rPr>
        <w:t> </w:t>
      </w:r>
      <w:r>
        <w:rPr>
          <w:color w:val="000000"/>
          <w:shd w:fill="FFFF00" w:color="auto" w:val="clear"/>
        </w:rPr>
        <w:t>sample</w:t>
      </w:r>
      <w:r>
        <w:rPr>
          <w:color w:val="000000"/>
          <w:spacing w:val="-3"/>
          <w:shd w:fill="FFFF00" w:color="auto" w:val="clear"/>
        </w:rPr>
        <w:t> </w:t>
      </w:r>
      <w:r>
        <w:rPr>
          <w:color w:val="000000"/>
          <w:shd w:fill="FFFF00" w:color="auto" w:val="clear"/>
        </w:rPr>
        <w:t>collection</w:t>
      </w:r>
      <w:r>
        <w:rPr>
          <w:color w:val="000000"/>
          <w:spacing w:val="-4"/>
          <w:shd w:fill="FFFF00" w:color="auto" w:val="clear"/>
        </w:rPr>
        <w:t> </w:t>
      </w:r>
      <w:r>
        <w:rPr>
          <w:color w:val="000000"/>
          <w:shd w:fill="FFFF00" w:color="auto" w:val="clear"/>
        </w:rPr>
        <w:t>to</w:t>
      </w:r>
      <w:r>
        <w:rPr>
          <w:color w:val="000000"/>
          <w:spacing w:val="-3"/>
          <w:shd w:fill="FFFF00" w:color="auto" w:val="clear"/>
        </w:rPr>
        <w:t> </w:t>
      </w:r>
      <w:r>
        <w:rPr>
          <w:color w:val="000000"/>
          <w:shd w:fill="FFFF00" w:color="auto" w:val="clear"/>
        </w:rPr>
        <w:t>result</w:t>
      </w:r>
      <w:r>
        <w:rPr>
          <w:color w:val="000000"/>
          <w:spacing w:val="-4"/>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specimen</w:t>
      </w:r>
      <w:r>
        <w:rPr>
          <w:color w:val="000000"/>
          <w:spacing w:val="-5"/>
          <w:shd w:fill="FFFF00" w:color="auto" w:val="clear"/>
        </w:rPr>
        <w:t> </w:t>
      </w:r>
      <w:r>
        <w:rPr>
          <w:color w:val="000000"/>
          <w:shd w:fill="FFFF00" w:color="auto" w:val="clear"/>
        </w:rPr>
        <w:t>types</w:t>
      </w:r>
      <w:r>
        <w:rPr>
          <w:color w:val="000000"/>
          <w:spacing w:val="-4"/>
          <w:shd w:fill="FFFF00" w:color="auto" w:val="clear"/>
        </w:rPr>
        <w:t> </w:t>
      </w:r>
      <w:r>
        <w:rPr>
          <w:color w:val="000000"/>
          <w:shd w:fill="FFFF00" w:color="auto" w:val="clear"/>
        </w:rPr>
        <w:t>for</w:t>
      </w:r>
      <w:r>
        <w:rPr>
          <w:color w:val="000000"/>
          <w:spacing w:val="-3"/>
          <w:shd w:fill="FFFF00" w:color="auto" w:val="clear"/>
        </w:rPr>
        <w:t> </w:t>
      </w:r>
      <w:r>
        <w:rPr>
          <w:color w:val="000000"/>
          <w:shd w:fill="FFFF00" w:color="auto" w:val="clear"/>
        </w:rPr>
        <w:t>which</w:t>
      </w:r>
      <w:r>
        <w:rPr>
          <w:color w:val="000000"/>
          <w:spacing w:val="-4"/>
          <w:shd w:fill="FFFF00" w:color="auto" w:val="clear"/>
        </w:rPr>
        <w:t> </w:t>
      </w:r>
      <w:r>
        <w:rPr>
          <w:color w:val="000000"/>
          <w:shd w:fill="FFFF00" w:color="auto" w:val="clear"/>
        </w:rPr>
        <w:t>you</w:t>
      </w:r>
      <w:r>
        <w:rPr>
          <w:color w:val="000000"/>
        </w:rPr>
        <w:t> </w:t>
      </w:r>
      <w:r>
        <w:rPr>
          <w:color w:val="000000"/>
          <w:shd w:fill="FFFF00" w:color="auto" w:val="clear"/>
        </w:rPr>
        <w:t>claim to have performance characteristics as described below.]</w:t>
      </w:r>
    </w:p>
    <w:p>
      <w:pPr>
        <w:pStyle w:val="BodyText"/>
        <w:spacing w:before="2"/>
        <w:rPr>
          <w:rFonts w:ascii="TimesNewRomanPS-BoldItalicMT"/>
          <w:b/>
          <w:i/>
          <w:sz w:val="16"/>
        </w:rPr>
      </w:pPr>
    </w:p>
    <w:p>
      <w:pPr>
        <w:pStyle w:val="Heading6"/>
        <w:ind w:right="278"/>
      </w:pPr>
      <w:r>
        <w:rPr>
          <w:rFonts w:ascii="Times New Roman"/>
          <w:b w:val="0"/>
          <w:i w:val="0"/>
        </w:rPr>
        <w:t>The</w:t>
      </w:r>
      <w:r>
        <w:rPr>
          <w:rFonts w:ascii="Times New Roman"/>
          <w:b w:val="0"/>
          <w:i w:val="0"/>
          <w:spacing w:val="-3"/>
        </w:rPr>
        <w:t> </w:t>
      </w:r>
      <w:r>
        <w:rPr>
          <w:color w:val="000000"/>
          <w:shd w:fill="FFFF00" w:color="auto" w:val="clear"/>
        </w:rPr>
        <w:t>[test</w:t>
      </w:r>
      <w:r>
        <w:rPr>
          <w:color w:val="000000"/>
          <w:spacing w:val="-3"/>
          <w:shd w:fill="FFFF00" w:color="auto" w:val="clear"/>
        </w:rPr>
        <w:t> </w:t>
      </w:r>
      <w:r>
        <w:rPr>
          <w:color w:val="000000"/>
          <w:shd w:fill="FFFF00" w:color="auto" w:val="clear"/>
        </w:rPr>
        <w:t>name]</w:t>
      </w:r>
      <w:r>
        <w:rPr>
          <w:color w:val="000000"/>
          <w:spacing w:val="-3"/>
        </w:rPr>
        <w:t> </w:t>
      </w:r>
      <w:r>
        <w:rPr>
          <w:rFonts w:ascii="Times New Roman"/>
          <w:b w:val="0"/>
          <w:i w:val="0"/>
          <w:color w:val="000000"/>
        </w:rPr>
        <w:t>uses</w:t>
      </w:r>
      <w:r>
        <w:rPr>
          <w:rFonts w:ascii="Times New Roman"/>
          <w:b w:val="0"/>
          <w:i w:val="0"/>
          <w:color w:val="000000"/>
          <w:spacing w:val="-3"/>
        </w:rPr>
        <w:t> </w:t>
      </w:r>
      <w:r>
        <w:rPr>
          <w:rFonts w:ascii="Times New Roman"/>
          <w:b w:val="0"/>
          <w:i w:val="0"/>
          <w:color w:val="000000"/>
        </w:rPr>
        <w:t>the</w:t>
      </w:r>
      <w:r>
        <w:rPr>
          <w:rFonts w:ascii="Times New Roman"/>
          <w:b w:val="0"/>
          <w:i w:val="0"/>
          <w:color w:val="000000"/>
          <w:spacing w:val="-4"/>
        </w:rPr>
        <w:t> </w:t>
      </w:r>
      <w:r>
        <w:rPr>
          <w:rFonts w:ascii="Times New Roman"/>
          <w:b w:val="0"/>
          <w:i w:val="0"/>
          <w:color w:val="000000"/>
        </w:rPr>
        <w:t>following:</w:t>
      </w:r>
      <w:r>
        <w:rPr>
          <w:rFonts w:ascii="Times New Roman"/>
          <w:b w:val="0"/>
          <w:i w:val="0"/>
          <w:color w:val="000000"/>
          <w:spacing w:val="-3"/>
        </w:rPr>
        <w:t> </w:t>
      </w:r>
      <w:r>
        <w:rPr>
          <w:color w:val="000000"/>
          <w:shd w:fill="FFFF00" w:color="auto" w:val="clear"/>
        </w:rPr>
        <w:t>[List</w:t>
      </w:r>
      <w:r>
        <w:rPr>
          <w:color w:val="000000"/>
          <w:spacing w:val="-3"/>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antigen(s)</w:t>
      </w:r>
      <w:r>
        <w:rPr>
          <w:color w:val="000000"/>
          <w:spacing w:val="-3"/>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antibodies</w:t>
      </w:r>
      <w:r>
        <w:rPr>
          <w:color w:val="000000"/>
          <w:spacing w:val="-3"/>
          <w:shd w:fill="FFFF00" w:color="auto" w:val="clear"/>
        </w:rPr>
        <w:t> </w:t>
      </w:r>
      <w:r>
        <w:rPr>
          <w:color w:val="000000"/>
          <w:shd w:fill="FFFF00" w:color="auto" w:val="clear"/>
        </w:rPr>
        <w:t>used</w:t>
      </w:r>
      <w:r>
        <w:rPr>
          <w:color w:val="000000"/>
          <w:spacing w:val="-3"/>
          <w:shd w:fill="FFFF00" w:color="auto" w:val="clear"/>
        </w:rPr>
        <w:t> </w:t>
      </w:r>
      <w:r>
        <w:rPr>
          <w:color w:val="000000"/>
          <w:shd w:fill="FFFF00" w:color="auto" w:val="clear"/>
        </w:rPr>
        <w:t>in</w:t>
      </w:r>
      <w:r>
        <w:rPr>
          <w:color w:val="000000"/>
          <w:spacing w:val="-4"/>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assay</w:t>
      </w:r>
      <w:r>
        <w:rPr>
          <w:color w:val="000000"/>
        </w:rPr>
        <w:t> </w:t>
      </w:r>
      <w:r>
        <w:rPr>
          <w:color w:val="000000"/>
          <w:shd w:fill="FFFF00" w:color="auto" w:val="clear"/>
        </w:rPr>
        <w:t>to detect the antibodies in human specimens]</w:t>
      </w:r>
    </w:p>
    <w:p>
      <w:pPr>
        <w:pStyle w:val="BodyText"/>
        <w:spacing w:before="10"/>
        <w:rPr>
          <w:rFonts w:ascii="TimesNewRomanPS-BoldItalicMT"/>
          <w:b/>
          <w:i/>
          <w:sz w:val="20"/>
        </w:rPr>
      </w:pPr>
    </w:p>
    <w:p>
      <w:pPr>
        <w:pStyle w:val="ListParagraph"/>
        <w:numPr>
          <w:ilvl w:val="1"/>
          <w:numId w:val="15"/>
        </w:numPr>
        <w:tabs>
          <w:tab w:pos="880" w:val="left" w:leader="none"/>
        </w:tabs>
        <w:spacing w:line="240" w:lineRule="auto" w:before="0" w:after="0"/>
        <w:ind w:left="880" w:right="938" w:hanging="360"/>
        <w:jc w:val="left"/>
        <w:rPr>
          <w:b/>
          <w:sz w:val="24"/>
        </w:rPr>
      </w:pPr>
      <w:bookmarkStart w:name="2) Description of Test Steps: [Describe " w:id="113"/>
      <w:bookmarkEnd w:id="113"/>
      <w:r>
        <w:rPr/>
      </w:r>
      <w:r>
        <w:rPr>
          <w:b/>
          <w:sz w:val="24"/>
          <w:u w:val="thick"/>
        </w:rPr>
        <w:t>Description</w:t>
      </w:r>
      <w:r>
        <w:rPr>
          <w:b/>
          <w:spacing w:val="-5"/>
          <w:sz w:val="24"/>
          <w:u w:val="thick"/>
        </w:rPr>
        <w:t> </w:t>
      </w:r>
      <w:r>
        <w:rPr>
          <w:b/>
          <w:sz w:val="24"/>
          <w:u w:val="thick"/>
        </w:rPr>
        <w:t>of</w:t>
      </w:r>
      <w:r>
        <w:rPr>
          <w:b/>
          <w:spacing w:val="-3"/>
          <w:sz w:val="24"/>
          <w:u w:val="thick"/>
        </w:rPr>
        <w:t> </w:t>
      </w:r>
      <w:r>
        <w:rPr>
          <w:b/>
          <w:sz w:val="24"/>
          <w:u w:val="thick"/>
        </w:rPr>
        <w:t>Test</w:t>
      </w:r>
      <w:r>
        <w:rPr>
          <w:b/>
          <w:spacing w:val="-3"/>
          <w:sz w:val="24"/>
          <w:u w:val="thick"/>
        </w:rPr>
        <w:t> </w:t>
      </w:r>
      <w:r>
        <w:rPr>
          <w:b/>
          <w:sz w:val="24"/>
          <w:u w:val="thick"/>
        </w:rPr>
        <w:t>Steps</w:t>
      </w:r>
      <w:r>
        <w:rPr>
          <w:b/>
          <w:sz w:val="24"/>
        </w:rPr>
        <w:t>:</w:t>
      </w:r>
      <w:r>
        <w:rPr>
          <w:b/>
          <w:spacing w:val="-3"/>
          <w:sz w:val="24"/>
        </w:rPr>
        <w:t> </w:t>
      </w:r>
      <w:r>
        <w:rPr>
          <w:rFonts w:ascii="TimesNewRomanPS-BoldItalicMT"/>
          <w:b/>
          <w:i/>
          <w:color w:val="000000"/>
          <w:sz w:val="24"/>
          <w:shd w:fill="FFFF00" w:color="auto" w:val="clear"/>
        </w:rPr>
        <w:t>[Describe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in</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order</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the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steps</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of</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the</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test</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from</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specimen</w:t>
      </w:r>
      <w:r>
        <w:rPr>
          <w:rFonts w:ascii="TimesNewRomanPS-BoldItalicMT"/>
          <w:b/>
          <w:i/>
          <w:color w:val="000000"/>
          <w:sz w:val="24"/>
        </w:rPr>
        <w:t> </w:t>
      </w:r>
      <w:r>
        <w:rPr>
          <w:rFonts w:ascii="TimesNewRomanPS-BoldItalicMT"/>
          <w:b/>
          <w:i/>
          <w:color w:val="000000"/>
          <w:sz w:val="24"/>
          <w:shd w:fill="FFFF00" w:color="auto" w:val="clear"/>
        </w:rPr>
        <w:t>collection to result output.]</w:t>
      </w:r>
    </w:p>
    <w:p>
      <w:pPr>
        <w:pStyle w:val="BodyText"/>
        <w:spacing w:before="2"/>
        <w:rPr>
          <w:rFonts w:ascii="TimesNewRomanPS-BoldItalicMT"/>
          <w:b/>
          <w:i/>
          <w:sz w:val="29"/>
        </w:rPr>
      </w:pPr>
    </w:p>
    <w:p>
      <w:pPr>
        <w:pStyle w:val="Heading6"/>
        <w:numPr>
          <w:ilvl w:val="1"/>
          <w:numId w:val="15"/>
        </w:numPr>
        <w:tabs>
          <w:tab w:pos="879" w:val="left" w:leader="none"/>
        </w:tabs>
        <w:spacing w:line="240" w:lineRule="auto" w:before="1" w:after="0"/>
        <w:ind w:left="879" w:right="0" w:hanging="359"/>
        <w:jc w:val="left"/>
      </w:pPr>
      <w:r>
        <w:rPr>
          <w:u w:val="thick"/>
        </w:rPr>
        <w:t>Control</w:t>
      </w:r>
      <w:r>
        <w:rPr>
          <w:spacing w:val="-2"/>
          <w:u w:val="thick"/>
        </w:rPr>
        <w:t> Material</w:t>
      </w:r>
    </w:p>
    <w:p>
      <w:pPr>
        <w:pStyle w:val="Heading6"/>
        <w:spacing w:before="0"/>
        <w:ind w:right="278"/>
      </w:pPr>
      <w:r>
        <w:rPr>
          <w:color w:val="000000"/>
          <w:shd w:fill="FFFF00" w:color="auto" w:val="clear"/>
        </w:rPr>
        <w:t>[Please</w:t>
      </w:r>
      <w:r>
        <w:rPr>
          <w:color w:val="000000"/>
          <w:spacing w:val="-4"/>
          <w:shd w:fill="FFFF00" w:color="auto" w:val="clear"/>
        </w:rPr>
        <w:t> </w:t>
      </w:r>
      <w:r>
        <w:rPr>
          <w:color w:val="000000"/>
          <w:shd w:fill="FFFF00" w:color="auto" w:val="clear"/>
        </w:rPr>
        <w:t>describe</w:t>
      </w:r>
      <w:r>
        <w:rPr>
          <w:color w:val="000000"/>
          <w:spacing w:val="-4"/>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assay</w:t>
      </w:r>
      <w:r>
        <w:rPr>
          <w:color w:val="000000"/>
          <w:spacing w:val="-4"/>
          <w:shd w:fill="FFFF00" w:color="auto" w:val="clear"/>
        </w:rPr>
        <w:t> </w:t>
      </w:r>
      <w:r>
        <w:rPr>
          <w:color w:val="000000"/>
          <w:shd w:fill="FFFF00" w:color="auto" w:val="clear"/>
        </w:rPr>
        <w:t>controls</w:t>
      </w:r>
      <w:r>
        <w:rPr>
          <w:color w:val="000000"/>
          <w:spacing w:val="-5"/>
          <w:shd w:fill="FFFF00" w:color="auto" w:val="clear"/>
        </w:rPr>
        <w:t> </w:t>
      </w:r>
      <w:r>
        <w:rPr>
          <w:color w:val="000000"/>
          <w:shd w:fill="FFFF00" w:color="auto" w:val="clear"/>
        </w:rPr>
        <w:t>to</w:t>
      </w:r>
      <w:r>
        <w:rPr>
          <w:color w:val="000000"/>
          <w:spacing w:val="-4"/>
          <w:shd w:fill="FFFF00" w:color="auto" w:val="clear"/>
        </w:rPr>
        <w:t> </w:t>
      </w:r>
      <w:r>
        <w:rPr>
          <w:color w:val="000000"/>
          <w:shd w:fill="FFFF00" w:color="auto" w:val="clear"/>
        </w:rPr>
        <w:t>be</w:t>
      </w:r>
      <w:r>
        <w:rPr>
          <w:color w:val="000000"/>
          <w:spacing w:val="-4"/>
          <w:shd w:fill="FFFF00" w:color="auto" w:val="clear"/>
        </w:rPr>
        <w:t> </w:t>
      </w:r>
      <w:r>
        <w:rPr>
          <w:color w:val="000000"/>
          <w:shd w:fill="FFFF00" w:color="auto" w:val="clear"/>
        </w:rPr>
        <w:t>performed</w:t>
      </w:r>
      <w:r>
        <w:rPr>
          <w:color w:val="000000"/>
          <w:spacing w:val="-4"/>
          <w:shd w:fill="FFFF00" w:color="auto" w:val="clear"/>
        </w:rPr>
        <w:t> </w:t>
      </w:r>
      <w:r>
        <w:rPr>
          <w:color w:val="000000"/>
          <w:shd w:fill="FFFF00" w:color="auto" w:val="clear"/>
        </w:rPr>
        <w:t>in</w:t>
      </w:r>
      <w:r>
        <w:rPr>
          <w:color w:val="000000"/>
          <w:spacing w:val="-5"/>
          <w:shd w:fill="FFFF00" w:color="auto" w:val="clear"/>
        </w:rPr>
        <w:t> </w:t>
      </w:r>
      <w:r>
        <w:rPr>
          <w:color w:val="000000"/>
          <w:shd w:fill="FFFF00" w:color="auto" w:val="clear"/>
        </w:rPr>
        <w:t>the</w:t>
      </w:r>
      <w:r>
        <w:rPr>
          <w:color w:val="000000"/>
          <w:spacing w:val="-5"/>
          <w:shd w:fill="FFFF00" w:color="auto" w:val="clear"/>
        </w:rPr>
        <w:t> </w:t>
      </w:r>
      <w:r>
        <w:rPr>
          <w:color w:val="000000"/>
          <w:shd w:fill="FFFF00" w:color="auto" w:val="clear"/>
        </w:rPr>
        <w:t>laboratory,</w:t>
      </w:r>
      <w:r>
        <w:rPr>
          <w:color w:val="000000"/>
          <w:spacing w:val="-4"/>
          <w:shd w:fill="FFFF00" w:color="auto" w:val="clear"/>
        </w:rPr>
        <w:t> </w:t>
      </w:r>
      <w:r>
        <w:rPr>
          <w:color w:val="000000"/>
          <w:shd w:fill="FFFF00" w:color="auto" w:val="clear"/>
        </w:rPr>
        <w:t>including</w:t>
      </w:r>
      <w:r>
        <w:rPr>
          <w:color w:val="000000"/>
          <w:spacing w:val="-4"/>
          <w:shd w:fill="FFFF00" w:color="auto" w:val="clear"/>
        </w:rPr>
        <w:t> </w:t>
      </w:r>
      <w:r>
        <w:rPr>
          <w:color w:val="000000"/>
          <w:shd w:fill="FFFF00" w:color="auto" w:val="clear"/>
        </w:rPr>
        <w:t>the</w:t>
      </w:r>
      <w:r>
        <w:rPr>
          <w:color w:val="000000"/>
        </w:rPr>
        <w:t> </w:t>
      </w:r>
      <w:r>
        <w:rPr>
          <w:color w:val="000000"/>
          <w:shd w:fill="FFFF00" w:color="auto" w:val="clear"/>
        </w:rPr>
        <w:t>positive control for each antibody class the test is intended to detect, the negative</w:t>
      </w:r>
      <w:r>
        <w:rPr>
          <w:color w:val="000000"/>
        </w:rPr>
        <w:t> </w:t>
      </w:r>
      <w:r>
        <w:rPr>
          <w:color w:val="000000"/>
          <w:shd w:fill="FFFF00" w:color="auto" w:val="clear"/>
        </w:rPr>
        <w:t>control, and any other necessary controls. Please also describe the frequency with</w:t>
      </w:r>
      <w:r>
        <w:rPr>
          <w:color w:val="000000"/>
        </w:rPr>
        <w:t> </w:t>
      </w:r>
      <w:bookmarkStart w:name="G. INTERPRETATION OF RESULTS" w:id="114"/>
      <w:bookmarkEnd w:id="114"/>
      <w:r>
        <w:rPr>
          <w:color w:val="000000"/>
        </w:rPr>
      </w:r>
      <w:r>
        <w:rPr>
          <w:color w:val="000000"/>
          <w:shd w:fill="FFFF00" w:color="auto" w:val="clear"/>
        </w:rPr>
        <w:t>which controls will be performed.]</w:t>
      </w:r>
    </w:p>
    <w:p>
      <w:pPr>
        <w:pStyle w:val="BodyText"/>
        <w:spacing w:before="9"/>
        <w:rPr>
          <w:rFonts w:ascii="TimesNewRomanPS-BoldItalicMT"/>
          <w:b/>
          <w:i/>
          <w:sz w:val="20"/>
        </w:rPr>
      </w:pPr>
    </w:p>
    <w:p>
      <w:pPr>
        <w:pStyle w:val="Heading4"/>
        <w:numPr>
          <w:ilvl w:val="0"/>
          <w:numId w:val="15"/>
        </w:numPr>
        <w:tabs>
          <w:tab w:pos="518" w:val="left" w:leader="none"/>
        </w:tabs>
        <w:spacing w:line="240" w:lineRule="auto" w:before="1" w:after="0"/>
        <w:ind w:left="518" w:right="0" w:hanging="358"/>
        <w:jc w:val="left"/>
      </w:pPr>
      <w:r>
        <w:rPr/>
        <w:t>INTERPRETATION</w:t>
      </w:r>
      <w:r>
        <w:rPr>
          <w:spacing w:val="-5"/>
        </w:rPr>
        <w:t> </w:t>
      </w:r>
      <w:r>
        <w:rPr/>
        <w:t>OF</w:t>
      </w:r>
      <w:r>
        <w:rPr>
          <w:spacing w:val="-4"/>
        </w:rPr>
        <w:t> </w:t>
      </w:r>
      <w:r>
        <w:rPr>
          <w:spacing w:val="-2"/>
        </w:rPr>
        <w:t>RESULTS</w:t>
      </w:r>
    </w:p>
    <w:p>
      <w:pPr>
        <w:pStyle w:val="BodyText"/>
        <w:spacing w:before="118"/>
        <w:ind w:left="520" w:right="341"/>
      </w:pPr>
      <w:r>
        <w:rPr/>
        <w:t>Assessment of </w:t>
      </w:r>
      <w:r>
        <w:rPr>
          <w:rFonts w:ascii="TimesNewRomanPS-BoldItalicMT"/>
          <w:b/>
          <w:i/>
          <w:color w:val="000000"/>
          <w:shd w:fill="FFFF00" w:color="auto" w:val="clear"/>
        </w:rPr>
        <w:t>[test name]</w:t>
      </w:r>
      <w:r>
        <w:rPr>
          <w:rFonts w:ascii="TimesNewRomanPS-BoldItalicMT"/>
          <w:b/>
          <w:i/>
          <w:color w:val="000000"/>
        </w:rPr>
        <w:t> </w:t>
      </w:r>
      <w:r>
        <w:rPr>
          <w:color w:val="000000"/>
        </w:rPr>
        <w:t>results should be performed after the positive and negative controls</w:t>
      </w:r>
      <w:r>
        <w:rPr>
          <w:color w:val="000000"/>
          <w:spacing w:val="-3"/>
        </w:rPr>
        <w:t> </w:t>
      </w:r>
      <w:r>
        <w:rPr>
          <w:color w:val="000000"/>
        </w:rPr>
        <w:t>have</w:t>
      </w:r>
      <w:r>
        <w:rPr>
          <w:color w:val="000000"/>
          <w:spacing w:val="-3"/>
        </w:rPr>
        <w:t> </w:t>
      </w:r>
      <w:r>
        <w:rPr>
          <w:color w:val="000000"/>
        </w:rPr>
        <w:t>been</w:t>
      </w:r>
      <w:r>
        <w:rPr>
          <w:color w:val="000000"/>
          <w:spacing w:val="-3"/>
        </w:rPr>
        <w:t> </w:t>
      </w:r>
      <w:r>
        <w:rPr>
          <w:color w:val="000000"/>
        </w:rPr>
        <w:t>examined</w:t>
      </w:r>
      <w:r>
        <w:rPr>
          <w:color w:val="000000"/>
          <w:spacing w:val="-3"/>
        </w:rPr>
        <w:t> </w:t>
      </w:r>
      <w:r>
        <w:rPr>
          <w:color w:val="000000"/>
        </w:rPr>
        <w:t>and</w:t>
      </w:r>
      <w:r>
        <w:rPr>
          <w:color w:val="000000"/>
          <w:spacing w:val="-3"/>
        </w:rPr>
        <w:t> </w:t>
      </w:r>
      <w:r>
        <w:rPr>
          <w:color w:val="000000"/>
        </w:rPr>
        <w:t>determined</w:t>
      </w:r>
      <w:r>
        <w:rPr>
          <w:color w:val="000000"/>
          <w:spacing w:val="-3"/>
        </w:rPr>
        <w:t> </w:t>
      </w:r>
      <w:r>
        <w:rPr>
          <w:color w:val="000000"/>
        </w:rPr>
        <w:t>to</w:t>
      </w:r>
      <w:r>
        <w:rPr>
          <w:color w:val="000000"/>
          <w:spacing w:val="-3"/>
        </w:rPr>
        <w:t> </w:t>
      </w:r>
      <w:r>
        <w:rPr>
          <w:color w:val="000000"/>
        </w:rPr>
        <w:t>be</w:t>
      </w:r>
      <w:r>
        <w:rPr>
          <w:color w:val="000000"/>
          <w:spacing w:val="-3"/>
        </w:rPr>
        <w:t> </w:t>
      </w:r>
      <w:r>
        <w:rPr>
          <w:color w:val="000000"/>
        </w:rPr>
        <w:t>valid</w:t>
      </w:r>
      <w:r>
        <w:rPr>
          <w:color w:val="000000"/>
          <w:spacing w:val="-5"/>
        </w:rPr>
        <w:t> </w:t>
      </w:r>
      <w:r>
        <w:rPr>
          <w:color w:val="000000"/>
        </w:rPr>
        <w:t>and</w:t>
      </w:r>
      <w:r>
        <w:rPr>
          <w:color w:val="000000"/>
          <w:spacing w:val="-3"/>
        </w:rPr>
        <w:t> </w:t>
      </w:r>
      <w:r>
        <w:rPr>
          <w:color w:val="000000"/>
        </w:rPr>
        <w:t>acceptable.</w:t>
      </w:r>
      <w:r>
        <w:rPr>
          <w:color w:val="000000"/>
          <w:spacing w:val="-3"/>
        </w:rPr>
        <w:t> </w:t>
      </w:r>
      <w:r>
        <w:rPr>
          <w:color w:val="000000"/>
        </w:rPr>
        <w:t>If</w:t>
      </w:r>
      <w:r>
        <w:rPr>
          <w:color w:val="000000"/>
          <w:spacing w:val="-5"/>
        </w:rPr>
        <w:t> </w:t>
      </w:r>
      <w:r>
        <w:rPr>
          <w:color w:val="000000"/>
        </w:rPr>
        <w:t>the</w:t>
      </w:r>
      <w:r>
        <w:rPr>
          <w:color w:val="000000"/>
          <w:spacing w:val="-3"/>
        </w:rPr>
        <w:t> </w:t>
      </w:r>
      <w:r>
        <w:rPr>
          <w:color w:val="000000"/>
        </w:rPr>
        <w:t>controls</w:t>
      </w:r>
      <w:r>
        <w:rPr>
          <w:color w:val="000000"/>
          <w:spacing w:val="-4"/>
        </w:rPr>
        <w:t> </w:t>
      </w:r>
      <w:r>
        <w:rPr>
          <w:color w:val="000000"/>
        </w:rPr>
        <w:t>are </w:t>
      </w:r>
      <w:bookmarkStart w:name="[Clearly indicate how to interpret numer" w:id="115"/>
      <w:bookmarkEnd w:id="115"/>
      <w:r>
        <w:rPr>
          <w:color w:val="000000"/>
        </w:rPr>
        <w:t>not</w:t>
      </w:r>
      <w:r>
        <w:rPr>
          <w:color w:val="000000"/>
        </w:rPr>
        <w:t> valid, the patient results cannot be interpreted.</w:t>
      </w:r>
    </w:p>
    <w:p>
      <w:pPr>
        <w:pStyle w:val="Heading6"/>
        <w:spacing w:before="121"/>
        <w:ind w:left="520" w:right="250"/>
      </w:pPr>
      <w:r>
        <w:rPr>
          <w:rFonts w:ascii="Times New Roman"/>
          <w:i w:val="0"/>
          <w:color w:val="000000"/>
          <w:shd w:fill="FFFF00" w:color="auto" w:val="clear"/>
        </w:rPr>
        <w:t>[</w:t>
      </w:r>
      <w:r>
        <w:rPr>
          <w:color w:val="000000"/>
          <w:shd w:fill="FFFF00" w:color="auto" w:val="clear"/>
        </w:rPr>
        <w:t>Clearly indicate how to interpret numeric test values as positive or negative for the</w:t>
      </w:r>
      <w:r>
        <w:rPr>
          <w:color w:val="000000"/>
        </w:rPr>
        <w:t> </w:t>
      </w:r>
      <w:r>
        <w:rPr>
          <w:color w:val="000000"/>
          <w:shd w:fill="FFFF00" w:color="auto" w:val="clear"/>
        </w:rPr>
        <w:t>presence of antibodies against SARS-CoV-2. If applicable, indicate how to identify</w:t>
      </w:r>
      <w:r>
        <w:rPr>
          <w:color w:val="000000"/>
        </w:rPr>
        <w:t> </w:t>
      </w:r>
      <w:r>
        <w:rPr>
          <w:color w:val="000000"/>
          <w:shd w:fill="FFFF00" w:color="auto" w:val="clear"/>
        </w:rPr>
        <w:t>indeterminate/equivocal</w:t>
      </w:r>
      <w:r>
        <w:rPr>
          <w:color w:val="000000"/>
          <w:spacing w:val="-4"/>
          <w:shd w:fill="FFFF00" w:color="auto" w:val="clear"/>
        </w:rPr>
        <w:t> </w:t>
      </w:r>
      <w:r>
        <w:rPr>
          <w:color w:val="000000"/>
          <w:shd w:fill="FFFF00" w:color="auto" w:val="clear"/>
        </w:rPr>
        <w:t>results</w:t>
      </w:r>
      <w:r>
        <w:rPr>
          <w:color w:val="000000"/>
          <w:spacing w:val="-3"/>
          <w:shd w:fill="FFFF00" w:color="auto" w:val="clear"/>
        </w:rPr>
        <w:t> </w:t>
      </w:r>
      <w:r>
        <w:rPr>
          <w:color w:val="000000"/>
          <w:shd w:fill="FFFF00" w:color="auto" w:val="clear"/>
        </w:rPr>
        <w:t>and</w:t>
      </w:r>
      <w:r>
        <w:rPr>
          <w:color w:val="000000"/>
          <w:spacing w:val="-5"/>
          <w:shd w:fill="FFFF00" w:color="auto" w:val="clear"/>
        </w:rPr>
        <w:t> </w:t>
      </w:r>
      <w:r>
        <w:rPr>
          <w:color w:val="000000"/>
          <w:shd w:fill="FFFF00" w:color="auto" w:val="clear"/>
        </w:rPr>
        <w:t>how</w:t>
      </w:r>
      <w:r>
        <w:rPr>
          <w:color w:val="000000"/>
          <w:spacing w:val="-4"/>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user</w:t>
      </w:r>
      <w:r>
        <w:rPr>
          <w:color w:val="000000"/>
          <w:spacing w:val="-3"/>
          <w:shd w:fill="FFFF00" w:color="auto" w:val="clear"/>
        </w:rPr>
        <w:t> </w:t>
      </w:r>
      <w:r>
        <w:rPr>
          <w:color w:val="000000"/>
          <w:shd w:fill="FFFF00" w:color="auto" w:val="clear"/>
        </w:rPr>
        <w:t>should</w:t>
      </w:r>
      <w:r>
        <w:rPr>
          <w:color w:val="000000"/>
          <w:spacing w:val="-3"/>
          <w:shd w:fill="FFFF00" w:color="auto" w:val="clear"/>
        </w:rPr>
        <w:t> </w:t>
      </w:r>
      <w:r>
        <w:rPr>
          <w:color w:val="000000"/>
          <w:shd w:fill="FFFF00" w:color="auto" w:val="clear"/>
        </w:rPr>
        <w:t>resolve</w:t>
      </w:r>
      <w:r>
        <w:rPr>
          <w:color w:val="000000"/>
          <w:spacing w:val="-3"/>
          <w:shd w:fill="FFFF00" w:color="auto" w:val="clear"/>
        </w:rPr>
        <w:t> </w:t>
      </w:r>
      <w:r>
        <w:rPr>
          <w:color w:val="000000"/>
          <w:shd w:fill="FFFF00" w:color="auto" w:val="clear"/>
        </w:rPr>
        <w:t>them.</w:t>
      </w:r>
      <w:r>
        <w:rPr>
          <w:color w:val="000000"/>
          <w:spacing w:val="-5"/>
          <w:shd w:fill="FFFF00" w:color="auto" w:val="clear"/>
        </w:rPr>
        <w:t> </w:t>
      </w:r>
      <w:r>
        <w:rPr>
          <w:color w:val="000000"/>
          <w:shd w:fill="FFFF00" w:color="auto" w:val="clear"/>
        </w:rPr>
        <w:t>Also</w:t>
      </w:r>
      <w:r>
        <w:rPr>
          <w:color w:val="000000"/>
          <w:spacing w:val="-3"/>
          <w:shd w:fill="FFFF00" w:color="auto" w:val="clear"/>
        </w:rPr>
        <w:t> </w:t>
      </w:r>
      <w:r>
        <w:rPr>
          <w:color w:val="000000"/>
          <w:shd w:fill="FFFF00" w:color="auto" w:val="clear"/>
        </w:rPr>
        <w:t>describe</w:t>
      </w:r>
      <w:r>
        <w:rPr>
          <w:color w:val="000000"/>
          <w:spacing w:val="-3"/>
          <w:shd w:fill="FFFF00" w:color="auto" w:val="clear"/>
        </w:rPr>
        <w:t> </w:t>
      </w:r>
      <w:r>
        <w:rPr>
          <w:color w:val="000000"/>
          <w:shd w:fill="FFFF00" w:color="auto" w:val="clear"/>
        </w:rPr>
        <w:t>if</w:t>
      </w:r>
      <w:r>
        <w:rPr>
          <w:color w:val="000000"/>
          <w:spacing w:val="-3"/>
          <w:shd w:fill="FFFF00" w:color="auto" w:val="clear"/>
        </w:rPr>
        <w:t> </w:t>
      </w:r>
      <w:r>
        <w:rPr>
          <w:color w:val="000000"/>
          <w:shd w:fill="FFFF00" w:color="auto" w:val="clear"/>
        </w:rPr>
        <w:t>and</w:t>
      </w:r>
      <w:r>
        <w:rPr>
          <w:color w:val="000000"/>
        </w:rPr>
        <w:t> </w:t>
      </w:r>
      <w:r>
        <w:rPr>
          <w:color w:val="000000"/>
          <w:shd w:fill="FFFF00" w:color="auto" w:val="clear"/>
        </w:rPr>
        <w:t>when repeat testing may be required.]</w:t>
      </w:r>
    </w:p>
    <w:p>
      <w:pPr>
        <w:pStyle w:val="BodyText"/>
        <w:spacing w:before="9"/>
        <w:rPr>
          <w:rFonts w:ascii="TimesNewRomanPS-BoldItalicMT"/>
          <w:b/>
          <w:i/>
          <w:sz w:val="20"/>
        </w:rPr>
      </w:pPr>
    </w:p>
    <w:p>
      <w:pPr>
        <w:pStyle w:val="Heading4"/>
        <w:numPr>
          <w:ilvl w:val="0"/>
          <w:numId w:val="15"/>
        </w:numPr>
        <w:tabs>
          <w:tab w:pos="518" w:val="left" w:leader="none"/>
        </w:tabs>
        <w:spacing w:line="240" w:lineRule="auto" w:before="1" w:after="0"/>
        <w:ind w:left="518" w:right="0" w:hanging="358"/>
        <w:jc w:val="left"/>
      </w:pPr>
      <w:bookmarkStart w:name="H. PERFORMANCE EVALUATION" w:id="116"/>
      <w:bookmarkEnd w:id="116"/>
      <w:r>
        <w:rPr>
          <w:b w:val="0"/>
        </w:rPr>
      </w:r>
      <w:r>
        <w:rPr/>
        <w:t>PERFORMANCE</w:t>
      </w:r>
      <w:r>
        <w:rPr>
          <w:spacing w:val="-7"/>
        </w:rPr>
        <w:t> </w:t>
      </w:r>
      <w:r>
        <w:rPr>
          <w:spacing w:val="-2"/>
        </w:rPr>
        <w:t>EVALUATION</w:t>
      </w:r>
    </w:p>
    <w:p>
      <w:pPr>
        <w:pStyle w:val="Heading5"/>
        <w:numPr>
          <w:ilvl w:val="1"/>
          <w:numId w:val="15"/>
        </w:numPr>
        <w:tabs>
          <w:tab w:pos="879" w:val="left" w:leader="none"/>
        </w:tabs>
        <w:spacing w:line="240" w:lineRule="auto" w:before="120" w:after="0"/>
        <w:ind w:left="879" w:right="0" w:hanging="359"/>
        <w:jc w:val="left"/>
      </w:pPr>
      <w:bookmarkStart w:name="1) Analytical Sensitivity and Specificit" w:id="117"/>
      <w:bookmarkEnd w:id="117"/>
      <w:r>
        <w:rPr>
          <w:b w:val="0"/>
        </w:rPr>
      </w:r>
      <w:r>
        <w:rPr>
          <w:u w:val="thick"/>
        </w:rPr>
        <w:t>Analytical</w:t>
      </w:r>
      <w:r>
        <w:rPr>
          <w:spacing w:val="-4"/>
          <w:u w:val="thick"/>
        </w:rPr>
        <w:t> </w:t>
      </w:r>
      <w:r>
        <w:rPr>
          <w:u w:val="thick"/>
        </w:rPr>
        <w:t>Sensitivity</w:t>
      </w:r>
      <w:r>
        <w:rPr>
          <w:spacing w:val="-4"/>
          <w:u w:val="thick"/>
        </w:rPr>
        <w:t> </w:t>
      </w:r>
      <w:r>
        <w:rPr>
          <w:u w:val="thick"/>
        </w:rPr>
        <w:t>and</w:t>
      </w:r>
      <w:r>
        <w:rPr>
          <w:spacing w:val="-3"/>
          <w:u w:val="thick"/>
        </w:rPr>
        <w:t> </w:t>
      </w:r>
      <w:r>
        <w:rPr>
          <w:spacing w:val="-2"/>
          <w:u w:val="thick"/>
        </w:rPr>
        <w:t>Specificity</w:t>
      </w:r>
    </w:p>
    <w:p>
      <w:pPr>
        <w:pStyle w:val="ListParagraph"/>
        <w:numPr>
          <w:ilvl w:val="2"/>
          <w:numId w:val="15"/>
        </w:numPr>
        <w:tabs>
          <w:tab w:pos="1238" w:val="left" w:leader="none"/>
        </w:tabs>
        <w:spacing w:line="240" w:lineRule="auto" w:before="120" w:after="0"/>
        <w:ind w:left="1238" w:right="0" w:hanging="358"/>
        <w:jc w:val="left"/>
        <w:rPr>
          <w:i/>
          <w:sz w:val="24"/>
        </w:rPr>
      </w:pPr>
      <w:r>
        <w:rPr>
          <w:i/>
          <w:spacing w:val="-2"/>
          <w:sz w:val="24"/>
        </w:rPr>
        <w:t>Reactivity/lnclusivity:</w:t>
      </w:r>
    </w:p>
    <w:p>
      <w:pPr>
        <w:pStyle w:val="BodyText"/>
        <w:spacing w:before="120"/>
        <w:ind w:left="1239" w:right="250"/>
      </w:pPr>
      <w:r>
        <w:rPr/>
        <w:t>Although</w:t>
      </w:r>
      <w:r>
        <w:rPr>
          <w:spacing w:val="-3"/>
        </w:rPr>
        <w:t> </w:t>
      </w:r>
      <w:r>
        <w:rPr/>
        <w:t>mutations</w:t>
      </w:r>
      <w:r>
        <w:rPr>
          <w:spacing w:val="-3"/>
        </w:rPr>
        <w:t> </w:t>
      </w:r>
      <w:r>
        <w:rPr/>
        <w:t>in</w:t>
      </w:r>
      <w:r>
        <w:rPr>
          <w:spacing w:val="-5"/>
        </w:rPr>
        <w:t> </w:t>
      </w:r>
      <w:r>
        <w:rPr/>
        <w:t>the</w:t>
      </w:r>
      <w:r>
        <w:rPr>
          <w:spacing w:val="-3"/>
        </w:rPr>
        <w:t> </w:t>
      </w:r>
      <w:r>
        <w:rPr/>
        <w:t>SARS-CoV-2</w:t>
      </w:r>
      <w:r>
        <w:rPr>
          <w:spacing w:val="-3"/>
        </w:rPr>
        <w:t> </w:t>
      </w:r>
      <w:r>
        <w:rPr/>
        <w:t>genome</w:t>
      </w:r>
      <w:r>
        <w:rPr>
          <w:spacing w:val="-3"/>
        </w:rPr>
        <w:t> </w:t>
      </w:r>
      <w:r>
        <w:rPr/>
        <w:t>have</w:t>
      </w:r>
      <w:r>
        <w:rPr>
          <w:spacing w:val="-3"/>
        </w:rPr>
        <w:t> </w:t>
      </w:r>
      <w:r>
        <w:rPr/>
        <w:t>been</w:t>
      </w:r>
      <w:r>
        <w:rPr>
          <w:spacing w:val="-5"/>
        </w:rPr>
        <w:t> </w:t>
      </w:r>
      <w:r>
        <w:rPr/>
        <w:t>identified</w:t>
      </w:r>
      <w:r>
        <w:rPr>
          <w:spacing w:val="-3"/>
        </w:rPr>
        <w:t> </w:t>
      </w:r>
      <w:r>
        <w:rPr/>
        <w:t>as</w:t>
      </w:r>
      <w:r>
        <w:rPr>
          <w:spacing w:val="-4"/>
        </w:rPr>
        <w:t> </w:t>
      </w:r>
      <w:r>
        <w:rPr/>
        <w:t>the</w:t>
      </w:r>
      <w:r>
        <w:rPr>
          <w:spacing w:val="-3"/>
        </w:rPr>
        <w:t> </w:t>
      </w:r>
      <w:r>
        <w:rPr/>
        <w:t>virus</w:t>
      </w:r>
      <w:r>
        <w:rPr>
          <w:spacing w:val="-3"/>
        </w:rPr>
        <w:t> </w:t>
      </w:r>
      <w:r>
        <w:rPr/>
        <w:t>has spread, no serologically unique strains have been described relative to the originally isolated virus (this research is exceptionally limited at present).</w:t>
      </w:r>
    </w:p>
    <w:p>
      <w:pPr>
        <w:spacing w:after="0"/>
        <w:sectPr>
          <w:pgSz w:w="12240" w:h="15840"/>
          <w:pgMar w:header="731" w:footer="785" w:top="1360" w:bottom="980" w:left="1280" w:right="1200"/>
        </w:sectPr>
      </w:pPr>
    </w:p>
    <w:p>
      <w:pPr>
        <w:pStyle w:val="ListParagraph"/>
        <w:numPr>
          <w:ilvl w:val="2"/>
          <w:numId w:val="15"/>
        </w:numPr>
        <w:tabs>
          <w:tab w:pos="1238" w:val="left" w:leader="none"/>
        </w:tabs>
        <w:spacing w:line="240" w:lineRule="auto" w:before="80" w:after="0"/>
        <w:ind w:left="1238" w:right="0" w:hanging="358"/>
        <w:jc w:val="left"/>
        <w:rPr>
          <w:i/>
          <w:sz w:val="24"/>
        </w:rPr>
      </w:pPr>
      <w:r>
        <w:rPr>
          <w:i/>
          <w:spacing w:val="-2"/>
          <w:sz w:val="24"/>
        </w:rPr>
        <w:t>Cross-Reactivity:</w:t>
      </w:r>
    </w:p>
    <w:p>
      <w:pPr>
        <w:pStyle w:val="Heading5"/>
        <w:spacing w:before="120"/>
        <w:ind w:left="1239" w:right="303"/>
      </w:pPr>
      <w:r>
        <w:rPr/>
        <w:t>If a large number of known negative samples (e.g., ≥75 samples collected in the US</w:t>
      </w:r>
      <w:r>
        <w:rPr>
          <w:spacing w:val="-4"/>
        </w:rPr>
        <w:t> </w:t>
      </w:r>
      <w:r>
        <w:rPr/>
        <w:t>prior</w:t>
      </w:r>
      <w:r>
        <w:rPr>
          <w:spacing w:val="-3"/>
        </w:rPr>
        <w:t> </w:t>
      </w:r>
      <w:r>
        <w:rPr/>
        <w:t>to</w:t>
      </w:r>
      <w:r>
        <w:rPr>
          <w:spacing w:val="-4"/>
        </w:rPr>
        <w:t> </w:t>
      </w:r>
      <w:r>
        <w:rPr/>
        <w:t>December</w:t>
      </w:r>
      <w:r>
        <w:rPr>
          <w:spacing w:val="-3"/>
        </w:rPr>
        <w:t> </w:t>
      </w:r>
      <w:r>
        <w:rPr/>
        <w:t>2019)</w:t>
      </w:r>
      <w:r>
        <w:rPr>
          <w:spacing w:val="-3"/>
        </w:rPr>
        <w:t> </w:t>
      </w:r>
      <w:r>
        <w:rPr/>
        <w:t>are</w:t>
      </w:r>
      <w:r>
        <w:rPr>
          <w:spacing w:val="-3"/>
        </w:rPr>
        <w:t> </w:t>
      </w:r>
      <w:r>
        <w:rPr/>
        <w:t>tested</w:t>
      </w:r>
      <w:r>
        <w:rPr>
          <w:spacing w:val="-4"/>
        </w:rPr>
        <w:t> </w:t>
      </w:r>
      <w:r>
        <w:rPr/>
        <w:t>from</w:t>
      </w:r>
      <w:r>
        <w:rPr>
          <w:spacing w:val="-3"/>
        </w:rPr>
        <w:t> </w:t>
      </w:r>
      <w:r>
        <w:rPr/>
        <w:t>a</w:t>
      </w:r>
      <w:r>
        <w:rPr>
          <w:spacing w:val="-5"/>
        </w:rPr>
        <w:t> </w:t>
      </w:r>
      <w:r>
        <w:rPr/>
        <w:t>population</w:t>
      </w:r>
      <w:r>
        <w:rPr>
          <w:spacing w:val="-4"/>
        </w:rPr>
        <w:t> </w:t>
      </w:r>
      <w:r>
        <w:rPr/>
        <w:t>with</w:t>
      </w:r>
      <w:r>
        <w:rPr>
          <w:spacing w:val="-4"/>
        </w:rPr>
        <w:t> </w:t>
      </w:r>
      <w:r>
        <w:rPr/>
        <w:t>a</w:t>
      </w:r>
      <w:r>
        <w:rPr>
          <w:spacing w:val="-3"/>
        </w:rPr>
        <w:t> </w:t>
      </w:r>
      <w:r>
        <w:rPr/>
        <w:t>high</w:t>
      </w:r>
      <w:r>
        <w:rPr>
          <w:spacing w:val="-3"/>
        </w:rPr>
        <w:t> </w:t>
      </w:r>
      <w:r>
        <w:rPr/>
        <w:t>prevalence of vaccination against, and/or infection with, the following viruses, and specificity &gt;98% is observed, cross-reactivity testing for the following viruses would not be expected at this time:</w:t>
      </w:r>
    </w:p>
    <w:p>
      <w:pPr>
        <w:pStyle w:val="BodyText"/>
        <w:spacing w:before="9"/>
        <w:rPr>
          <w:b/>
        </w:rPr>
      </w:pPr>
    </w:p>
    <w:tbl>
      <w:tblPr>
        <w:tblW w:w="0" w:type="auto"/>
        <w:jc w:val="left"/>
        <w:tblInd w:w="2113"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5484"/>
      </w:tblGrid>
      <w:tr>
        <w:trPr>
          <w:trHeight w:val="276" w:hRule="atLeast"/>
        </w:trPr>
        <w:tc>
          <w:tcPr>
            <w:tcW w:w="5484" w:type="dxa"/>
            <w:tcBorders>
              <w:bottom w:val="single" w:sz="4" w:space="0" w:color="000000"/>
            </w:tcBorders>
          </w:tcPr>
          <w:p>
            <w:pPr>
              <w:pStyle w:val="TableParagraph"/>
              <w:spacing w:line="255" w:lineRule="exact" w:before="1"/>
              <w:ind w:left="350" w:right="340"/>
              <w:rPr>
                <w:b/>
                <w:sz w:val="24"/>
              </w:rPr>
            </w:pPr>
            <w:r>
              <w:rPr>
                <w:b/>
                <w:sz w:val="24"/>
              </w:rPr>
              <w:t>anti-influenza</w:t>
            </w:r>
            <w:r>
              <w:rPr>
                <w:b/>
                <w:spacing w:val="-3"/>
                <w:sz w:val="24"/>
              </w:rPr>
              <w:t> </w:t>
            </w:r>
            <w:r>
              <w:rPr>
                <w:b/>
                <w:sz w:val="24"/>
              </w:rPr>
              <w:t>A</w:t>
            </w:r>
            <w:r>
              <w:rPr>
                <w:b/>
                <w:spacing w:val="-2"/>
                <w:sz w:val="24"/>
              </w:rPr>
              <w:t> </w:t>
            </w:r>
            <w:r>
              <w:rPr>
                <w:b/>
                <w:sz w:val="24"/>
              </w:rPr>
              <w:t>(IgG</w:t>
            </w:r>
            <w:r>
              <w:rPr>
                <w:b/>
                <w:spacing w:val="-3"/>
                <w:sz w:val="24"/>
              </w:rPr>
              <w:t> </w:t>
            </w:r>
            <w:r>
              <w:rPr>
                <w:b/>
                <w:sz w:val="24"/>
              </w:rPr>
              <w:t>and</w:t>
            </w:r>
            <w:r>
              <w:rPr>
                <w:b/>
                <w:spacing w:val="-2"/>
                <w:sz w:val="24"/>
              </w:rPr>
              <w:t> </w:t>
            </w:r>
            <w:r>
              <w:rPr>
                <w:b/>
                <w:spacing w:val="-4"/>
                <w:sz w:val="24"/>
              </w:rPr>
              <w:t>IgM)</w:t>
            </w:r>
          </w:p>
        </w:tc>
      </w:tr>
      <w:tr>
        <w:trPr>
          <w:trHeight w:val="275" w:hRule="atLeast"/>
        </w:trPr>
        <w:tc>
          <w:tcPr>
            <w:tcW w:w="5484" w:type="dxa"/>
            <w:tcBorders>
              <w:top w:val="single" w:sz="4" w:space="0" w:color="000000"/>
              <w:bottom w:val="single" w:sz="4" w:space="0" w:color="000000"/>
            </w:tcBorders>
          </w:tcPr>
          <w:p>
            <w:pPr>
              <w:pStyle w:val="TableParagraph"/>
              <w:spacing w:line="255" w:lineRule="exact"/>
              <w:ind w:left="349" w:right="340"/>
              <w:rPr>
                <w:b/>
                <w:sz w:val="24"/>
              </w:rPr>
            </w:pPr>
            <w:r>
              <w:rPr>
                <w:b/>
                <w:sz w:val="24"/>
              </w:rPr>
              <w:t>anti-influenza</w:t>
            </w:r>
            <w:r>
              <w:rPr>
                <w:b/>
                <w:spacing w:val="-3"/>
                <w:sz w:val="24"/>
              </w:rPr>
              <w:t> </w:t>
            </w:r>
            <w:r>
              <w:rPr>
                <w:b/>
                <w:sz w:val="24"/>
              </w:rPr>
              <w:t>B</w:t>
            </w:r>
            <w:r>
              <w:rPr>
                <w:b/>
                <w:spacing w:val="-2"/>
                <w:sz w:val="24"/>
              </w:rPr>
              <w:t> </w:t>
            </w:r>
            <w:r>
              <w:rPr>
                <w:b/>
                <w:sz w:val="24"/>
              </w:rPr>
              <w:t>(IgG</w:t>
            </w:r>
            <w:r>
              <w:rPr>
                <w:b/>
                <w:spacing w:val="-3"/>
                <w:sz w:val="24"/>
              </w:rPr>
              <w:t> </w:t>
            </w:r>
            <w:r>
              <w:rPr>
                <w:b/>
                <w:sz w:val="24"/>
              </w:rPr>
              <w:t>and</w:t>
            </w:r>
            <w:r>
              <w:rPr>
                <w:b/>
                <w:spacing w:val="-2"/>
                <w:sz w:val="24"/>
              </w:rPr>
              <w:t> </w:t>
            </w:r>
            <w:r>
              <w:rPr>
                <w:b/>
                <w:spacing w:val="-4"/>
                <w:sz w:val="24"/>
              </w:rPr>
              <w:t>IgM)</w:t>
            </w:r>
          </w:p>
        </w:tc>
      </w:tr>
      <w:tr>
        <w:trPr>
          <w:trHeight w:val="275" w:hRule="atLeast"/>
        </w:trPr>
        <w:tc>
          <w:tcPr>
            <w:tcW w:w="5484" w:type="dxa"/>
            <w:tcBorders>
              <w:top w:val="single" w:sz="4" w:space="0" w:color="000000"/>
              <w:bottom w:val="single" w:sz="4" w:space="0" w:color="000000"/>
            </w:tcBorders>
          </w:tcPr>
          <w:p>
            <w:pPr>
              <w:pStyle w:val="TableParagraph"/>
              <w:spacing w:line="255" w:lineRule="exact"/>
              <w:ind w:left="350" w:right="340"/>
              <w:rPr>
                <w:b/>
                <w:sz w:val="24"/>
              </w:rPr>
            </w:pPr>
            <w:r>
              <w:rPr>
                <w:b/>
                <w:sz w:val="24"/>
              </w:rPr>
              <w:t>anti-HCV</w:t>
            </w:r>
            <w:r>
              <w:rPr>
                <w:b/>
                <w:spacing w:val="-3"/>
                <w:sz w:val="24"/>
              </w:rPr>
              <w:t> </w:t>
            </w:r>
            <w:r>
              <w:rPr>
                <w:b/>
                <w:sz w:val="24"/>
              </w:rPr>
              <w:t>(IgG</w:t>
            </w:r>
            <w:r>
              <w:rPr>
                <w:b/>
                <w:spacing w:val="-1"/>
                <w:sz w:val="24"/>
              </w:rPr>
              <w:t> </w:t>
            </w:r>
            <w:r>
              <w:rPr>
                <w:b/>
                <w:sz w:val="24"/>
              </w:rPr>
              <w:t>and</w:t>
            </w:r>
            <w:r>
              <w:rPr>
                <w:b/>
                <w:spacing w:val="-2"/>
                <w:sz w:val="24"/>
              </w:rPr>
              <w:t> </w:t>
            </w:r>
            <w:r>
              <w:rPr>
                <w:b/>
                <w:spacing w:val="-4"/>
                <w:sz w:val="24"/>
              </w:rPr>
              <w:t>IgM)</w:t>
            </w:r>
          </w:p>
        </w:tc>
      </w:tr>
      <w:tr>
        <w:trPr>
          <w:trHeight w:val="276" w:hRule="atLeast"/>
        </w:trPr>
        <w:tc>
          <w:tcPr>
            <w:tcW w:w="5484" w:type="dxa"/>
            <w:tcBorders>
              <w:top w:val="single" w:sz="4" w:space="0" w:color="000000"/>
              <w:bottom w:val="single" w:sz="4" w:space="0" w:color="000000"/>
            </w:tcBorders>
          </w:tcPr>
          <w:p>
            <w:pPr>
              <w:pStyle w:val="TableParagraph"/>
              <w:spacing w:line="255" w:lineRule="exact" w:before="1"/>
              <w:ind w:left="350" w:right="339"/>
              <w:rPr>
                <w:b/>
                <w:sz w:val="24"/>
              </w:rPr>
            </w:pPr>
            <w:r>
              <w:rPr>
                <w:b/>
                <w:sz w:val="24"/>
              </w:rPr>
              <w:t>anti-HBV</w:t>
            </w:r>
            <w:r>
              <w:rPr>
                <w:b/>
                <w:spacing w:val="-3"/>
                <w:sz w:val="24"/>
              </w:rPr>
              <w:t> </w:t>
            </w:r>
            <w:r>
              <w:rPr>
                <w:b/>
                <w:sz w:val="24"/>
              </w:rPr>
              <w:t>(IgG</w:t>
            </w:r>
            <w:r>
              <w:rPr>
                <w:b/>
                <w:spacing w:val="-1"/>
                <w:sz w:val="24"/>
              </w:rPr>
              <w:t> </w:t>
            </w:r>
            <w:r>
              <w:rPr>
                <w:b/>
                <w:sz w:val="24"/>
              </w:rPr>
              <w:t>and</w:t>
            </w:r>
            <w:r>
              <w:rPr>
                <w:b/>
                <w:spacing w:val="-2"/>
                <w:sz w:val="24"/>
              </w:rPr>
              <w:t> </w:t>
            </w:r>
            <w:r>
              <w:rPr>
                <w:b/>
                <w:spacing w:val="-4"/>
                <w:sz w:val="24"/>
              </w:rPr>
              <w:t>IgM)</w:t>
            </w:r>
          </w:p>
        </w:tc>
      </w:tr>
      <w:tr>
        <w:trPr>
          <w:trHeight w:val="275" w:hRule="atLeast"/>
        </w:trPr>
        <w:tc>
          <w:tcPr>
            <w:tcW w:w="5484" w:type="dxa"/>
            <w:tcBorders>
              <w:top w:val="single" w:sz="4" w:space="0" w:color="000000"/>
              <w:bottom w:val="single" w:sz="4" w:space="0" w:color="000000"/>
            </w:tcBorders>
          </w:tcPr>
          <w:p>
            <w:pPr>
              <w:pStyle w:val="TableParagraph"/>
              <w:spacing w:line="255" w:lineRule="exact"/>
              <w:ind w:left="349" w:right="340"/>
              <w:rPr>
                <w:b/>
                <w:sz w:val="24"/>
              </w:rPr>
            </w:pPr>
            <w:r>
              <w:rPr>
                <w:b/>
                <w:sz w:val="24"/>
              </w:rPr>
              <w:t>anti-Haemophilus</w:t>
            </w:r>
            <w:r>
              <w:rPr>
                <w:b/>
                <w:spacing w:val="-6"/>
                <w:sz w:val="24"/>
              </w:rPr>
              <w:t> </w:t>
            </w:r>
            <w:r>
              <w:rPr>
                <w:b/>
                <w:sz w:val="24"/>
              </w:rPr>
              <w:t>influenzae</w:t>
            </w:r>
            <w:r>
              <w:rPr>
                <w:b/>
                <w:spacing w:val="-4"/>
                <w:sz w:val="24"/>
              </w:rPr>
              <w:t> </w:t>
            </w:r>
            <w:r>
              <w:rPr>
                <w:b/>
                <w:sz w:val="24"/>
              </w:rPr>
              <w:t>(IgG</w:t>
            </w:r>
            <w:r>
              <w:rPr>
                <w:b/>
                <w:spacing w:val="-4"/>
                <w:sz w:val="24"/>
              </w:rPr>
              <w:t> </w:t>
            </w:r>
            <w:r>
              <w:rPr>
                <w:b/>
                <w:sz w:val="24"/>
              </w:rPr>
              <w:t>and</w:t>
            </w:r>
            <w:r>
              <w:rPr>
                <w:b/>
                <w:spacing w:val="-4"/>
                <w:sz w:val="24"/>
              </w:rPr>
              <w:t> IgM)</w:t>
            </w:r>
          </w:p>
        </w:tc>
      </w:tr>
      <w:tr>
        <w:trPr>
          <w:trHeight w:val="275" w:hRule="atLeast"/>
        </w:trPr>
        <w:tc>
          <w:tcPr>
            <w:tcW w:w="5484" w:type="dxa"/>
            <w:tcBorders>
              <w:top w:val="single" w:sz="4" w:space="0" w:color="000000"/>
              <w:bottom w:val="single" w:sz="4" w:space="0" w:color="000000"/>
            </w:tcBorders>
          </w:tcPr>
          <w:p>
            <w:pPr>
              <w:pStyle w:val="TableParagraph"/>
              <w:spacing w:line="255" w:lineRule="exact"/>
              <w:ind w:left="350" w:right="339"/>
              <w:rPr>
                <w:b/>
                <w:sz w:val="24"/>
              </w:rPr>
            </w:pPr>
            <w:r>
              <w:rPr>
                <w:b/>
                <w:sz w:val="24"/>
              </w:rPr>
              <w:t>anti-229E</w:t>
            </w:r>
            <w:r>
              <w:rPr>
                <w:b/>
                <w:spacing w:val="-3"/>
                <w:sz w:val="24"/>
              </w:rPr>
              <w:t> </w:t>
            </w:r>
            <w:r>
              <w:rPr>
                <w:b/>
                <w:sz w:val="24"/>
              </w:rPr>
              <w:t>(alpha</w:t>
            </w:r>
            <w:r>
              <w:rPr>
                <w:b/>
                <w:spacing w:val="-2"/>
                <w:sz w:val="24"/>
              </w:rPr>
              <w:t> coronavirus)</w:t>
            </w:r>
          </w:p>
        </w:tc>
      </w:tr>
      <w:tr>
        <w:trPr>
          <w:trHeight w:val="276" w:hRule="atLeast"/>
        </w:trPr>
        <w:tc>
          <w:tcPr>
            <w:tcW w:w="5484" w:type="dxa"/>
            <w:tcBorders>
              <w:top w:val="single" w:sz="4" w:space="0" w:color="000000"/>
              <w:bottom w:val="single" w:sz="4" w:space="0" w:color="000000"/>
            </w:tcBorders>
          </w:tcPr>
          <w:p>
            <w:pPr>
              <w:pStyle w:val="TableParagraph"/>
              <w:spacing w:line="255" w:lineRule="exact" w:before="1"/>
              <w:ind w:left="350" w:right="339"/>
              <w:rPr>
                <w:b/>
                <w:sz w:val="24"/>
              </w:rPr>
            </w:pPr>
            <w:r>
              <w:rPr>
                <w:b/>
                <w:sz w:val="24"/>
              </w:rPr>
              <w:t>anti-NL63</w:t>
            </w:r>
            <w:r>
              <w:rPr>
                <w:b/>
                <w:spacing w:val="-3"/>
                <w:sz w:val="24"/>
              </w:rPr>
              <w:t> </w:t>
            </w:r>
            <w:r>
              <w:rPr>
                <w:b/>
                <w:sz w:val="24"/>
              </w:rPr>
              <w:t>(alpha</w:t>
            </w:r>
            <w:r>
              <w:rPr>
                <w:b/>
                <w:spacing w:val="-3"/>
                <w:sz w:val="24"/>
              </w:rPr>
              <w:t> </w:t>
            </w:r>
            <w:r>
              <w:rPr>
                <w:b/>
                <w:spacing w:val="-2"/>
                <w:sz w:val="24"/>
              </w:rPr>
              <w:t>coronavirus)</w:t>
            </w:r>
          </w:p>
        </w:tc>
      </w:tr>
      <w:tr>
        <w:trPr>
          <w:trHeight w:val="275" w:hRule="atLeast"/>
        </w:trPr>
        <w:tc>
          <w:tcPr>
            <w:tcW w:w="5484" w:type="dxa"/>
            <w:tcBorders>
              <w:top w:val="single" w:sz="4" w:space="0" w:color="000000"/>
              <w:bottom w:val="single" w:sz="4" w:space="0" w:color="000000"/>
            </w:tcBorders>
          </w:tcPr>
          <w:p>
            <w:pPr>
              <w:pStyle w:val="TableParagraph"/>
              <w:spacing w:line="255" w:lineRule="exact"/>
              <w:ind w:left="350" w:right="340"/>
              <w:rPr>
                <w:b/>
                <w:sz w:val="24"/>
              </w:rPr>
            </w:pPr>
            <w:r>
              <w:rPr>
                <w:b/>
                <w:sz w:val="24"/>
              </w:rPr>
              <w:t>anti-OC43</w:t>
            </w:r>
            <w:r>
              <w:rPr>
                <w:b/>
                <w:spacing w:val="-2"/>
                <w:sz w:val="24"/>
              </w:rPr>
              <w:t> </w:t>
            </w:r>
            <w:r>
              <w:rPr>
                <w:b/>
                <w:sz w:val="24"/>
              </w:rPr>
              <w:t>(beta</w:t>
            </w:r>
            <w:r>
              <w:rPr>
                <w:b/>
                <w:spacing w:val="-2"/>
                <w:sz w:val="24"/>
              </w:rPr>
              <w:t> coronavirus)</w:t>
            </w:r>
          </w:p>
        </w:tc>
      </w:tr>
      <w:tr>
        <w:trPr>
          <w:trHeight w:val="275" w:hRule="atLeast"/>
        </w:trPr>
        <w:tc>
          <w:tcPr>
            <w:tcW w:w="5484" w:type="dxa"/>
            <w:tcBorders>
              <w:top w:val="single" w:sz="4" w:space="0" w:color="000000"/>
              <w:bottom w:val="single" w:sz="4" w:space="0" w:color="000000"/>
            </w:tcBorders>
          </w:tcPr>
          <w:p>
            <w:pPr>
              <w:pStyle w:val="TableParagraph"/>
              <w:spacing w:line="255" w:lineRule="exact"/>
              <w:ind w:left="293" w:right="340"/>
              <w:rPr>
                <w:b/>
                <w:sz w:val="24"/>
              </w:rPr>
            </w:pPr>
            <w:r>
              <w:rPr>
                <w:b/>
                <w:sz w:val="24"/>
              </w:rPr>
              <w:t>anti-HKU1</w:t>
            </w:r>
            <w:r>
              <w:rPr>
                <w:b/>
                <w:spacing w:val="-2"/>
                <w:sz w:val="24"/>
              </w:rPr>
              <w:t> </w:t>
            </w:r>
            <w:r>
              <w:rPr>
                <w:b/>
                <w:sz w:val="24"/>
              </w:rPr>
              <w:t>(beta</w:t>
            </w:r>
            <w:r>
              <w:rPr>
                <w:b/>
                <w:spacing w:val="-2"/>
                <w:sz w:val="24"/>
              </w:rPr>
              <w:t> coronavirus)</w:t>
            </w:r>
          </w:p>
        </w:tc>
      </w:tr>
      <w:tr>
        <w:trPr>
          <w:trHeight w:val="276" w:hRule="atLeast"/>
        </w:trPr>
        <w:tc>
          <w:tcPr>
            <w:tcW w:w="5484" w:type="dxa"/>
            <w:tcBorders>
              <w:top w:val="single" w:sz="4" w:space="0" w:color="000000"/>
              <w:bottom w:val="single" w:sz="4" w:space="0" w:color="000000"/>
            </w:tcBorders>
          </w:tcPr>
          <w:p>
            <w:pPr>
              <w:pStyle w:val="TableParagraph"/>
              <w:spacing w:line="255" w:lineRule="exact" w:before="1"/>
              <w:ind w:left="349" w:right="340"/>
              <w:rPr>
                <w:b/>
                <w:sz w:val="24"/>
              </w:rPr>
            </w:pPr>
            <w:r>
              <w:rPr>
                <w:b/>
                <w:spacing w:val="-5"/>
                <w:sz w:val="24"/>
              </w:rPr>
              <w:t>ANA</w:t>
            </w:r>
          </w:p>
        </w:tc>
      </w:tr>
      <w:tr>
        <w:trPr>
          <w:trHeight w:val="275" w:hRule="atLeast"/>
        </w:trPr>
        <w:tc>
          <w:tcPr>
            <w:tcW w:w="5484" w:type="dxa"/>
            <w:tcBorders>
              <w:top w:val="single" w:sz="4" w:space="0" w:color="000000"/>
              <w:bottom w:val="single" w:sz="4" w:space="0" w:color="000000"/>
            </w:tcBorders>
          </w:tcPr>
          <w:p>
            <w:pPr>
              <w:pStyle w:val="TableParagraph"/>
              <w:spacing w:line="255" w:lineRule="exact"/>
              <w:ind w:left="350" w:right="340"/>
              <w:rPr>
                <w:b/>
                <w:sz w:val="24"/>
              </w:rPr>
            </w:pPr>
            <w:r>
              <w:rPr>
                <w:b/>
                <w:sz w:val="24"/>
              </w:rPr>
              <w:t>anti-respiratory</w:t>
            </w:r>
            <w:r>
              <w:rPr>
                <w:b/>
                <w:spacing w:val="-3"/>
                <w:sz w:val="24"/>
              </w:rPr>
              <w:t> </w:t>
            </w:r>
            <w:r>
              <w:rPr>
                <w:b/>
                <w:sz w:val="24"/>
              </w:rPr>
              <w:t>syncytial</w:t>
            </w:r>
            <w:r>
              <w:rPr>
                <w:b/>
                <w:spacing w:val="-3"/>
                <w:sz w:val="24"/>
              </w:rPr>
              <w:t> </w:t>
            </w:r>
            <w:r>
              <w:rPr>
                <w:b/>
                <w:sz w:val="24"/>
              </w:rPr>
              <w:t>virus</w:t>
            </w:r>
            <w:r>
              <w:rPr>
                <w:b/>
                <w:spacing w:val="-2"/>
                <w:sz w:val="24"/>
              </w:rPr>
              <w:t> </w:t>
            </w:r>
            <w:r>
              <w:rPr>
                <w:b/>
                <w:sz w:val="24"/>
              </w:rPr>
              <w:t>(IgG</w:t>
            </w:r>
            <w:r>
              <w:rPr>
                <w:b/>
                <w:spacing w:val="-3"/>
                <w:sz w:val="24"/>
              </w:rPr>
              <w:t> </w:t>
            </w:r>
            <w:r>
              <w:rPr>
                <w:b/>
                <w:sz w:val="24"/>
              </w:rPr>
              <w:t>and</w:t>
            </w:r>
            <w:r>
              <w:rPr>
                <w:b/>
                <w:spacing w:val="-3"/>
                <w:sz w:val="24"/>
              </w:rPr>
              <w:t> </w:t>
            </w:r>
            <w:r>
              <w:rPr>
                <w:b/>
                <w:spacing w:val="-4"/>
                <w:sz w:val="24"/>
              </w:rPr>
              <w:t>IgM)</w:t>
            </w:r>
          </w:p>
        </w:tc>
      </w:tr>
      <w:tr>
        <w:trPr>
          <w:trHeight w:val="276" w:hRule="atLeast"/>
        </w:trPr>
        <w:tc>
          <w:tcPr>
            <w:tcW w:w="5484" w:type="dxa"/>
            <w:tcBorders>
              <w:top w:val="single" w:sz="4" w:space="0" w:color="000000"/>
            </w:tcBorders>
          </w:tcPr>
          <w:p>
            <w:pPr>
              <w:pStyle w:val="TableParagraph"/>
              <w:spacing w:line="256" w:lineRule="exact"/>
              <w:ind w:left="350" w:right="340"/>
              <w:rPr>
                <w:b/>
                <w:sz w:val="24"/>
              </w:rPr>
            </w:pPr>
            <w:r>
              <w:rPr>
                <w:b/>
                <w:spacing w:val="-2"/>
                <w:sz w:val="24"/>
              </w:rPr>
              <w:t>anti-</w:t>
            </w:r>
            <w:r>
              <w:rPr>
                <w:b/>
                <w:spacing w:val="-5"/>
                <w:sz w:val="24"/>
              </w:rPr>
              <w:t>HIV</w:t>
            </w:r>
          </w:p>
        </w:tc>
      </w:tr>
    </w:tbl>
    <w:p>
      <w:pPr>
        <w:pStyle w:val="BodyText"/>
        <w:spacing w:before="8"/>
        <w:rPr>
          <w:b/>
          <w:sz w:val="23"/>
        </w:rPr>
      </w:pPr>
    </w:p>
    <w:p>
      <w:pPr>
        <w:pStyle w:val="Heading6"/>
        <w:spacing w:before="0"/>
        <w:ind w:left="1240" w:right="270"/>
      </w:pPr>
      <w:r>
        <w:rPr>
          <w:color w:val="000000"/>
          <w:shd w:fill="FFFF00" w:color="auto" w:val="clear"/>
        </w:rPr>
        <w:t>[If</w:t>
      </w:r>
      <w:r>
        <w:rPr>
          <w:color w:val="000000"/>
          <w:spacing w:val="-3"/>
          <w:shd w:fill="FFFF00" w:color="auto" w:val="clear"/>
        </w:rPr>
        <w:t> </w:t>
      </w:r>
      <w:r>
        <w:rPr>
          <w:color w:val="000000"/>
          <w:shd w:fill="FFFF00" w:color="auto" w:val="clear"/>
        </w:rPr>
        <w:t>a</w:t>
      </w:r>
      <w:r>
        <w:rPr>
          <w:color w:val="000000"/>
          <w:spacing w:val="-3"/>
          <w:shd w:fill="FFFF00" w:color="auto" w:val="clear"/>
        </w:rPr>
        <w:t> </w:t>
      </w:r>
      <w:r>
        <w:rPr>
          <w:color w:val="000000"/>
          <w:shd w:fill="FFFF00" w:color="auto" w:val="clear"/>
        </w:rPr>
        <w:t>large</w:t>
      </w:r>
      <w:r>
        <w:rPr>
          <w:color w:val="000000"/>
          <w:spacing w:val="-3"/>
          <w:shd w:fill="FFFF00" w:color="auto" w:val="clear"/>
        </w:rPr>
        <w:t> </w:t>
      </w:r>
      <w:r>
        <w:rPr>
          <w:color w:val="000000"/>
          <w:shd w:fill="FFFF00" w:color="auto" w:val="clear"/>
        </w:rPr>
        <w:t>number</w:t>
      </w:r>
      <w:r>
        <w:rPr>
          <w:color w:val="000000"/>
          <w:spacing w:val="-3"/>
          <w:shd w:fill="FFFF00" w:color="auto" w:val="clear"/>
        </w:rPr>
        <w:t> </w:t>
      </w:r>
      <w:r>
        <w:rPr>
          <w:color w:val="000000"/>
          <w:shd w:fill="FFFF00" w:color="auto" w:val="clear"/>
        </w:rPr>
        <w:t>of</w:t>
      </w:r>
      <w:r>
        <w:rPr>
          <w:color w:val="000000"/>
          <w:spacing w:val="-3"/>
          <w:shd w:fill="FFFF00" w:color="auto" w:val="clear"/>
        </w:rPr>
        <w:t> </w:t>
      </w:r>
      <w:r>
        <w:rPr>
          <w:color w:val="000000"/>
          <w:shd w:fill="FFFF00" w:color="auto" w:val="clear"/>
        </w:rPr>
        <w:t>known</w:t>
      </w:r>
      <w:r>
        <w:rPr>
          <w:color w:val="000000"/>
          <w:spacing w:val="-4"/>
          <w:shd w:fill="FFFF00" w:color="auto" w:val="clear"/>
        </w:rPr>
        <w:t> </w:t>
      </w:r>
      <w:r>
        <w:rPr>
          <w:color w:val="000000"/>
          <w:shd w:fill="FFFF00" w:color="auto" w:val="clear"/>
        </w:rPr>
        <w:t>negative</w:t>
      </w:r>
      <w:r>
        <w:rPr>
          <w:color w:val="000000"/>
          <w:spacing w:val="-3"/>
          <w:shd w:fill="FFFF00" w:color="auto" w:val="clear"/>
        </w:rPr>
        <w:t> </w:t>
      </w:r>
      <w:r>
        <w:rPr>
          <w:color w:val="000000"/>
          <w:shd w:fill="FFFF00" w:color="auto" w:val="clear"/>
        </w:rPr>
        <w:t>samples</w:t>
      </w:r>
      <w:r>
        <w:rPr>
          <w:color w:val="000000"/>
          <w:spacing w:val="-3"/>
          <w:shd w:fill="FFFF00" w:color="auto" w:val="clear"/>
        </w:rPr>
        <w:t> </w:t>
      </w:r>
      <w:r>
        <w:rPr>
          <w:color w:val="000000"/>
          <w:shd w:fill="FFFF00" w:color="auto" w:val="clear"/>
        </w:rPr>
        <w:t>are</w:t>
      </w:r>
      <w:r>
        <w:rPr>
          <w:color w:val="000000"/>
          <w:spacing w:val="-3"/>
          <w:shd w:fill="FFFF00" w:color="auto" w:val="clear"/>
        </w:rPr>
        <w:t> </w:t>
      </w:r>
      <w:r>
        <w:rPr>
          <w:color w:val="000000"/>
          <w:shd w:fill="FFFF00" w:color="auto" w:val="clear"/>
        </w:rPr>
        <w:t>not</w:t>
      </w:r>
      <w:r>
        <w:rPr>
          <w:color w:val="000000"/>
          <w:spacing w:val="-3"/>
          <w:shd w:fill="FFFF00" w:color="auto" w:val="clear"/>
        </w:rPr>
        <w:t> </w:t>
      </w:r>
      <w:r>
        <w:rPr>
          <w:color w:val="000000"/>
          <w:shd w:fill="FFFF00" w:color="auto" w:val="clear"/>
        </w:rPr>
        <w:t>evaluated,</w:t>
      </w:r>
      <w:r>
        <w:rPr>
          <w:color w:val="000000"/>
          <w:spacing w:val="-3"/>
          <w:shd w:fill="FFFF00" w:color="auto" w:val="clear"/>
        </w:rPr>
        <w:t> </w:t>
      </w:r>
      <w:r>
        <w:rPr>
          <w:color w:val="000000"/>
          <w:shd w:fill="FFFF00" w:color="auto" w:val="clear"/>
        </w:rPr>
        <w:t>or</w:t>
      </w:r>
      <w:r>
        <w:rPr>
          <w:color w:val="000000"/>
          <w:spacing w:val="-3"/>
          <w:shd w:fill="FFFF00" w:color="auto" w:val="clear"/>
        </w:rPr>
        <w:t> </w:t>
      </w:r>
      <w:r>
        <w:rPr>
          <w:color w:val="000000"/>
          <w:shd w:fill="FFFF00" w:color="auto" w:val="clear"/>
        </w:rPr>
        <w:t>lower</w:t>
      </w:r>
      <w:r>
        <w:rPr>
          <w:color w:val="000000"/>
          <w:spacing w:val="-3"/>
          <w:shd w:fill="FFFF00" w:color="auto" w:val="clear"/>
        </w:rPr>
        <w:t> </w:t>
      </w:r>
      <w:r>
        <w:rPr>
          <w:color w:val="000000"/>
          <w:shd w:fill="FFFF00" w:color="auto" w:val="clear"/>
        </w:rPr>
        <w:t>than</w:t>
      </w:r>
      <w:r>
        <w:rPr>
          <w:color w:val="000000"/>
          <w:spacing w:val="-4"/>
          <w:shd w:fill="FFFF00" w:color="auto" w:val="clear"/>
        </w:rPr>
        <w:t> </w:t>
      </w:r>
      <w:r>
        <w:rPr>
          <w:color w:val="000000"/>
          <w:shd w:fill="FFFF00" w:color="auto" w:val="clear"/>
        </w:rPr>
        <w:t>95%</w:t>
      </w:r>
      <w:r>
        <w:rPr>
          <w:color w:val="000000"/>
        </w:rPr>
        <w:t> </w:t>
      </w:r>
      <w:r>
        <w:rPr>
          <w:color w:val="000000"/>
          <w:shd w:fill="FFFF00" w:color="auto" w:val="clear"/>
        </w:rPr>
        <w:t>specificity is observed, describe the cross-reactivity testing performed to evaluate</w:t>
      </w:r>
      <w:r>
        <w:rPr>
          <w:color w:val="000000"/>
          <w:spacing w:val="40"/>
        </w:rPr>
        <w:t> </w:t>
      </w:r>
      <w:r>
        <w:rPr>
          <w:color w:val="000000"/>
          <w:shd w:fill="FFFF00" w:color="auto" w:val="clear"/>
        </w:rPr>
        <w:t>the cross-reactants in the table above.]</w:t>
      </w:r>
    </w:p>
    <w:p>
      <w:pPr>
        <w:pStyle w:val="BodyText"/>
        <w:rPr>
          <w:rFonts w:ascii="TimesNewRomanPS-BoldItalicMT"/>
          <w:b/>
          <w:i/>
        </w:rPr>
      </w:pPr>
    </w:p>
    <w:p>
      <w:pPr>
        <w:pStyle w:val="Heading5"/>
        <w:ind w:left="1239" w:right="278"/>
      </w:pPr>
      <w:r>
        <w:rPr/>
        <w:t>If testing of the cross-reactants on above is needed to demonstrate cross- reactivity for the test, FDA believes testing a minimum of 5 individual samples for</w:t>
      </w:r>
      <w:r>
        <w:rPr>
          <w:spacing w:val="-4"/>
        </w:rPr>
        <w:t> </w:t>
      </w:r>
      <w:r>
        <w:rPr/>
        <w:t>each</w:t>
      </w:r>
      <w:r>
        <w:rPr>
          <w:spacing w:val="-5"/>
        </w:rPr>
        <w:t> </w:t>
      </w:r>
      <w:r>
        <w:rPr/>
        <w:t>disease/infectious</w:t>
      </w:r>
      <w:r>
        <w:rPr>
          <w:spacing w:val="-4"/>
        </w:rPr>
        <w:t> </w:t>
      </w:r>
      <w:r>
        <w:rPr/>
        <w:t>agent/antibody</w:t>
      </w:r>
      <w:r>
        <w:rPr>
          <w:spacing w:val="-4"/>
        </w:rPr>
        <w:t> </w:t>
      </w:r>
      <w:r>
        <w:rPr/>
        <w:t>class</w:t>
      </w:r>
      <w:r>
        <w:rPr>
          <w:spacing w:val="-4"/>
        </w:rPr>
        <w:t> </w:t>
      </w:r>
      <w:r>
        <w:rPr/>
        <w:t>listed</w:t>
      </w:r>
      <w:r>
        <w:rPr>
          <w:spacing w:val="-5"/>
        </w:rPr>
        <w:t> </w:t>
      </w:r>
      <w:r>
        <w:rPr/>
        <w:t>above</w:t>
      </w:r>
      <w:r>
        <w:rPr>
          <w:spacing w:val="-4"/>
        </w:rPr>
        <w:t> </w:t>
      </w:r>
      <w:r>
        <w:rPr/>
        <w:t>may</w:t>
      </w:r>
      <w:r>
        <w:rPr>
          <w:spacing w:val="-4"/>
        </w:rPr>
        <w:t> </w:t>
      </w:r>
      <w:r>
        <w:rPr/>
        <w:t>be</w:t>
      </w:r>
      <w:r>
        <w:rPr>
          <w:spacing w:val="-4"/>
        </w:rPr>
        <w:t> </w:t>
      </w:r>
      <w:r>
        <w:rPr/>
        <w:t>acceptable.</w:t>
      </w:r>
    </w:p>
    <w:p>
      <w:pPr>
        <w:pStyle w:val="BodyText"/>
        <w:rPr>
          <w:b/>
        </w:rPr>
      </w:pPr>
    </w:p>
    <w:p>
      <w:pPr>
        <w:pStyle w:val="Heading5"/>
        <w:ind w:left="1240" w:right="290"/>
      </w:pPr>
      <w:r>
        <w:rPr/>
        <w:t>If</w:t>
      </w:r>
      <w:r>
        <w:rPr>
          <w:spacing w:val="-3"/>
        </w:rPr>
        <w:t> </w:t>
      </w:r>
      <w:r>
        <w:rPr/>
        <w:t>natural</w:t>
      </w:r>
      <w:r>
        <w:rPr>
          <w:spacing w:val="-3"/>
        </w:rPr>
        <w:t> </w:t>
      </w:r>
      <w:r>
        <w:rPr/>
        <w:t>specimens</w:t>
      </w:r>
      <w:r>
        <w:rPr>
          <w:spacing w:val="-3"/>
        </w:rPr>
        <w:t> </w:t>
      </w:r>
      <w:r>
        <w:rPr/>
        <w:t>are</w:t>
      </w:r>
      <w:r>
        <w:rPr>
          <w:spacing w:val="-3"/>
        </w:rPr>
        <w:t> </w:t>
      </w:r>
      <w:r>
        <w:rPr/>
        <w:t>used,</w:t>
      </w:r>
      <w:r>
        <w:rPr>
          <w:spacing w:val="-3"/>
        </w:rPr>
        <w:t> </w:t>
      </w:r>
      <w:r>
        <w:rPr/>
        <w:t>it</w:t>
      </w:r>
      <w:r>
        <w:rPr>
          <w:spacing w:val="-4"/>
        </w:rPr>
        <w:t> </w:t>
      </w:r>
      <w:r>
        <w:rPr/>
        <w:t>is</w:t>
      </w:r>
      <w:r>
        <w:rPr>
          <w:spacing w:val="-4"/>
        </w:rPr>
        <w:t> </w:t>
      </w:r>
      <w:r>
        <w:rPr/>
        <w:t>important</w:t>
      </w:r>
      <w:r>
        <w:rPr>
          <w:spacing w:val="-4"/>
        </w:rPr>
        <w:t> </w:t>
      </w:r>
      <w:r>
        <w:rPr/>
        <w:t>to</w:t>
      </w:r>
      <w:r>
        <w:rPr>
          <w:spacing w:val="-3"/>
        </w:rPr>
        <w:t> </w:t>
      </w:r>
      <w:r>
        <w:rPr/>
        <w:t>assess</w:t>
      </w:r>
      <w:r>
        <w:rPr>
          <w:spacing w:val="-4"/>
        </w:rPr>
        <w:t> </w:t>
      </w:r>
      <w:r>
        <w:rPr/>
        <w:t>cross</w:t>
      </w:r>
      <w:r>
        <w:rPr>
          <w:spacing w:val="-3"/>
        </w:rPr>
        <w:t> </w:t>
      </w:r>
      <w:r>
        <w:rPr/>
        <w:t>reactivity</w:t>
      </w:r>
      <w:r>
        <w:rPr>
          <w:spacing w:val="-4"/>
        </w:rPr>
        <w:t> </w:t>
      </w:r>
      <w:r>
        <w:rPr/>
        <w:t>using</w:t>
      </w:r>
      <w:r>
        <w:rPr>
          <w:spacing w:val="-3"/>
        </w:rPr>
        <w:t> </w:t>
      </w:r>
      <w:r>
        <w:rPr/>
        <w:t>sera from patients with the underlying diseases in the acute or convalescent stages of infection in order to obtain high levels of IgM or IgG for the underlying condition. If spiked samples with the IgM or IgG antibodies for the underlying conditions are prepared for this study, it is important to confirm that “negative samples” are SARS-CoV-2 IgM and IgG seronegative with the candidate assay </w:t>
      </w:r>
      <w:r>
        <w:rPr>
          <w:u w:val="thick"/>
        </w:rPr>
        <w:t>prior</w:t>
      </w:r>
      <w:r>
        <w:rPr>
          <w:spacing w:val="-3"/>
        </w:rPr>
        <w:t> </w:t>
      </w:r>
      <w:r>
        <w:rPr/>
        <w:t>to</w:t>
      </w:r>
      <w:r>
        <w:rPr>
          <w:spacing w:val="-3"/>
        </w:rPr>
        <w:t> </w:t>
      </w:r>
      <w:r>
        <w:rPr/>
        <w:t>spiking.</w:t>
      </w:r>
      <w:r>
        <w:rPr>
          <w:spacing w:val="-3"/>
        </w:rPr>
        <w:t> </w:t>
      </w:r>
      <w:r>
        <w:rPr/>
        <w:t>Additionally,</w:t>
      </w:r>
      <w:r>
        <w:rPr>
          <w:spacing w:val="-3"/>
        </w:rPr>
        <w:t> </w:t>
      </w:r>
      <w:r>
        <w:rPr/>
        <w:t>commercially</w:t>
      </w:r>
      <w:r>
        <w:rPr>
          <w:spacing w:val="-3"/>
        </w:rPr>
        <w:t> </w:t>
      </w:r>
      <w:r>
        <w:rPr/>
        <w:t>available</w:t>
      </w:r>
      <w:r>
        <w:rPr>
          <w:spacing w:val="-3"/>
        </w:rPr>
        <w:t> </w:t>
      </w:r>
      <w:r>
        <w:rPr/>
        <w:t>IgM</w:t>
      </w:r>
      <w:r>
        <w:rPr>
          <w:spacing w:val="-3"/>
        </w:rPr>
        <w:t> </w:t>
      </w:r>
      <w:r>
        <w:rPr/>
        <w:t>or</w:t>
      </w:r>
      <w:r>
        <w:rPr>
          <w:spacing w:val="-3"/>
        </w:rPr>
        <w:t> </w:t>
      </w:r>
      <w:r>
        <w:rPr/>
        <w:t>IgG</w:t>
      </w:r>
      <w:r>
        <w:rPr>
          <w:spacing w:val="-3"/>
        </w:rPr>
        <w:t> </w:t>
      </w:r>
      <w:r>
        <w:rPr/>
        <w:t>antibodies</w:t>
      </w:r>
      <w:r>
        <w:rPr>
          <w:spacing w:val="-3"/>
        </w:rPr>
        <w:t> </w:t>
      </w:r>
      <w:r>
        <w:rPr/>
        <w:t>for the underlying conditions panels may be acceptable if collected prior to the COVID-19 pandemic to ensure the panels are SARS-CoV-2 antibody negative.</w:t>
      </w:r>
    </w:p>
    <w:p>
      <w:pPr>
        <w:pStyle w:val="BodyText"/>
        <w:rPr>
          <w:b/>
        </w:rPr>
      </w:pPr>
    </w:p>
    <w:p>
      <w:pPr>
        <w:pStyle w:val="Heading5"/>
        <w:spacing w:before="1"/>
        <w:ind w:left="1240"/>
      </w:pPr>
      <w:r>
        <w:rPr/>
        <w:t>We recommend you present your results in the following suggested table and calculate</w:t>
      </w:r>
      <w:r>
        <w:rPr>
          <w:spacing w:val="-4"/>
        </w:rPr>
        <w:t> </w:t>
      </w:r>
      <w:r>
        <w:rPr/>
        <w:t>agreement</w:t>
      </w:r>
      <w:r>
        <w:rPr>
          <w:spacing w:val="-4"/>
        </w:rPr>
        <w:t> </w:t>
      </w:r>
      <w:r>
        <w:rPr/>
        <w:t>between</w:t>
      </w:r>
      <w:r>
        <w:rPr>
          <w:spacing w:val="-5"/>
        </w:rPr>
        <w:t> </w:t>
      </w:r>
      <w:r>
        <w:rPr/>
        <w:t>the</w:t>
      </w:r>
      <w:r>
        <w:rPr>
          <w:spacing w:val="-4"/>
        </w:rPr>
        <w:t> </w:t>
      </w:r>
      <w:r>
        <w:rPr/>
        <w:t>candidate</w:t>
      </w:r>
      <w:r>
        <w:rPr>
          <w:spacing w:val="-4"/>
        </w:rPr>
        <w:t> </w:t>
      </w:r>
      <w:r>
        <w:rPr/>
        <w:t>test</w:t>
      </w:r>
      <w:r>
        <w:rPr>
          <w:spacing w:val="-5"/>
        </w:rPr>
        <w:t> </w:t>
      </w:r>
      <w:r>
        <w:rPr/>
        <w:t>result</w:t>
      </w:r>
      <w:r>
        <w:rPr>
          <w:spacing w:val="-4"/>
        </w:rPr>
        <w:t> </w:t>
      </w:r>
      <w:r>
        <w:rPr/>
        <w:t>and</w:t>
      </w:r>
      <w:r>
        <w:rPr>
          <w:spacing w:val="-6"/>
        </w:rPr>
        <w:t> </w:t>
      </w:r>
      <w:r>
        <w:rPr/>
        <w:t>the</w:t>
      </w:r>
      <w:r>
        <w:rPr>
          <w:spacing w:val="-4"/>
        </w:rPr>
        <w:t> </w:t>
      </w:r>
      <w:r>
        <w:rPr/>
        <w:t>expected</w:t>
      </w:r>
      <w:r>
        <w:rPr>
          <w:spacing w:val="-5"/>
        </w:rPr>
        <w:t> </w:t>
      </w:r>
      <w:r>
        <w:rPr/>
        <w:t>result.</w:t>
      </w:r>
    </w:p>
    <w:p>
      <w:pPr>
        <w:pStyle w:val="BodyText"/>
        <w:spacing w:before="2"/>
        <w:rPr>
          <w:b/>
          <w:sz w:val="16"/>
        </w:rPr>
      </w:pPr>
    </w:p>
    <w:p>
      <w:pPr>
        <w:pStyle w:val="Heading5"/>
        <w:spacing w:before="90"/>
        <w:ind w:left="462" w:right="20"/>
        <w:jc w:val="center"/>
      </w:pPr>
      <w:r>
        <w:rPr/>
        <w:t>Cross-Reactivity:</w:t>
      </w:r>
      <w:r>
        <w:rPr>
          <w:spacing w:val="-2"/>
        </w:rPr>
        <w:t> </w:t>
      </w:r>
      <w:r>
        <w:rPr>
          <w:rFonts w:ascii="TimesNewRomanPS-BoldItalicMT"/>
          <w:i/>
          <w:color w:val="000000"/>
          <w:shd w:fill="FFFF00" w:color="auto" w:val="clear"/>
        </w:rPr>
        <w:t>[test</w:t>
      </w:r>
      <w:r>
        <w:rPr>
          <w:rFonts w:ascii="TimesNewRomanPS-BoldItalicMT"/>
          <w:i/>
          <w:color w:val="000000"/>
          <w:spacing w:val="-3"/>
          <w:shd w:fill="FFFF00" w:color="auto" w:val="clear"/>
        </w:rPr>
        <w:t> </w:t>
      </w:r>
      <w:r>
        <w:rPr>
          <w:rFonts w:ascii="TimesNewRomanPS-BoldItalicMT"/>
          <w:i/>
          <w:color w:val="000000"/>
          <w:shd w:fill="FFFF00" w:color="auto" w:val="clear"/>
        </w:rPr>
        <w:t>name]</w:t>
      </w:r>
      <w:r>
        <w:rPr>
          <w:rFonts w:ascii="TimesNewRomanPS-BoldItalicMT"/>
          <w:i/>
          <w:color w:val="000000"/>
          <w:spacing w:val="-2"/>
        </w:rPr>
        <w:t> </w:t>
      </w:r>
      <w:r>
        <w:rPr>
          <w:color w:val="000000"/>
        </w:rPr>
        <w:t>example</w:t>
      </w:r>
      <w:r>
        <w:rPr>
          <w:color w:val="000000"/>
          <w:spacing w:val="-2"/>
        </w:rPr>
        <w:t> </w:t>
      </w:r>
      <w:r>
        <w:rPr>
          <w:color w:val="000000"/>
        </w:rPr>
        <w:t>table</w:t>
      </w:r>
      <w:r>
        <w:rPr>
          <w:color w:val="000000"/>
          <w:spacing w:val="-2"/>
        </w:rPr>
        <w:t> </w:t>
      </w:r>
      <w:r>
        <w:rPr>
          <w:color w:val="000000"/>
        </w:rPr>
        <w:t>for</w:t>
      </w:r>
      <w:r>
        <w:rPr>
          <w:color w:val="000000"/>
          <w:spacing w:val="-3"/>
        </w:rPr>
        <w:t> </w:t>
      </w:r>
      <w:r>
        <w:rPr>
          <w:color w:val="000000"/>
        </w:rPr>
        <w:t>wet</w:t>
      </w:r>
      <w:r>
        <w:rPr>
          <w:color w:val="000000"/>
          <w:spacing w:val="-2"/>
        </w:rPr>
        <w:t> </w:t>
      </w:r>
      <w:r>
        <w:rPr>
          <w:color w:val="000000"/>
        </w:rPr>
        <w:t>tested</w:t>
      </w:r>
      <w:r>
        <w:rPr>
          <w:color w:val="000000"/>
          <w:spacing w:val="-2"/>
        </w:rPr>
        <w:t> </w:t>
      </w:r>
      <w:r>
        <w:rPr>
          <w:color w:val="000000"/>
        </w:rPr>
        <w:t>organisms</w:t>
      </w:r>
      <w:r>
        <w:rPr>
          <w:color w:val="000000"/>
          <w:spacing w:val="-2"/>
        </w:rPr>
        <w:t> below:</w:t>
      </w:r>
    </w:p>
    <w:tbl>
      <w:tblPr>
        <w:tblW w:w="0" w:type="auto"/>
        <w:jc w:val="left"/>
        <w:tblInd w:w="1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870"/>
        <w:gridCol w:w="2084"/>
        <w:gridCol w:w="2176"/>
      </w:tblGrid>
      <w:tr>
        <w:trPr>
          <w:trHeight w:val="551" w:hRule="atLeast"/>
        </w:trPr>
        <w:tc>
          <w:tcPr>
            <w:tcW w:w="3870" w:type="dxa"/>
          </w:tcPr>
          <w:p>
            <w:pPr>
              <w:pStyle w:val="TableParagraph"/>
              <w:spacing w:line="270" w:lineRule="atLeast"/>
              <w:ind w:left="1540" w:right="206" w:hanging="1323"/>
              <w:jc w:val="left"/>
              <w:rPr>
                <w:b/>
                <w:sz w:val="24"/>
              </w:rPr>
            </w:pPr>
            <w:r>
              <w:rPr>
                <w:b/>
                <w:sz w:val="24"/>
              </w:rPr>
              <w:t>Virus/Bacteria/Parasite</w:t>
            </w:r>
            <w:r>
              <w:rPr>
                <w:b/>
                <w:spacing w:val="-15"/>
                <w:sz w:val="24"/>
              </w:rPr>
              <w:t> </w:t>
            </w:r>
            <w:r>
              <w:rPr>
                <w:b/>
                <w:sz w:val="24"/>
              </w:rPr>
              <w:t>Antibody </w:t>
            </w:r>
            <w:r>
              <w:rPr>
                <w:b/>
                <w:spacing w:val="-2"/>
                <w:sz w:val="24"/>
              </w:rPr>
              <w:t>positive</w:t>
            </w:r>
          </w:p>
        </w:tc>
        <w:tc>
          <w:tcPr>
            <w:tcW w:w="2084" w:type="dxa"/>
          </w:tcPr>
          <w:p>
            <w:pPr>
              <w:pStyle w:val="TableParagraph"/>
              <w:spacing w:line="270" w:lineRule="atLeast"/>
              <w:ind w:left="821" w:right="232" w:hanging="578"/>
              <w:jc w:val="left"/>
              <w:rPr>
                <w:b/>
                <w:sz w:val="24"/>
              </w:rPr>
            </w:pPr>
            <w:r>
              <w:rPr>
                <w:b/>
                <w:sz w:val="24"/>
              </w:rPr>
              <w:t>Source/</w:t>
            </w:r>
            <w:r>
              <w:rPr>
                <w:b/>
                <w:spacing w:val="-15"/>
                <w:sz w:val="24"/>
              </w:rPr>
              <w:t> </w:t>
            </w:r>
            <w:r>
              <w:rPr>
                <w:b/>
                <w:sz w:val="24"/>
              </w:rPr>
              <w:t>Sample </w:t>
            </w:r>
            <w:r>
              <w:rPr>
                <w:b/>
                <w:spacing w:val="-4"/>
                <w:sz w:val="24"/>
              </w:rPr>
              <w:t>type</w:t>
            </w:r>
          </w:p>
        </w:tc>
        <w:tc>
          <w:tcPr>
            <w:tcW w:w="2176" w:type="dxa"/>
          </w:tcPr>
          <w:p>
            <w:pPr>
              <w:pStyle w:val="TableParagraph"/>
              <w:jc w:val="left"/>
              <w:rPr>
                <w:b/>
                <w:sz w:val="24"/>
              </w:rPr>
            </w:pPr>
          </w:p>
          <w:p>
            <w:pPr>
              <w:pStyle w:val="TableParagraph"/>
              <w:spacing w:line="255" w:lineRule="exact"/>
              <w:ind w:left="654"/>
              <w:jc w:val="left"/>
              <w:rPr>
                <w:b/>
                <w:sz w:val="24"/>
              </w:rPr>
            </w:pPr>
            <w:r>
              <w:rPr>
                <w:b/>
                <w:spacing w:val="-2"/>
                <w:sz w:val="24"/>
              </w:rPr>
              <w:t>Results*</w:t>
            </w:r>
          </w:p>
        </w:tc>
      </w:tr>
      <w:tr>
        <w:trPr>
          <w:trHeight w:val="276" w:hRule="atLeast"/>
        </w:trPr>
        <w:tc>
          <w:tcPr>
            <w:tcW w:w="3870" w:type="dxa"/>
          </w:tcPr>
          <w:p>
            <w:pPr>
              <w:pStyle w:val="TableParagraph"/>
              <w:jc w:val="left"/>
              <w:rPr>
                <w:sz w:val="20"/>
              </w:rPr>
            </w:pPr>
          </w:p>
        </w:tc>
        <w:tc>
          <w:tcPr>
            <w:tcW w:w="2084" w:type="dxa"/>
          </w:tcPr>
          <w:p>
            <w:pPr>
              <w:pStyle w:val="TableParagraph"/>
              <w:jc w:val="left"/>
              <w:rPr>
                <w:sz w:val="20"/>
              </w:rPr>
            </w:pPr>
          </w:p>
        </w:tc>
        <w:tc>
          <w:tcPr>
            <w:tcW w:w="2176" w:type="dxa"/>
          </w:tcPr>
          <w:p>
            <w:pPr>
              <w:pStyle w:val="TableParagraph"/>
              <w:jc w:val="left"/>
              <w:rPr>
                <w:sz w:val="20"/>
              </w:rPr>
            </w:pPr>
          </w:p>
        </w:tc>
      </w:tr>
    </w:tbl>
    <w:p>
      <w:pPr>
        <w:spacing w:after="0"/>
        <w:jc w:val="left"/>
        <w:rPr>
          <w:sz w:val="20"/>
        </w:rPr>
        <w:sectPr>
          <w:pgSz w:w="12240" w:h="15840"/>
          <w:pgMar w:header="731" w:footer="785" w:top="1360" w:bottom="980" w:left="1280" w:right="1200"/>
        </w:sectPr>
      </w:pPr>
    </w:p>
    <w:p>
      <w:pPr>
        <w:pStyle w:val="BodyText"/>
        <w:spacing w:before="10"/>
        <w:rPr>
          <w:b/>
          <w:sz w:val="6"/>
        </w:rPr>
      </w:pPr>
    </w:p>
    <w:tbl>
      <w:tblPr>
        <w:tblW w:w="0" w:type="auto"/>
        <w:jc w:val="left"/>
        <w:tblInd w:w="1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870"/>
        <w:gridCol w:w="2084"/>
        <w:gridCol w:w="2176"/>
      </w:tblGrid>
      <w:tr>
        <w:trPr>
          <w:trHeight w:val="275" w:hRule="atLeast"/>
        </w:trPr>
        <w:tc>
          <w:tcPr>
            <w:tcW w:w="3870" w:type="dxa"/>
            <w:tcBorders>
              <w:top w:val="nil"/>
            </w:tcBorders>
          </w:tcPr>
          <w:p>
            <w:pPr>
              <w:pStyle w:val="TableParagraph"/>
              <w:jc w:val="left"/>
              <w:rPr>
                <w:sz w:val="20"/>
              </w:rPr>
            </w:pPr>
          </w:p>
        </w:tc>
        <w:tc>
          <w:tcPr>
            <w:tcW w:w="2084" w:type="dxa"/>
          </w:tcPr>
          <w:p>
            <w:pPr>
              <w:pStyle w:val="TableParagraph"/>
              <w:jc w:val="left"/>
              <w:rPr>
                <w:sz w:val="20"/>
              </w:rPr>
            </w:pPr>
          </w:p>
        </w:tc>
        <w:tc>
          <w:tcPr>
            <w:tcW w:w="2176" w:type="dxa"/>
            <w:tcBorders>
              <w:top w:val="nil"/>
            </w:tcBorders>
          </w:tcPr>
          <w:p>
            <w:pPr>
              <w:pStyle w:val="TableParagraph"/>
              <w:jc w:val="left"/>
              <w:rPr>
                <w:sz w:val="20"/>
              </w:rPr>
            </w:pPr>
          </w:p>
        </w:tc>
      </w:tr>
      <w:tr>
        <w:trPr>
          <w:trHeight w:val="276" w:hRule="atLeast"/>
        </w:trPr>
        <w:tc>
          <w:tcPr>
            <w:tcW w:w="3870" w:type="dxa"/>
          </w:tcPr>
          <w:p>
            <w:pPr>
              <w:pStyle w:val="TableParagraph"/>
              <w:jc w:val="left"/>
              <w:rPr>
                <w:sz w:val="20"/>
              </w:rPr>
            </w:pPr>
          </w:p>
        </w:tc>
        <w:tc>
          <w:tcPr>
            <w:tcW w:w="2084" w:type="dxa"/>
          </w:tcPr>
          <w:p>
            <w:pPr>
              <w:pStyle w:val="TableParagraph"/>
              <w:jc w:val="left"/>
              <w:rPr>
                <w:sz w:val="20"/>
              </w:rPr>
            </w:pPr>
          </w:p>
        </w:tc>
        <w:tc>
          <w:tcPr>
            <w:tcW w:w="2176" w:type="dxa"/>
          </w:tcPr>
          <w:p>
            <w:pPr>
              <w:pStyle w:val="TableParagraph"/>
              <w:jc w:val="left"/>
              <w:rPr>
                <w:sz w:val="20"/>
              </w:rPr>
            </w:pPr>
          </w:p>
        </w:tc>
      </w:tr>
    </w:tbl>
    <w:p>
      <w:pPr>
        <w:pStyle w:val="Heading5"/>
        <w:spacing w:before="2"/>
        <w:ind w:left="462" w:right="275"/>
        <w:jc w:val="center"/>
      </w:pPr>
      <w:r>
        <w:rPr/>
        <w:t>*If</w:t>
      </w:r>
      <w:r>
        <w:rPr>
          <w:spacing w:val="-4"/>
        </w:rPr>
        <w:t> </w:t>
      </w:r>
      <w:r>
        <w:rPr/>
        <w:t>applicable,</w:t>
      </w:r>
      <w:r>
        <w:rPr>
          <w:spacing w:val="-2"/>
        </w:rPr>
        <w:t> </w:t>
      </w:r>
      <w:r>
        <w:rPr/>
        <w:t>please</w:t>
      </w:r>
      <w:r>
        <w:rPr>
          <w:spacing w:val="-3"/>
        </w:rPr>
        <w:t> </w:t>
      </w:r>
      <w:r>
        <w:rPr/>
        <w:t>include</w:t>
      </w:r>
      <w:r>
        <w:rPr>
          <w:spacing w:val="-2"/>
        </w:rPr>
        <w:t> </w:t>
      </w:r>
      <w:r>
        <w:rPr/>
        <w:t>the</w:t>
      </w:r>
      <w:r>
        <w:rPr>
          <w:spacing w:val="-2"/>
        </w:rPr>
        <w:t> </w:t>
      </w:r>
      <w:r>
        <w:rPr/>
        <w:t>signal</w:t>
      </w:r>
      <w:r>
        <w:rPr>
          <w:spacing w:val="-2"/>
        </w:rPr>
        <w:t> </w:t>
      </w:r>
      <w:r>
        <w:rPr/>
        <w:t>output</w:t>
      </w:r>
      <w:r>
        <w:rPr>
          <w:spacing w:val="-2"/>
        </w:rPr>
        <w:t> </w:t>
      </w:r>
      <w:r>
        <w:rPr/>
        <w:t>for</w:t>
      </w:r>
      <w:r>
        <w:rPr>
          <w:spacing w:val="-2"/>
        </w:rPr>
        <w:t> </w:t>
      </w:r>
      <w:r>
        <w:rPr/>
        <w:t>your</w:t>
      </w:r>
      <w:r>
        <w:rPr>
          <w:spacing w:val="-2"/>
        </w:rPr>
        <w:t> </w:t>
      </w:r>
      <w:r>
        <w:rPr/>
        <w:t>test’s</w:t>
      </w:r>
      <w:r>
        <w:rPr>
          <w:spacing w:val="-2"/>
        </w:rPr>
        <w:t> technology.</w:t>
      </w:r>
    </w:p>
    <w:p>
      <w:pPr>
        <w:pStyle w:val="BodyText"/>
        <w:spacing w:before="2"/>
        <w:rPr>
          <w:b/>
          <w:sz w:val="16"/>
        </w:rPr>
      </w:pPr>
    </w:p>
    <w:p>
      <w:pPr>
        <w:pStyle w:val="Heading6"/>
        <w:ind w:left="1240"/>
      </w:pPr>
      <w:r>
        <w:rPr>
          <w:color w:val="000000"/>
          <w:shd w:fill="FFFF00" w:color="auto" w:val="clear"/>
        </w:rPr>
        <w:t>[If</w:t>
      </w:r>
      <w:r>
        <w:rPr>
          <w:color w:val="000000"/>
          <w:spacing w:val="-4"/>
          <w:shd w:fill="FFFF00" w:color="auto" w:val="clear"/>
        </w:rPr>
        <w:t> </w:t>
      </w:r>
      <w:r>
        <w:rPr>
          <w:color w:val="000000"/>
          <w:shd w:fill="FFFF00" w:color="auto" w:val="clear"/>
        </w:rPr>
        <w:t>your</w:t>
      </w:r>
      <w:r>
        <w:rPr>
          <w:color w:val="000000"/>
          <w:spacing w:val="-5"/>
          <w:shd w:fill="FFFF00" w:color="auto" w:val="clear"/>
        </w:rPr>
        <w:t> </w:t>
      </w:r>
      <w:r>
        <w:rPr>
          <w:color w:val="000000"/>
          <w:shd w:fill="FFFF00" w:color="auto" w:val="clear"/>
        </w:rPr>
        <w:t>test</w:t>
      </w:r>
      <w:r>
        <w:rPr>
          <w:color w:val="000000"/>
          <w:spacing w:val="-5"/>
          <w:shd w:fill="FFFF00" w:color="auto" w:val="clear"/>
        </w:rPr>
        <w:t> </w:t>
      </w:r>
      <w:r>
        <w:rPr>
          <w:color w:val="000000"/>
          <w:shd w:fill="FFFF00" w:color="auto" w:val="clear"/>
        </w:rPr>
        <w:t>exhibits</w:t>
      </w:r>
      <w:r>
        <w:rPr>
          <w:color w:val="000000"/>
          <w:spacing w:val="-5"/>
          <w:shd w:fill="FFFF00" w:color="auto" w:val="clear"/>
        </w:rPr>
        <w:t> </w:t>
      </w:r>
      <w:r>
        <w:rPr>
          <w:color w:val="000000"/>
          <w:shd w:fill="FFFF00" w:color="auto" w:val="clear"/>
        </w:rPr>
        <w:t>significant</w:t>
      </w:r>
      <w:r>
        <w:rPr>
          <w:color w:val="000000"/>
          <w:spacing w:val="-5"/>
          <w:shd w:fill="FFFF00" w:color="auto" w:val="clear"/>
        </w:rPr>
        <w:t> </w:t>
      </w:r>
      <w:r>
        <w:rPr>
          <w:color w:val="000000"/>
          <w:shd w:fill="FFFF00" w:color="auto" w:val="clear"/>
        </w:rPr>
        <w:t>cross-reactivity</w:t>
      </w:r>
      <w:r>
        <w:rPr>
          <w:color w:val="000000"/>
          <w:spacing w:val="-5"/>
          <w:shd w:fill="FFFF00" w:color="auto" w:val="clear"/>
        </w:rPr>
        <w:t> </w:t>
      </w:r>
      <w:r>
        <w:rPr>
          <w:color w:val="000000"/>
          <w:shd w:fill="FFFF00" w:color="auto" w:val="clear"/>
        </w:rPr>
        <w:t>that</w:t>
      </w:r>
      <w:r>
        <w:rPr>
          <w:color w:val="000000"/>
          <w:spacing w:val="-4"/>
          <w:shd w:fill="FFFF00" w:color="auto" w:val="clear"/>
        </w:rPr>
        <w:t> </w:t>
      </w:r>
      <w:r>
        <w:rPr>
          <w:color w:val="000000"/>
          <w:shd w:fill="FFFF00" w:color="auto" w:val="clear"/>
        </w:rPr>
        <w:t>would</w:t>
      </w:r>
      <w:r>
        <w:rPr>
          <w:color w:val="000000"/>
          <w:spacing w:val="-4"/>
          <w:shd w:fill="FFFF00" w:color="auto" w:val="clear"/>
        </w:rPr>
        <w:t> </w:t>
      </w:r>
      <w:r>
        <w:rPr>
          <w:color w:val="000000"/>
          <w:shd w:fill="FFFF00" w:color="auto" w:val="clear"/>
        </w:rPr>
        <w:t>produce</w:t>
      </w:r>
      <w:r>
        <w:rPr>
          <w:color w:val="000000"/>
          <w:spacing w:val="-4"/>
          <w:shd w:fill="FFFF00" w:color="auto" w:val="clear"/>
        </w:rPr>
        <w:t> </w:t>
      </w:r>
      <w:r>
        <w:rPr>
          <w:color w:val="000000"/>
          <w:shd w:fill="FFFF00" w:color="auto" w:val="clear"/>
        </w:rPr>
        <w:t>false</w:t>
      </w:r>
      <w:r>
        <w:rPr>
          <w:color w:val="000000"/>
          <w:spacing w:val="-4"/>
          <w:shd w:fill="FFFF00" w:color="auto" w:val="clear"/>
        </w:rPr>
        <w:t> </w:t>
      </w:r>
      <w:r>
        <w:rPr>
          <w:color w:val="000000"/>
          <w:shd w:fill="FFFF00" w:color="auto" w:val="clear"/>
        </w:rPr>
        <w:t>positive</w:t>
      </w:r>
      <w:r>
        <w:rPr>
          <w:color w:val="000000"/>
        </w:rPr>
        <w:t> </w:t>
      </w:r>
      <w:bookmarkStart w:name="2) Class Specificity:" w:id="118"/>
      <w:bookmarkEnd w:id="118"/>
      <w:r>
        <w:rPr>
          <w:color w:val="000000"/>
        </w:rPr>
      </w:r>
      <w:r>
        <w:rPr>
          <w:color w:val="000000"/>
          <w:shd w:fill="FFFF00" w:color="auto" w:val="clear"/>
        </w:rPr>
        <w:t>results for any virus evaluated, please describe a plan to address this risk.]</w:t>
      </w:r>
    </w:p>
    <w:p>
      <w:pPr>
        <w:pStyle w:val="BodyText"/>
        <w:spacing w:before="9"/>
        <w:rPr>
          <w:rFonts w:ascii="TimesNewRomanPS-BoldItalicMT"/>
          <w:b/>
          <w:i/>
          <w:sz w:val="20"/>
        </w:rPr>
      </w:pPr>
    </w:p>
    <w:p>
      <w:pPr>
        <w:pStyle w:val="Heading5"/>
        <w:numPr>
          <w:ilvl w:val="1"/>
          <w:numId w:val="15"/>
        </w:numPr>
        <w:tabs>
          <w:tab w:pos="879" w:val="left" w:leader="none"/>
        </w:tabs>
        <w:spacing w:line="240" w:lineRule="auto" w:before="1" w:after="0"/>
        <w:ind w:left="879" w:right="0" w:hanging="359"/>
        <w:jc w:val="both"/>
      </w:pPr>
      <w:r>
        <w:rPr>
          <w:u w:val="thick"/>
        </w:rPr>
        <w:t>Class</w:t>
      </w:r>
      <w:r>
        <w:rPr>
          <w:spacing w:val="-3"/>
          <w:u w:val="thick"/>
        </w:rPr>
        <w:t> </w:t>
      </w:r>
      <w:r>
        <w:rPr>
          <w:spacing w:val="-2"/>
          <w:u w:val="thick"/>
        </w:rPr>
        <w:t>Specificity:</w:t>
      </w:r>
    </w:p>
    <w:p>
      <w:pPr>
        <w:spacing w:before="120"/>
        <w:ind w:left="880" w:right="675" w:firstLine="0"/>
        <w:jc w:val="both"/>
        <w:rPr>
          <w:rFonts w:ascii="TimesNewRomanPS-BoldItalicMT"/>
          <w:b/>
          <w:i/>
          <w:sz w:val="24"/>
        </w:rPr>
      </w:pPr>
      <w:r>
        <w:rPr>
          <w:b/>
          <w:sz w:val="24"/>
        </w:rPr>
        <w:t>If your test</w:t>
      </w:r>
      <w:r>
        <w:rPr>
          <w:b/>
          <w:spacing w:val="-1"/>
          <w:sz w:val="24"/>
        </w:rPr>
        <w:t> </w:t>
      </w:r>
      <w:r>
        <w:rPr>
          <w:b/>
          <w:sz w:val="24"/>
        </w:rPr>
        <w:t>is intended</w:t>
      </w:r>
      <w:r>
        <w:rPr>
          <w:b/>
          <w:spacing w:val="-2"/>
          <w:sz w:val="24"/>
        </w:rPr>
        <w:t> </w:t>
      </w:r>
      <w:r>
        <w:rPr>
          <w:b/>
          <w:sz w:val="24"/>
        </w:rPr>
        <w:t>for the detection</w:t>
      </w:r>
      <w:r>
        <w:rPr>
          <w:b/>
          <w:spacing w:val="-1"/>
          <w:sz w:val="24"/>
        </w:rPr>
        <w:t> </w:t>
      </w:r>
      <w:r>
        <w:rPr>
          <w:b/>
          <w:sz w:val="24"/>
        </w:rPr>
        <w:t>of</w:t>
      </w:r>
      <w:r>
        <w:rPr>
          <w:b/>
          <w:spacing w:val="-1"/>
          <w:sz w:val="24"/>
        </w:rPr>
        <w:t> </w:t>
      </w:r>
      <w:r>
        <w:rPr>
          <w:b/>
          <w:sz w:val="24"/>
        </w:rPr>
        <w:t>total antibody</w:t>
      </w:r>
      <w:r>
        <w:rPr>
          <w:b/>
          <w:spacing w:val="-2"/>
          <w:sz w:val="24"/>
        </w:rPr>
        <w:t> </w:t>
      </w:r>
      <w:r>
        <w:rPr>
          <w:b/>
          <w:sz w:val="24"/>
        </w:rPr>
        <w:t>with</w:t>
      </w:r>
      <w:r>
        <w:rPr>
          <w:b/>
          <w:spacing w:val="-1"/>
          <w:sz w:val="24"/>
        </w:rPr>
        <w:t> </w:t>
      </w:r>
      <w:r>
        <w:rPr>
          <w:b/>
          <w:sz w:val="24"/>
        </w:rPr>
        <w:t>no differentiation between</w:t>
      </w:r>
      <w:r>
        <w:rPr>
          <w:b/>
          <w:spacing w:val="-4"/>
          <w:sz w:val="24"/>
        </w:rPr>
        <w:t> </w:t>
      </w:r>
      <w:r>
        <w:rPr>
          <w:b/>
          <w:sz w:val="24"/>
        </w:rPr>
        <w:t>different</w:t>
      </w:r>
      <w:r>
        <w:rPr>
          <w:b/>
          <w:spacing w:val="-4"/>
          <w:sz w:val="24"/>
        </w:rPr>
        <w:t> </w:t>
      </w:r>
      <w:r>
        <w:rPr>
          <w:b/>
          <w:sz w:val="24"/>
        </w:rPr>
        <w:t>immunoglobulins,</w:t>
      </w:r>
      <w:r>
        <w:rPr>
          <w:b/>
          <w:spacing w:val="-3"/>
          <w:sz w:val="24"/>
        </w:rPr>
        <w:t> </w:t>
      </w:r>
      <w:r>
        <w:rPr>
          <w:b/>
          <w:sz w:val="24"/>
        </w:rPr>
        <w:t>then</w:t>
      </w:r>
      <w:r>
        <w:rPr>
          <w:b/>
          <w:spacing w:val="-4"/>
          <w:sz w:val="24"/>
        </w:rPr>
        <w:t> </w:t>
      </w:r>
      <w:r>
        <w:rPr>
          <w:b/>
          <w:sz w:val="24"/>
        </w:rPr>
        <w:t>this</w:t>
      </w:r>
      <w:r>
        <w:rPr>
          <w:b/>
          <w:spacing w:val="-4"/>
          <w:sz w:val="24"/>
        </w:rPr>
        <w:t> </w:t>
      </w:r>
      <w:r>
        <w:rPr>
          <w:b/>
          <w:sz w:val="24"/>
        </w:rPr>
        <w:t>study</w:t>
      </w:r>
      <w:r>
        <w:rPr>
          <w:b/>
          <w:spacing w:val="-3"/>
          <w:sz w:val="24"/>
        </w:rPr>
        <w:t> </w:t>
      </w:r>
      <w:r>
        <w:rPr>
          <w:b/>
          <w:sz w:val="24"/>
        </w:rPr>
        <w:t>does</w:t>
      </w:r>
      <w:r>
        <w:rPr>
          <w:b/>
          <w:spacing w:val="-3"/>
          <w:sz w:val="24"/>
        </w:rPr>
        <w:t> </w:t>
      </w:r>
      <w:r>
        <w:rPr>
          <w:b/>
          <w:sz w:val="24"/>
        </w:rPr>
        <w:t>not</w:t>
      </w:r>
      <w:r>
        <w:rPr>
          <w:b/>
          <w:spacing w:val="-3"/>
          <w:sz w:val="24"/>
        </w:rPr>
        <w:t> </w:t>
      </w:r>
      <w:r>
        <w:rPr>
          <w:b/>
          <w:sz w:val="24"/>
        </w:rPr>
        <w:t>apply.</w:t>
      </w:r>
      <w:r>
        <w:rPr>
          <w:b/>
          <w:spacing w:val="-3"/>
          <w:sz w:val="24"/>
        </w:rPr>
        <w:t> </w:t>
      </w:r>
      <w:r>
        <w:rPr>
          <w:rFonts w:ascii="TimesNewRomanPS-BoldItalicMT"/>
          <w:b/>
          <w:i/>
          <w:color w:val="000000"/>
          <w:sz w:val="24"/>
          <w:shd w:fill="FFFF00" w:color="auto" w:val="clear"/>
        </w:rPr>
        <w:t>[In</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this</w:t>
      </w:r>
      <w:r>
        <w:rPr>
          <w:rFonts w:ascii="TimesNewRomanPS-BoldItalicMT"/>
          <w:b/>
          <w:i/>
          <w:color w:val="000000"/>
          <w:spacing w:val="-3"/>
          <w:sz w:val="24"/>
          <w:shd w:fill="FFFF00" w:color="auto" w:val="clear"/>
        </w:rPr>
        <w:t> </w:t>
      </w:r>
      <w:r>
        <w:rPr>
          <w:rFonts w:ascii="TimesNewRomanPS-BoldItalicMT"/>
          <w:b/>
          <w:i/>
          <w:color w:val="000000"/>
          <w:sz w:val="24"/>
          <w:shd w:fill="FFFF00" w:color="auto" w:val="clear"/>
        </w:rPr>
        <w:t>case,</w:t>
      </w:r>
      <w:r>
        <w:rPr>
          <w:rFonts w:ascii="TimesNewRomanPS-BoldItalicMT"/>
          <w:b/>
          <w:i/>
          <w:color w:val="000000"/>
          <w:sz w:val="24"/>
        </w:rPr>
        <w:t> </w:t>
      </w:r>
      <w:r>
        <w:rPr>
          <w:rFonts w:ascii="TimesNewRomanPS-BoldItalicMT"/>
          <w:b/>
          <w:i/>
          <w:color w:val="000000"/>
          <w:sz w:val="24"/>
          <w:shd w:fill="FFFF00" w:color="auto" w:val="clear"/>
        </w:rPr>
        <w:t>please indicate that this study is not applicable.]</w:t>
      </w:r>
    </w:p>
    <w:p>
      <w:pPr>
        <w:pStyle w:val="BodyText"/>
        <w:spacing w:before="2"/>
        <w:rPr>
          <w:rFonts w:ascii="TimesNewRomanPS-BoldItalicMT"/>
          <w:b/>
          <w:i/>
          <w:sz w:val="16"/>
        </w:rPr>
      </w:pPr>
    </w:p>
    <w:p>
      <w:pPr>
        <w:pStyle w:val="Heading6"/>
        <w:ind w:right="250"/>
      </w:pPr>
      <w:r>
        <w:rPr>
          <w:color w:val="000000"/>
          <w:shd w:fill="FFFF00" w:color="auto" w:val="clear"/>
        </w:rPr>
        <w:t>[If your test is intended for the detection of total antibody with no differentiation</w:t>
      </w:r>
      <w:r>
        <w:rPr>
          <w:color w:val="000000"/>
        </w:rPr>
        <w:t> </w:t>
      </w:r>
      <w:r>
        <w:rPr>
          <w:color w:val="000000"/>
          <w:shd w:fill="FFFF00" w:color="auto" w:val="clear"/>
        </w:rPr>
        <w:t>between</w:t>
      </w:r>
      <w:r>
        <w:rPr>
          <w:color w:val="000000"/>
          <w:spacing w:val="-5"/>
          <w:shd w:fill="FFFF00" w:color="auto" w:val="clear"/>
        </w:rPr>
        <w:t> </w:t>
      </w:r>
      <w:r>
        <w:rPr>
          <w:color w:val="000000"/>
          <w:shd w:fill="FFFF00" w:color="auto" w:val="clear"/>
        </w:rPr>
        <w:t>different</w:t>
      </w:r>
      <w:r>
        <w:rPr>
          <w:color w:val="000000"/>
          <w:spacing w:val="-4"/>
          <w:shd w:fill="FFFF00" w:color="auto" w:val="clear"/>
        </w:rPr>
        <w:t> </w:t>
      </w:r>
      <w:r>
        <w:rPr>
          <w:color w:val="000000"/>
          <w:shd w:fill="FFFF00" w:color="auto" w:val="clear"/>
        </w:rPr>
        <w:t>immunoglobulins,</w:t>
      </w:r>
      <w:r>
        <w:rPr>
          <w:color w:val="000000"/>
          <w:spacing w:val="-4"/>
          <w:shd w:fill="FFFF00" w:color="auto" w:val="clear"/>
        </w:rPr>
        <w:t> </w:t>
      </w:r>
      <w:r>
        <w:rPr>
          <w:color w:val="000000"/>
          <w:shd w:fill="FFFF00" w:color="auto" w:val="clear"/>
        </w:rPr>
        <w:t>then</w:t>
      </w:r>
      <w:r>
        <w:rPr>
          <w:color w:val="000000"/>
          <w:spacing w:val="-5"/>
          <w:shd w:fill="FFFF00" w:color="auto" w:val="clear"/>
        </w:rPr>
        <w:t> </w:t>
      </w:r>
      <w:r>
        <w:rPr>
          <w:color w:val="000000"/>
          <w:shd w:fill="FFFF00" w:color="auto" w:val="clear"/>
        </w:rPr>
        <w:t>this</w:t>
      </w:r>
      <w:r>
        <w:rPr>
          <w:color w:val="000000"/>
          <w:spacing w:val="-4"/>
          <w:shd w:fill="FFFF00" w:color="auto" w:val="clear"/>
        </w:rPr>
        <w:t> </w:t>
      </w:r>
      <w:r>
        <w:rPr>
          <w:color w:val="000000"/>
          <w:shd w:fill="FFFF00" w:color="auto" w:val="clear"/>
        </w:rPr>
        <w:t>study</w:t>
      </w:r>
      <w:r>
        <w:rPr>
          <w:color w:val="000000"/>
          <w:spacing w:val="-4"/>
          <w:shd w:fill="FFFF00" w:color="auto" w:val="clear"/>
        </w:rPr>
        <w:t> </w:t>
      </w:r>
      <w:r>
        <w:rPr>
          <w:color w:val="000000"/>
          <w:shd w:fill="FFFF00" w:color="auto" w:val="clear"/>
        </w:rPr>
        <w:t>does</w:t>
      </w:r>
      <w:r>
        <w:rPr>
          <w:color w:val="000000"/>
          <w:spacing w:val="-4"/>
          <w:shd w:fill="FFFF00" w:color="auto" w:val="clear"/>
        </w:rPr>
        <w:t> </w:t>
      </w:r>
      <w:r>
        <w:rPr>
          <w:color w:val="000000"/>
          <w:shd w:fill="FFFF00" w:color="auto" w:val="clear"/>
        </w:rPr>
        <w:t>not</w:t>
      </w:r>
      <w:r>
        <w:rPr>
          <w:color w:val="000000"/>
          <w:spacing w:val="-4"/>
          <w:shd w:fill="FFFF00" w:color="auto" w:val="clear"/>
        </w:rPr>
        <w:t> </w:t>
      </w:r>
      <w:r>
        <w:rPr>
          <w:color w:val="000000"/>
          <w:shd w:fill="FFFF00" w:color="auto" w:val="clear"/>
        </w:rPr>
        <w:t>apply.</w:t>
      </w:r>
      <w:r>
        <w:rPr>
          <w:color w:val="000000"/>
          <w:spacing w:val="-4"/>
          <w:shd w:fill="FFFF00" w:color="auto" w:val="clear"/>
        </w:rPr>
        <w:t> </w:t>
      </w:r>
      <w:r>
        <w:rPr>
          <w:color w:val="000000"/>
          <w:shd w:fill="FFFF00" w:color="auto" w:val="clear"/>
        </w:rPr>
        <w:t>Please</w:t>
      </w:r>
      <w:r>
        <w:rPr>
          <w:color w:val="000000"/>
          <w:spacing w:val="-4"/>
          <w:shd w:fill="FFFF00" w:color="auto" w:val="clear"/>
        </w:rPr>
        <w:t> </w:t>
      </w:r>
      <w:r>
        <w:rPr>
          <w:color w:val="000000"/>
          <w:shd w:fill="FFFF00" w:color="auto" w:val="clear"/>
        </w:rPr>
        <w:t>indicate</w:t>
      </w:r>
      <w:r>
        <w:rPr>
          <w:color w:val="000000"/>
          <w:spacing w:val="-5"/>
          <w:shd w:fill="FFFF00" w:color="auto" w:val="clear"/>
        </w:rPr>
        <w:t> </w:t>
      </w:r>
      <w:r>
        <w:rPr>
          <w:color w:val="000000"/>
          <w:shd w:fill="FFFF00" w:color="auto" w:val="clear"/>
        </w:rPr>
        <w:t>not</w:t>
      </w:r>
      <w:r>
        <w:rPr>
          <w:color w:val="000000"/>
        </w:rPr>
        <w:t> </w:t>
      </w:r>
      <w:r>
        <w:rPr>
          <w:color w:val="000000"/>
          <w:spacing w:val="-2"/>
          <w:shd w:fill="FFFF00" w:color="auto" w:val="clear"/>
        </w:rPr>
        <w:t>applicable.</w:t>
      </w:r>
    </w:p>
    <w:p>
      <w:pPr>
        <w:pStyle w:val="BodyText"/>
        <w:spacing w:before="2"/>
        <w:rPr>
          <w:rFonts w:ascii="TimesNewRomanPS-BoldItalicMT"/>
          <w:b/>
          <w:i/>
          <w:sz w:val="16"/>
        </w:rPr>
      </w:pPr>
    </w:p>
    <w:p>
      <w:pPr>
        <w:pStyle w:val="Heading6"/>
      </w:pPr>
      <w:r>
        <w:rPr>
          <w:color w:val="000000"/>
          <w:shd w:fill="FFFF00" w:color="auto" w:val="clear"/>
        </w:rPr>
        <w:t>If</w:t>
      </w:r>
      <w:r>
        <w:rPr>
          <w:color w:val="000000"/>
          <w:spacing w:val="-4"/>
          <w:shd w:fill="FFFF00" w:color="auto" w:val="clear"/>
        </w:rPr>
        <w:t> </w:t>
      </w:r>
      <w:r>
        <w:rPr>
          <w:color w:val="000000"/>
          <w:shd w:fill="FFFF00" w:color="auto" w:val="clear"/>
        </w:rPr>
        <w:t>your</w:t>
      </w:r>
      <w:r>
        <w:rPr>
          <w:color w:val="000000"/>
          <w:spacing w:val="-4"/>
          <w:shd w:fill="FFFF00" w:color="auto" w:val="clear"/>
        </w:rPr>
        <w:t> </w:t>
      </w:r>
      <w:r>
        <w:rPr>
          <w:color w:val="000000"/>
          <w:shd w:fill="FFFF00" w:color="auto" w:val="clear"/>
        </w:rPr>
        <w:t>test</w:t>
      </w:r>
      <w:r>
        <w:rPr>
          <w:color w:val="000000"/>
          <w:spacing w:val="-4"/>
          <w:shd w:fill="FFFF00" w:color="auto" w:val="clear"/>
        </w:rPr>
        <w:t> </w:t>
      </w:r>
      <w:r>
        <w:rPr>
          <w:color w:val="000000"/>
          <w:shd w:fill="FFFF00" w:color="auto" w:val="clear"/>
        </w:rPr>
        <w:t>is</w:t>
      </w:r>
      <w:r>
        <w:rPr>
          <w:color w:val="000000"/>
          <w:spacing w:val="-4"/>
          <w:shd w:fill="FFFF00" w:color="auto" w:val="clear"/>
        </w:rPr>
        <w:t> </w:t>
      </w:r>
      <w:r>
        <w:rPr>
          <w:color w:val="000000"/>
          <w:shd w:fill="FFFF00" w:color="auto" w:val="clear"/>
        </w:rPr>
        <w:t>intended</w:t>
      </w:r>
      <w:r>
        <w:rPr>
          <w:color w:val="000000"/>
          <w:spacing w:val="-6"/>
          <w:shd w:fill="FFFF00" w:color="auto" w:val="clear"/>
        </w:rPr>
        <w:t> </w:t>
      </w:r>
      <w:r>
        <w:rPr>
          <w:color w:val="000000"/>
          <w:shd w:fill="FFFF00" w:color="auto" w:val="clear"/>
        </w:rPr>
        <w:t>to</w:t>
      </w:r>
      <w:r>
        <w:rPr>
          <w:color w:val="000000"/>
          <w:spacing w:val="-4"/>
          <w:shd w:fill="FFFF00" w:color="auto" w:val="clear"/>
        </w:rPr>
        <w:t> </w:t>
      </w:r>
      <w:r>
        <w:rPr>
          <w:color w:val="000000"/>
          <w:shd w:fill="FFFF00" w:color="auto" w:val="clear"/>
        </w:rPr>
        <w:t>differentiate</w:t>
      </w:r>
      <w:r>
        <w:rPr>
          <w:color w:val="000000"/>
          <w:spacing w:val="-4"/>
          <w:shd w:fill="FFFF00" w:color="auto" w:val="clear"/>
        </w:rPr>
        <w:t> </w:t>
      </w:r>
      <w:r>
        <w:rPr>
          <w:color w:val="000000"/>
          <w:shd w:fill="FFFF00" w:color="auto" w:val="clear"/>
        </w:rPr>
        <w:t>between</w:t>
      </w:r>
      <w:r>
        <w:rPr>
          <w:color w:val="000000"/>
          <w:spacing w:val="-5"/>
          <w:shd w:fill="FFFF00" w:color="auto" w:val="clear"/>
        </w:rPr>
        <w:t> </w:t>
      </w:r>
      <w:r>
        <w:rPr>
          <w:color w:val="000000"/>
          <w:shd w:fill="FFFF00" w:color="auto" w:val="clear"/>
        </w:rPr>
        <w:t>different</w:t>
      </w:r>
      <w:r>
        <w:rPr>
          <w:color w:val="000000"/>
          <w:spacing w:val="-5"/>
          <w:shd w:fill="FFFF00" w:color="auto" w:val="clear"/>
        </w:rPr>
        <w:t> </w:t>
      </w:r>
      <w:r>
        <w:rPr>
          <w:color w:val="000000"/>
          <w:shd w:fill="FFFF00" w:color="auto" w:val="clear"/>
        </w:rPr>
        <w:t>immunoglobulins,</w:t>
      </w:r>
      <w:r>
        <w:rPr>
          <w:color w:val="000000"/>
          <w:spacing w:val="-4"/>
          <w:shd w:fill="FFFF00" w:color="auto" w:val="clear"/>
        </w:rPr>
        <w:t> </w:t>
      </w:r>
      <w:r>
        <w:rPr>
          <w:color w:val="000000"/>
          <w:shd w:fill="FFFF00" w:color="auto" w:val="clear"/>
        </w:rPr>
        <w:t>describe</w:t>
      </w:r>
      <w:r>
        <w:rPr>
          <w:color w:val="000000"/>
          <w:spacing w:val="-5"/>
          <w:shd w:fill="FFFF00" w:color="auto" w:val="clear"/>
        </w:rPr>
        <w:t> </w:t>
      </w:r>
      <w:r>
        <w:rPr>
          <w:color w:val="000000"/>
          <w:shd w:fill="FFFF00" w:color="auto" w:val="clear"/>
        </w:rPr>
        <w:t>the</w:t>
      </w:r>
      <w:r>
        <w:rPr>
          <w:color w:val="000000"/>
        </w:rPr>
        <w:t> </w:t>
      </w:r>
      <w:r>
        <w:rPr>
          <w:color w:val="000000"/>
          <w:shd w:fill="FFFF00" w:color="auto" w:val="clear"/>
        </w:rPr>
        <w:t>approach used to evaluate class specificity.]</w:t>
      </w:r>
    </w:p>
    <w:p>
      <w:pPr>
        <w:pStyle w:val="BodyText"/>
        <w:spacing w:before="2"/>
        <w:rPr>
          <w:rFonts w:ascii="TimesNewRomanPS-BoldItalicMT"/>
          <w:b/>
          <w:i/>
          <w:sz w:val="16"/>
        </w:rPr>
      </w:pPr>
    </w:p>
    <w:p>
      <w:pPr>
        <w:pStyle w:val="Heading6"/>
        <w:ind w:right="278"/>
      </w:pPr>
      <w:r>
        <w:rPr>
          <w:color w:val="000000"/>
          <w:shd w:fill="FFFF00" w:color="auto" w:val="clear"/>
        </w:rPr>
        <w:t>[If class specificity testing is needed</w:t>
      </w:r>
      <w:r>
        <w:rPr>
          <w:color w:val="000000"/>
          <w:spacing w:val="-2"/>
          <w:shd w:fill="FFFF00" w:color="auto" w:val="clear"/>
        </w:rPr>
        <w:t> </w:t>
      </w:r>
      <w:r>
        <w:rPr>
          <w:color w:val="000000"/>
          <w:shd w:fill="FFFF00" w:color="auto" w:val="clear"/>
        </w:rPr>
        <w:t>for your test, please describe</w:t>
      </w:r>
      <w:r>
        <w:rPr>
          <w:color w:val="000000"/>
          <w:spacing w:val="-1"/>
          <w:shd w:fill="FFFF00" w:color="auto" w:val="clear"/>
        </w:rPr>
        <w:t> </w:t>
      </w:r>
      <w:r>
        <w:rPr>
          <w:color w:val="000000"/>
          <w:shd w:fill="FFFF00" w:color="auto" w:val="clear"/>
        </w:rPr>
        <w:t>the study, or studies,</w:t>
      </w:r>
      <w:r>
        <w:rPr>
          <w:color w:val="000000"/>
        </w:rPr>
        <w:t> </w:t>
      </w:r>
      <w:r>
        <w:rPr>
          <w:color w:val="000000"/>
          <w:shd w:fill="FFFF00" w:color="auto" w:val="clear"/>
        </w:rPr>
        <w:t>performed to demonstrate that the assay accurately detects each antibody class (e.g.,</w:t>
      </w:r>
      <w:r>
        <w:rPr>
          <w:color w:val="000000"/>
        </w:rPr>
        <w:t> </w:t>
      </w:r>
      <w:r>
        <w:rPr>
          <w:color w:val="000000"/>
          <w:shd w:fill="FFFF00" w:color="auto" w:val="clear"/>
        </w:rPr>
        <w:t>IgG and IgM). This should include a description of the studies performed to evaluate</w:t>
      </w:r>
      <w:r>
        <w:rPr>
          <w:color w:val="000000"/>
        </w:rPr>
        <w:t> </w:t>
      </w:r>
      <w:r>
        <w:rPr>
          <w:color w:val="000000"/>
          <w:shd w:fill="FFFF00" w:color="auto" w:val="clear"/>
        </w:rPr>
        <w:t>the</w:t>
      </w:r>
      <w:r>
        <w:rPr>
          <w:color w:val="000000"/>
          <w:spacing w:val="-3"/>
          <w:shd w:fill="FFFF00" w:color="auto" w:val="clear"/>
        </w:rPr>
        <w:t> </w:t>
      </w:r>
      <w:r>
        <w:rPr>
          <w:color w:val="000000"/>
          <w:shd w:fill="FFFF00" w:color="auto" w:val="clear"/>
        </w:rPr>
        <w:t>potential</w:t>
      </w:r>
      <w:r>
        <w:rPr>
          <w:color w:val="000000"/>
          <w:spacing w:val="-3"/>
          <w:shd w:fill="FFFF00" w:color="auto" w:val="clear"/>
        </w:rPr>
        <w:t> </w:t>
      </w:r>
      <w:r>
        <w:rPr>
          <w:color w:val="000000"/>
          <w:shd w:fill="FFFF00" w:color="auto" w:val="clear"/>
        </w:rPr>
        <w:t>for</w:t>
      </w:r>
      <w:r>
        <w:rPr>
          <w:color w:val="000000"/>
          <w:spacing w:val="-3"/>
          <w:shd w:fill="FFFF00" w:color="auto" w:val="clear"/>
        </w:rPr>
        <w:t> </w:t>
      </w:r>
      <w:r>
        <w:rPr>
          <w:color w:val="000000"/>
          <w:shd w:fill="FFFF00" w:color="auto" w:val="clear"/>
        </w:rPr>
        <w:t>human</w:t>
      </w:r>
      <w:r>
        <w:rPr>
          <w:color w:val="000000"/>
          <w:spacing w:val="-5"/>
          <w:shd w:fill="FFFF00" w:color="auto" w:val="clear"/>
        </w:rPr>
        <w:t> </w:t>
      </w:r>
      <w:r>
        <w:rPr>
          <w:color w:val="000000"/>
          <w:shd w:fill="FFFF00" w:color="auto" w:val="clear"/>
        </w:rPr>
        <w:t>IgM</w:t>
      </w:r>
      <w:r>
        <w:rPr>
          <w:color w:val="000000"/>
          <w:spacing w:val="-3"/>
          <w:shd w:fill="FFFF00" w:color="auto" w:val="clear"/>
        </w:rPr>
        <w:t> </w:t>
      </w:r>
      <w:r>
        <w:rPr>
          <w:color w:val="000000"/>
          <w:shd w:fill="FFFF00" w:color="auto" w:val="clear"/>
        </w:rPr>
        <w:t>to</w:t>
      </w:r>
      <w:r>
        <w:rPr>
          <w:color w:val="000000"/>
          <w:spacing w:val="-3"/>
          <w:shd w:fill="FFFF00" w:color="auto" w:val="clear"/>
        </w:rPr>
        <w:t> </w:t>
      </w:r>
      <w:r>
        <w:rPr>
          <w:color w:val="000000"/>
          <w:shd w:fill="FFFF00" w:color="auto" w:val="clear"/>
        </w:rPr>
        <w:t>cross</w:t>
      </w:r>
      <w:r>
        <w:rPr>
          <w:color w:val="000000"/>
          <w:spacing w:val="-3"/>
          <w:shd w:fill="FFFF00" w:color="auto" w:val="clear"/>
        </w:rPr>
        <w:t> </w:t>
      </w:r>
      <w:r>
        <w:rPr>
          <w:color w:val="000000"/>
          <w:shd w:fill="FFFF00" w:color="auto" w:val="clear"/>
        </w:rPr>
        <w:t>react</w:t>
      </w:r>
      <w:r>
        <w:rPr>
          <w:color w:val="000000"/>
          <w:spacing w:val="-3"/>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therefore</w:t>
      </w:r>
      <w:r>
        <w:rPr>
          <w:color w:val="000000"/>
          <w:spacing w:val="-3"/>
          <w:shd w:fill="FFFF00" w:color="auto" w:val="clear"/>
        </w:rPr>
        <w:t> </w:t>
      </w:r>
      <w:r>
        <w:rPr>
          <w:color w:val="000000"/>
          <w:shd w:fill="FFFF00" w:color="auto" w:val="clear"/>
        </w:rPr>
        <w:t>produce</w:t>
      </w:r>
      <w:r>
        <w:rPr>
          <w:color w:val="000000"/>
          <w:spacing w:val="-3"/>
          <w:shd w:fill="FFFF00" w:color="auto" w:val="clear"/>
        </w:rPr>
        <w:t> </w:t>
      </w:r>
      <w:r>
        <w:rPr>
          <w:color w:val="000000"/>
          <w:shd w:fill="FFFF00" w:color="auto" w:val="clear"/>
        </w:rPr>
        <w:t>false</w:t>
      </w:r>
      <w:r>
        <w:rPr>
          <w:color w:val="000000"/>
          <w:spacing w:val="-4"/>
          <w:shd w:fill="FFFF00" w:color="auto" w:val="clear"/>
        </w:rPr>
        <w:t> </w:t>
      </w:r>
      <w:r>
        <w:rPr>
          <w:color w:val="000000"/>
          <w:shd w:fill="FFFF00" w:color="auto" w:val="clear"/>
        </w:rPr>
        <w:t>positive</w:t>
      </w:r>
      <w:r>
        <w:rPr>
          <w:color w:val="000000"/>
          <w:spacing w:val="-3"/>
          <w:shd w:fill="FFFF00" w:color="auto" w:val="clear"/>
        </w:rPr>
        <w:t> </w:t>
      </w:r>
      <w:r>
        <w:rPr>
          <w:color w:val="000000"/>
          <w:shd w:fill="FFFF00" w:color="auto" w:val="clear"/>
        </w:rPr>
        <w:t>results</w:t>
      </w:r>
      <w:r>
        <w:rPr>
          <w:color w:val="000000"/>
        </w:rPr>
        <w:t> </w:t>
      </w:r>
      <w:r>
        <w:rPr>
          <w:color w:val="000000"/>
          <w:shd w:fill="FFFF00" w:color="auto" w:val="clear"/>
        </w:rPr>
        <w:t>for IgG, and the reverse, and the potential for IgM to compete with IgG and produce</w:t>
      </w:r>
      <w:r>
        <w:rPr>
          <w:color w:val="000000"/>
        </w:rPr>
        <w:t> </w:t>
      </w:r>
      <w:r>
        <w:rPr>
          <w:color w:val="000000"/>
          <w:shd w:fill="FFFF00" w:color="auto" w:val="clear"/>
        </w:rPr>
        <w:t>false negative results. Please indicate the number of samples, and the number of</w:t>
      </w:r>
      <w:r>
        <w:rPr>
          <w:color w:val="000000"/>
        </w:rPr>
        <w:t> </w:t>
      </w:r>
      <w:r>
        <w:rPr>
          <w:color w:val="000000"/>
          <w:shd w:fill="FFFF00" w:color="auto" w:val="clear"/>
        </w:rPr>
        <w:t>replicates per sample, tested. FDA believes that evaluating at least 5 samples positive</w:t>
      </w:r>
      <w:r>
        <w:rPr>
          <w:color w:val="000000"/>
        </w:rPr>
        <w:t> </w:t>
      </w:r>
      <w:r>
        <w:rPr>
          <w:color w:val="000000"/>
          <w:shd w:fill="FFFF00" w:color="auto" w:val="clear"/>
        </w:rPr>
        <w:t>for both antibody classes (IgM positive while also IgG positive), in duplicate, may be</w:t>
      </w:r>
      <w:r>
        <w:rPr>
          <w:color w:val="000000"/>
        </w:rPr>
        <w:t> </w:t>
      </w:r>
      <w:r>
        <w:rPr>
          <w:color w:val="000000"/>
          <w:spacing w:val="-2"/>
          <w:shd w:fill="FFFF00" w:color="auto" w:val="clear"/>
        </w:rPr>
        <w:t>acceptable.]</w:t>
      </w:r>
    </w:p>
    <w:p>
      <w:pPr>
        <w:pStyle w:val="BodyText"/>
        <w:spacing w:before="10"/>
        <w:rPr>
          <w:rFonts w:ascii="TimesNewRomanPS-BoldItalicMT"/>
          <w:b/>
          <w:i/>
          <w:sz w:val="23"/>
        </w:rPr>
      </w:pPr>
    </w:p>
    <w:p>
      <w:pPr>
        <w:pStyle w:val="Heading5"/>
        <w:ind w:right="418"/>
      </w:pPr>
      <w:r>
        <w:rPr/>
        <w:t>Approaches to evaluate class specificity depend on the assay format. If you have well-characterized the anti-IgG and anti-IgM reagents, used in your test class specificity</w:t>
      </w:r>
      <w:r>
        <w:rPr>
          <w:spacing w:val="-3"/>
        </w:rPr>
        <w:t> </w:t>
      </w:r>
      <w:r>
        <w:rPr/>
        <w:t>testing</w:t>
      </w:r>
      <w:r>
        <w:rPr>
          <w:spacing w:val="-3"/>
        </w:rPr>
        <w:t> </w:t>
      </w:r>
      <w:r>
        <w:rPr/>
        <w:t>may</w:t>
      </w:r>
      <w:r>
        <w:rPr>
          <w:spacing w:val="-5"/>
        </w:rPr>
        <w:t> </w:t>
      </w:r>
      <w:r>
        <w:rPr/>
        <w:t>not</w:t>
      </w:r>
      <w:r>
        <w:rPr>
          <w:spacing w:val="-3"/>
        </w:rPr>
        <w:t> </w:t>
      </w:r>
      <w:r>
        <w:rPr/>
        <w:t>be</w:t>
      </w:r>
      <w:r>
        <w:rPr>
          <w:spacing w:val="-3"/>
        </w:rPr>
        <w:t> </w:t>
      </w:r>
      <w:r>
        <w:rPr/>
        <w:t>needed.</w:t>
      </w:r>
      <w:r>
        <w:rPr>
          <w:spacing w:val="-3"/>
        </w:rPr>
        <w:t> </w:t>
      </w:r>
      <w:r>
        <w:rPr/>
        <w:t>In</w:t>
      </w:r>
      <w:r>
        <w:rPr>
          <w:spacing w:val="-4"/>
        </w:rPr>
        <w:t> </w:t>
      </w:r>
      <w:r>
        <w:rPr/>
        <w:t>this</w:t>
      </w:r>
      <w:r>
        <w:rPr>
          <w:spacing w:val="-3"/>
        </w:rPr>
        <w:t> </w:t>
      </w:r>
      <w:r>
        <w:rPr/>
        <w:t>case,</w:t>
      </w:r>
      <w:r>
        <w:rPr>
          <w:spacing w:val="-3"/>
        </w:rPr>
        <w:t> </w:t>
      </w:r>
      <w:r>
        <w:rPr/>
        <w:t>please</w:t>
      </w:r>
      <w:r>
        <w:rPr>
          <w:spacing w:val="-4"/>
        </w:rPr>
        <w:t> </w:t>
      </w:r>
      <w:r>
        <w:rPr/>
        <w:t>describe</w:t>
      </w:r>
      <w:r>
        <w:rPr>
          <w:spacing w:val="-3"/>
        </w:rPr>
        <w:t> </w:t>
      </w:r>
      <w:r>
        <w:rPr/>
        <w:t>how</w:t>
      </w:r>
      <w:r>
        <w:rPr>
          <w:spacing w:val="-5"/>
        </w:rPr>
        <w:t> </w:t>
      </w:r>
      <w:r>
        <w:rPr/>
        <w:t>the</w:t>
      </w:r>
      <w:r>
        <w:rPr>
          <w:spacing w:val="-3"/>
        </w:rPr>
        <w:t> </w:t>
      </w:r>
      <w:r>
        <w:rPr/>
        <w:t>reagents were characterized and such characterization supports class specificity. One recommended approach includes treating the specimen with dithiothreitol (DTT) where the final IgG result will remain unaffected and the final IgM signal will decrease or be negative. A positive control should also be included that confirms DTT activity.</w:t>
      </w:r>
    </w:p>
    <w:p>
      <w:pPr>
        <w:pStyle w:val="BodyText"/>
        <w:spacing w:before="3"/>
        <w:rPr>
          <w:b/>
          <w:sz w:val="16"/>
        </w:rPr>
      </w:pPr>
    </w:p>
    <w:p>
      <w:pPr>
        <w:pStyle w:val="Heading6"/>
      </w:pPr>
      <w:r>
        <w:rPr>
          <w:color w:val="000000"/>
          <w:shd w:fill="FFFF00" w:color="auto" w:val="clear"/>
        </w:rPr>
        <w:t>[Please</w:t>
      </w:r>
      <w:r>
        <w:rPr>
          <w:color w:val="000000"/>
          <w:spacing w:val="-4"/>
          <w:shd w:fill="FFFF00" w:color="auto" w:val="clear"/>
        </w:rPr>
        <w:t> </w:t>
      </w:r>
      <w:r>
        <w:rPr>
          <w:color w:val="000000"/>
          <w:shd w:fill="FFFF00" w:color="auto" w:val="clear"/>
        </w:rPr>
        <w:t>provide</w:t>
      </w:r>
      <w:r>
        <w:rPr>
          <w:color w:val="000000"/>
          <w:spacing w:val="-4"/>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protocol</w:t>
      </w:r>
      <w:r>
        <w:rPr>
          <w:color w:val="000000"/>
          <w:spacing w:val="-4"/>
          <w:shd w:fill="FFFF00" w:color="auto" w:val="clear"/>
        </w:rPr>
        <w:t> </w:t>
      </w:r>
      <w:r>
        <w:rPr>
          <w:color w:val="000000"/>
          <w:shd w:fill="FFFF00" w:color="auto" w:val="clear"/>
        </w:rPr>
        <w:t>and</w:t>
      </w:r>
      <w:r>
        <w:rPr>
          <w:color w:val="000000"/>
          <w:spacing w:val="-4"/>
          <w:shd w:fill="FFFF00" w:color="auto" w:val="clear"/>
        </w:rPr>
        <w:t> </w:t>
      </w:r>
      <w:r>
        <w:rPr>
          <w:color w:val="000000"/>
          <w:shd w:fill="FFFF00" w:color="auto" w:val="clear"/>
        </w:rPr>
        <w:t>results,</w:t>
      </w:r>
      <w:r>
        <w:rPr>
          <w:color w:val="000000"/>
          <w:spacing w:val="-4"/>
          <w:shd w:fill="FFFF00" w:color="auto" w:val="clear"/>
        </w:rPr>
        <w:t> </w:t>
      </w:r>
      <w:r>
        <w:rPr>
          <w:color w:val="000000"/>
          <w:shd w:fill="FFFF00" w:color="auto" w:val="clear"/>
        </w:rPr>
        <w:t>including</w:t>
      </w:r>
      <w:r>
        <w:rPr>
          <w:color w:val="000000"/>
          <w:spacing w:val="-4"/>
          <w:shd w:fill="FFFF00" w:color="auto" w:val="clear"/>
        </w:rPr>
        <w:t> </w:t>
      </w:r>
      <w:r>
        <w:rPr>
          <w:color w:val="000000"/>
          <w:shd w:fill="FFFF00" w:color="auto" w:val="clear"/>
        </w:rPr>
        <w:t>line</w:t>
      </w:r>
      <w:r>
        <w:rPr>
          <w:color w:val="000000"/>
          <w:spacing w:val="-4"/>
          <w:shd w:fill="FFFF00" w:color="auto" w:val="clear"/>
        </w:rPr>
        <w:t> </w:t>
      </w:r>
      <w:r>
        <w:rPr>
          <w:color w:val="000000"/>
          <w:shd w:fill="FFFF00" w:color="auto" w:val="clear"/>
        </w:rPr>
        <w:t>data,</w:t>
      </w:r>
      <w:r>
        <w:rPr>
          <w:color w:val="000000"/>
          <w:spacing w:val="-4"/>
          <w:shd w:fill="FFFF00" w:color="auto" w:val="clear"/>
        </w:rPr>
        <w:t> </w:t>
      </w:r>
      <w:r>
        <w:rPr>
          <w:color w:val="000000"/>
          <w:shd w:fill="FFFF00" w:color="auto" w:val="clear"/>
        </w:rPr>
        <w:t>from</w:t>
      </w:r>
      <w:r>
        <w:rPr>
          <w:color w:val="000000"/>
          <w:spacing w:val="-4"/>
          <w:shd w:fill="FFFF00" w:color="auto" w:val="clear"/>
        </w:rPr>
        <w:t> </w:t>
      </w:r>
      <w:r>
        <w:rPr>
          <w:color w:val="000000"/>
          <w:shd w:fill="FFFF00" w:color="auto" w:val="clear"/>
        </w:rPr>
        <w:t>any</w:t>
      </w:r>
      <w:r>
        <w:rPr>
          <w:color w:val="000000"/>
          <w:spacing w:val="-4"/>
          <w:shd w:fill="FFFF00" w:color="auto" w:val="clear"/>
        </w:rPr>
        <w:t> </w:t>
      </w:r>
      <w:r>
        <w:rPr>
          <w:color w:val="000000"/>
          <w:shd w:fill="FFFF00" w:color="auto" w:val="clear"/>
        </w:rPr>
        <w:t>class</w:t>
      </w:r>
      <w:r>
        <w:rPr>
          <w:color w:val="000000"/>
          <w:spacing w:val="-4"/>
          <w:shd w:fill="FFFF00" w:color="auto" w:val="clear"/>
        </w:rPr>
        <w:t> </w:t>
      </w:r>
      <w:r>
        <w:rPr>
          <w:color w:val="000000"/>
          <w:shd w:fill="FFFF00" w:color="auto" w:val="clear"/>
        </w:rPr>
        <w:t>specificity</w:t>
      </w:r>
      <w:r>
        <w:rPr>
          <w:color w:val="000000"/>
        </w:rPr>
        <w:t> </w:t>
      </w:r>
      <w:r>
        <w:rPr>
          <w:color w:val="000000"/>
          <w:spacing w:val="-2"/>
          <w:shd w:fill="FFFF00" w:color="auto" w:val="clear"/>
        </w:rPr>
        <w:t>testing.]</w:t>
      </w:r>
    </w:p>
    <w:p>
      <w:pPr>
        <w:pStyle w:val="BodyText"/>
        <w:spacing w:before="11"/>
        <w:rPr>
          <w:rFonts w:ascii="TimesNewRomanPS-BoldItalicMT"/>
          <w:b/>
          <w:i/>
          <w:sz w:val="23"/>
        </w:rPr>
      </w:pPr>
    </w:p>
    <w:p>
      <w:pPr>
        <w:pStyle w:val="Heading5"/>
        <w:ind w:right="278"/>
      </w:pPr>
      <w:r>
        <w:rPr/>
        <w:t>FDA</w:t>
      </w:r>
      <w:r>
        <w:rPr>
          <w:spacing w:val="-4"/>
        </w:rPr>
        <w:t> </w:t>
      </w:r>
      <w:r>
        <w:rPr/>
        <w:t>believes</w:t>
      </w:r>
      <w:r>
        <w:rPr>
          <w:spacing w:val="-3"/>
        </w:rPr>
        <w:t> </w:t>
      </w:r>
      <w:r>
        <w:rPr/>
        <w:t>that</w:t>
      </w:r>
      <w:r>
        <w:rPr>
          <w:spacing w:val="-3"/>
        </w:rPr>
        <w:t> </w:t>
      </w:r>
      <w:r>
        <w:rPr/>
        <w:t>100%</w:t>
      </w:r>
      <w:r>
        <w:rPr>
          <w:spacing w:val="-5"/>
        </w:rPr>
        <w:t> </w:t>
      </w:r>
      <w:r>
        <w:rPr/>
        <w:t>agreement</w:t>
      </w:r>
      <w:r>
        <w:rPr>
          <w:spacing w:val="-3"/>
        </w:rPr>
        <w:t> </w:t>
      </w:r>
      <w:r>
        <w:rPr/>
        <w:t>with</w:t>
      </w:r>
      <w:r>
        <w:rPr>
          <w:spacing w:val="-4"/>
        </w:rPr>
        <w:t> </w:t>
      </w:r>
      <w:r>
        <w:rPr/>
        <w:t>expected</w:t>
      </w:r>
      <w:r>
        <w:rPr>
          <w:spacing w:val="-4"/>
        </w:rPr>
        <w:t> </w:t>
      </w:r>
      <w:r>
        <w:rPr/>
        <w:t>result</w:t>
      </w:r>
      <w:r>
        <w:rPr>
          <w:spacing w:val="-4"/>
        </w:rPr>
        <w:t> </w:t>
      </w:r>
      <w:r>
        <w:rPr/>
        <w:t>would</w:t>
      </w:r>
      <w:r>
        <w:rPr>
          <w:spacing w:val="-4"/>
        </w:rPr>
        <w:t> </w:t>
      </w:r>
      <w:r>
        <w:rPr/>
        <w:t>establish</w:t>
      </w:r>
      <w:r>
        <w:rPr>
          <w:spacing w:val="-4"/>
        </w:rPr>
        <w:t> </w:t>
      </w:r>
      <w:r>
        <w:rPr/>
        <w:t>antibody class specificity.</w:t>
      </w:r>
    </w:p>
    <w:p>
      <w:pPr>
        <w:pStyle w:val="BodyText"/>
        <w:rPr>
          <w:b/>
        </w:rPr>
      </w:pPr>
    </w:p>
    <w:p>
      <w:pPr>
        <w:pStyle w:val="Heading5"/>
        <w:ind w:right="278"/>
      </w:pPr>
      <w:r>
        <w:rPr/>
        <w:t>If</w:t>
      </w:r>
      <w:r>
        <w:rPr>
          <w:spacing w:val="-3"/>
        </w:rPr>
        <w:t> </w:t>
      </w:r>
      <w:r>
        <w:rPr/>
        <w:t>a</w:t>
      </w:r>
      <w:r>
        <w:rPr>
          <w:spacing w:val="-3"/>
        </w:rPr>
        <w:t> </w:t>
      </w:r>
      <w:r>
        <w:rPr/>
        <w:t>DTT</w:t>
      </w:r>
      <w:r>
        <w:rPr>
          <w:spacing w:val="-4"/>
        </w:rPr>
        <w:t> </w:t>
      </w:r>
      <w:r>
        <w:rPr/>
        <w:t>Treatment</w:t>
      </w:r>
      <w:r>
        <w:rPr>
          <w:spacing w:val="-3"/>
        </w:rPr>
        <w:t> </w:t>
      </w:r>
      <w:r>
        <w:rPr/>
        <w:t>approach</w:t>
      </w:r>
      <w:r>
        <w:rPr>
          <w:spacing w:val="-4"/>
        </w:rPr>
        <w:t> </w:t>
      </w:r>
      <w:r>
        <w:rPr/>
        <w:t>is</w:t>
      </w:r>
      <w:r>
        <w:rPr>
          <w:spacing w:val="-3"/>
        </w:rPr>
        <w:t> </w:t>
      </w:r>
      <w:r>
        <w:rPr/>
        <w:t>followed,</w:t>
      </w:r>
      <w:r>
        <w:rPr>
          <w:spacing w:val="-3"/>
        </w:rPr>
        <w:t> </w:t>
      </w:r>
      <w:r>
        <w:rPr/>
        <w:t>below</w:t>
      </w:r>
      <w:r>
        <w:rPr>
          <w:spacing w:val="-5"/>
        </w:rPr>
        <w:t> </w:t>
      </w:r>
      <w:r>
        <w:rPr/>
        <w:t>is</w:t>
      </w:r>
      <w:r>
        <w:rPr>
          <w:spacing w:val="-3"/>
        </w:rPr>
        <w:t> </w:t>
      </w:r>
      <w:r>
        <w:rPr/>
        <w:t>an</w:t>
      </w:r>
      <w:r>
        <w:rPr>
          <w:spacing w:val="-4"/>
        </w:rPr>
        <w:t> </w:t>
      </w:r>
      <w:r>
        <w:rPr/>
        <w:t>example</w:t>
      </w:r>
      <w:r>
        <w:rPr>
          <w:spacing w:val="-3"/>
        </w:rPr>
        <w:t> </w:t>
      </w:r>
      <w:r>
        <w:rPr/>
        <w:t>table</w:t>
      </w:r>
      <w:r>
        <w:rPr>
          <w:spacing w:val="-4"/>
        </w:rPr>
        <w:t> </w:t>
      </w:r>
      <w:r>
        <w:rPr/>
        <w:t>for</w:t>
      </w:r>
      <w:r>
        <w:rPr>
          <w:spacing w:val="-3"/>
        </w:rPr>
        <w:t> </w:t>
      </w:r>
      <w:r>
        <w:rPr/>
        <w:t>IgM</w:t>
      </w:r>
      <w:r>
        <w:rPr>
          <w:spacing w:val="-3"/>
        </w:rPr>
        <w:t> </w:t>
      </w:r>
      <w:r>
        <w:rPr/>
        <w:t>and </w:t>
      </w:r>
      <w:r>
        <w:rPr>
          <w:spacing w:val="-4"/>
        </w:rPr>
        <w:t>IgG:</w:t>
      </w:r>
    </w:p>
    <w:p>
      <w:pPr>
        <w:spacing w:after="0"/>
        <w:sectPr>
          <w:pgSz w:w="12240" w:h="15840"/>
          <w:pgMar w:header="731" w:footer="785" w:top="1360" w:bottom="980" w:left="1280" w:right="1200"/>
        </w:sectPr>
      </w:pPr>
    </w:p>
    <w:p>
      <w:pPr>
        <w:pStyle w:val="BodyText"/>
        <w:spacing w:before="9"/>
        <w:rPr>
          <w:b/>
          <w:sz w:val="19"/>
        </w:rPr>
      </w:pPr>
    </w:p>
    <w:tbl>
      <w:tblPr>
        <w:tblW w:w="0" w:type="auto"/>
        <w:jc w:val="left"/>
        <w:tblInd w:w="89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978"/>
        <w:gridCol w:w="1270"/>
        <w:gridCol w:w="1343"/>
        <w:gridCol w:w="1416"/>
        <w:gridCol w:w="1673"/>
        <w:gridCol w:w="1241"/>
      </w:tblGrid>
      <w:tr>
        <w:trPr>
          <w:trHeight w:val="1104" w:hRule="atLeast"/>
        </w:trPr>
        <w:tc>
          <w:tcPr>
            <w:tcW w:w="978" w:type="dxa"/>
          </w:tcPr>
          <w:p>
            <w:pPr>
              <w:pStyle w:val="TableParagraph"/>
              <w:spacing w:before="1"/>
              <w:jc w:val="left"/>
              <w:rPr>
                <w:b/>
                <w:sz w:val="24"/>
              </w:rPr>
            </w:pPr>
          </w:p>
          <w:p>
            <w:pPr>
              <w:pStyle w:val="TableParagraph"/>
              <w:ind w:left="354" w:right="87" w:hanging="248"/>
              <w:jc w:val="left"/>
              <w:rPr>
                <w:b/>
                <w:sz w:val="24"/>
              </w:rPr>
            </w:pPr>
            <w:r>
              <w:rPr>
                <w:b/>
                <w:spacing w:val="-2"/>
                <w:sz w:val="24"/>
              </w:rPr>
              <w:t>Sample </w:t>
            </w:r>
            <w:r>
              <w:rPr>
                <w:b/>
                <w:spacing w:val="-6"/>
                <w:sz w:val="24"/>
              </w:rPr>
              <w:t>ID</w:t>
            </w:r>
          </w:p>
        </w:tc>
        <w:tc>
          <w:tcPr>
            <w:tcW w:w="1270" w:type="dxa"/>
          </w:tcPr>
          <w:p>
            <w:pPr>
              <w:pStyle w:val="TableParagraph"/>
              <w:spacing w:before="1"/>
              <w:jc w:val="left"/>
              <w:rPr>
                <w:b/>
                <w:sz w:val="36"/>
              </w:rPr>
            </w:pPr>
          </w:p>
          <w:p>
            <w:pPr>
              <w:pStyle w:val="TableParagraph"/>
              <w:ind w:left="96" w:right="79"/>
              <w:rPr>
                <w:b/>
                <w:sz w:val="24"/>
              </w:rPr>
            </w:pPr>
            <w:r>
              <w:rPr>
                <w:b/>
                <w:spacing w:val="-2"/>
                <w:sz w:val="24"/>
              </w:rPr>
              <w:t>Replicates</w:t>
            </w:r>
          </w:p>
        </w:tc>
        <w:tc>
          <w:tcPr>
            <w:tcW w:w="1343" w:type="dxa"/>
          </w:tcPr>
          <w:p>
            <w:pPr>
              <w:pStyle w:val="TableParagraph"/>
              <w:spacing w:before="1"/>
              <w:ind w:left="214" w:right="194"/>
              <w:rPr>
                <w:b/>
                <w:sz w:val="24"/>
              </w:rPr>
            </w:pPr>
            <w:r>
              <w:rPr>
                <w:b/>
                <w:spacing w:val="-2"/>
                <w:sz w:val="24"/>
              </w:rPr>
              <w:t>Result </w:t>
            </w:r>
            <w:r>
              <w:rPr>
                <w:b/>
                <w:sz w:val="24"/>
              </w:rPr>
              <w:t>NO</w:t>
            </w:r>
            <w:r>
              <w:rPr>
                <w:b/>
                <w:spacing w:val="-1"/>
                <w:sz w:val="24"/>
              </w:rPr>
              <w:t> </w:t>
            </w:r>
            <w:r>
              <w:rPr>
                <w:b/>
                <w:spacing w:val="-5"/>
                <w:sz w:val="24"/>
              </w:rPr>
              <w:t>DTT</w:t>
            </w:r>
          </w:p>
          <w:p>
            <w:pPr>
              <w:pStyle w:val="TableParagraph"/>
              <w:spacing w:line="270" w:lineRule="atLeast"/>
              <w:ind w:left="124" w:right="103"/>
              <w:rPr>
                <w:b/>
                <w:sz w:val="24"/>
              </w:rPr>
            </w:pPr>
            <w:r>
              <w:rPr>
                <w:b/>
                <w:spacing w:val="-2"/>
                <w:sz w:val="24"/>
              </w:rPr>
              <w:t>Treatment (IgM/IgG)</w:t>
            </w:r>
          </w:p>
        </w:tc>
        <w:tc>
          <w:tcPr>
            <w:tcW w:w="1416" w:type="dxa"/>
          </w:tcPr>
          <w:p>
            <w:pPr>
              <w:pStyle w:val="TableParagraph"/>
              <w:spacing w:before="1"/>
              <w:ind w:left="380" w:right="359"/>
              <w:rPr>
                <w:b/>
                <w:sz w:val="24"/>
              </w:rPr>
            </w:pPr>
            <w:r>
              <w:rPr>
                <w:b/>
                <w:spacing w:val="-2"/>
                <w:sz w:val="24"/>
              </w:rPr>
              <w:t>Result </w:t>
            </w:r>
            <w:r>
              <w:rPr>
                <w:b/>
                <w:spacing w:val="-4"/>
                <w:sz w:val="24"/>
              </w:rPr>
              <w:t>DTT</w:t>
            </w:r>
          </w:p>
          <w:p>
            <w:pPr>
              <w:pStyle w:val="TableParagraph"/>
              <w:spacing w:line="270" w:lineRule="atLeast"/>
              <w:ind w:left="159" w:right="140"/>
              <w:rPr>
                <w:b/>
                <w:sz w:val="24"/>
              </w:rPr>
            </w:pPr>
            <w:r>
              <w:rPr>
                <w:b/>
                <w:spacing w:val="-2"/>
                <w:sz w:val="24"/>
              </w:rPr>
              <w:t>Treatment (IgM/IgG)</w:t>
            </w:r>
          </w:p>
        </w:tc>
        <w:tc>
          <w:tcPr>
            <w:tcW w:w="1673" w:type="dxa"/>
          </w:tcPr>
          <w:p>
            <w:pPr>
              <w:pStyle w:val="TableParagraph"/>
              <w:spacing w:line="270" w:lineRule="atLeast"/>
              <w:ind w:left="27" w:right="30"/>
              <w:rPr>
                <w:b/>
                <w:sz w:val="24"/>
              </w:rPr>
            </w:pPr>
            <w:r>
              <w:rPr>
                <w:b/>
                <w:sz w:val="24"/>
              </w:rPr>
              <w:t>Expected</w:t>
            </w:r>
            <w:r>
              <w:rPr>
                <w:b/>
                <w:spacing w:val="-15"/>
                <w:sz w:val="24"/>
              </w:rPr>
              <w:t> </w:t>
            </w:r>
            <w:r>
              <w:rPr>
                <w:b/>
                <w:sz w:val="24"/>
              </w:rPr>
              <w:t>result with DTT </w:t>
            </w:r>
            <w:r>
              <w:rPr>
                <w:b/>
                <w:spacing w:val="-2"/>
                <w:sz w:val="24"/>
              </w:rPr>
              <w:t>treatment (IgM/IgG)</w:t>
            </w:r>
          </w:p>
        </w:tc>
        <w:tc>
          <w:tcPr>
            <w:tcW w:w="1241" w:type="dxa"/>
          </w:tcPr>
          <w:p>
            <w:pPr>
              <w:pStyle w:val="TableParagraph"/>
              <w:spacing w:before="1"/>
              <w:jc w:val="left"/>
              <w:rPr>
                <w:b/>
                <w:sz w:val="24"/>
              </w:rPr>
            </w:pPr>
          </w:p>
          <w:p>
            <w:pPr>
              <w:pStyle w:val="TableParagraph"/>
              <w:ind w:left="43" w:firstLine="238"/>
              <w:jc w:val="left"/>
              <w:rPr>
                <w:b/>
                <w:sz w:val="24"/>
              </w:rPr>
            </w:pPr>
            <w:r>
              <w:rPr>
                <w:b/>
                <w:spacing w:val="-2"/>
                <w:sz w:val="24"/>
              </w:rPr>
              <w:t>Result Agreement</w:t>
            </w:r>
          </w:p>
        </w:tc>
      </w:tr>
      <w:tr>
        <w:trPr>
          <w:trHeight w:val="274" w:hRule="atLeast"/>
        </w:trPr>
        <w:tc>
          <w:tcPr>
            <w:tcW w:w="978" w:type="dxa"/>
          </w:tcPr>
          <w:p>
            <w:pPr>
              <w:pStyle w:val="TableParagraph"/>
              <w:spacing w:line="255" w:lineRule="exact"/>
              <w:ind w:left="18"/>
              <w:rPr>
                <w:b/>
                <w:sz w:val="24"/>
              </w:rPr>
            </w:pPr>
            <w:r>
              <w:rPr>
                <w:b/>
                <w:sz w:val="24"/>
              </w:rPr>
              <w:t>1</w:t>
            </w:r>
          </w:p>
        </w:tc>
        <w:tc>
          <w:tcPr>
            <w:tcW w:w="1270" w:type="dxa"/>
          </w:tcPr>
          <w:p>
            <w:pPr>
              <w:pStyle w:val="TableParagraph"/>
              <w:spacing w:line="255" w:lineRule="exact"/>
              <w:ind w:left="16"/>
              <w:rPr>
                <w:b/>
                <w:sz w:val="24"/>
              </w:rPr>
            </w:pPr>
            <w:r>
              <w:rPr>
                <w:b/>
                <w:sz w:val="24"/>
              </w:rPr>
              <w:t>1</w:t>
            </w:r>
          </w:p>
        </w:tc>
        <w:tc>
          <w:tcPr>
            <w:tcW w:w="1343" w:type="dxa"/>
          </w:tcPr>
          <w:p>
            <w:pPr>
              <w:pStyle w:val="TableParagraph"/>
              <w:spacing w:line="255" w:lineRule="exact"/>
              <w:ind w:left="213" w:right="194"/>
              <w:rPr>
                <w:b/>
                <w:sz w:val="24"/>
              </w:rPr>
            </w:pPr>
            <w:r>
              <w:rPr>
                <w:b/>
                <w:spacing w:val="-5"/>
                <w:sz w:val="24"/>
              </w:rPr>
              <w:t>+/+</w:t>
            </w:r>
          </w:p>
        </w:tc>
        <w:tc>
          <w:tcPr>
            <w:tcW w:w="1416" w:type="dxa"/>
          </w:tcPr>
          <w:p>
            <w:pPr>
              <w:pStyle w:val="TableParagraph"/>
              <w:spacing w:line="255" w:lineRule="exact"/>
              <w:ind w:left="378" w:right="359"/>
              <w:rPr>
                <w:b/>
                <w:sz w:val="24"/>
              </w:rPr>
            </w:pPr>
            <w:r>
              <w:rPr>
                <w:b/>
                <w:sz w:val="24"/>
              </w:rPr>
              <w:t>-</w:t>
            </w:r>
            <w:r>
              <w:rPr>
                <w:b/>
                <w:spacing w:val="-5"/>
                <w:sz w:val="24"/>
              </w:rPr>
              <w:t>/+</w:t>
            </w:r>
          </w:p>
        </w:tc>
        <w:tc>
          <w:tcPr>
            <w:tcW w:w="1673" w:type="dxa"/>
          </w:tcPr>
          <w:p>
            <w:pPr>
              <w:pStyle w:val="TableParagraph"/>
              <w:spacing w:line="255" w:lineRule="exact"/>
              <w:ind w:left="27" w:right="27"/>
              <w:rPr>
                <w:b/>
                <w:sz w:val="24"/>
              </w:rPr>
            </w:pPr>
            <w:r>
              <w:rPr>
                <w:b/>
                <w:sz w:val="24"/>
              </w:rPr>
              <w:t>-</w:t>
            </w:r>
            <w:r>
              <w:rPr>
                <w:b/>
                <w:spacing w:val="-5"/>
                <w:sz w:val="24"/>
              </w:rPr>
              <w:t>/+</w:t>
            </w:r>
          </w:p>
        </w:tc>
        <w:tc>
          <w:tcPr>
            <w:tcW w:w="1241" w:type="dxa"/>
          </w:tcPr>
          <w:p>
            <w:pPr>
              <w:pStyle w:val="TableParagraph"/>
              <w:spacing w:line="255" w:lineRule="exact"/>
              <w:ind w:left="437" w:right="438"/>
              <w:rPr>
                <w:b/>
                <w:sz w:val="24"/>
              </w:rPr>
            </w:pPr>
            <w:r>
              <w:rPr>
                <w:b/>
                <w:spacing w:val="-5"/>
                <w:sz w:val="24"/>
              </w:rPr>
              <w:t>yes</w:t>
            </w:r>
          </w:p>
        </w:tc>
      </w:tr>
      <w:tr>
        <w:trPr>
          <w:trHeight w:val="276" w:hRule="atLeast"/>
        </w:trPr>
        <w:tc>
          <w:tcPr>
            <w:tcW w:w="978" w:type="dxa"/>
          </w:tcPr>
          <w:p>
            <w:pPr>
              <w:pStyle w:val="TableParagraph"/>
              <w:jc w:val="left"/>
              <w:rPr>
                <w:sz w:val="20"/>
              </w:rPr>
            </w:pPr>
          </w:p>
        </w:tc>
        <w:tc>
          <w:tcPr>
            <w:tcW w:w="1270" w:type="dxa"/>
          </w:tcPr>
          <w:p>
            <w:pPr>
              <w:pStyle w:val="TableParagraph"/>
              <w:spacing w:line="255" w:lineRule="exact" w:before="1"/>
              <w:ind w:left="16"/>
              <w:rPr>
                <w:b/>
                <w:sz w:val="24"/>
              </w:rPr>
            </w:pPr>
            <w:r>
              <w:rPr>
                <w:b/>
                <w:sz w:val="24"/>
              </w:rPr>
              <w:t>2</w:t>
            </w:r>
          </w:p>
        </w:tc>
        <w:tc>
          <w:tcPr>
            <w:tcW w:w="1343" w:type="dxa"/>
          </w:tcPr>
          <w:p>
            <w:pPr>
              <w:pStyle w:val="TableParagraph"/>
              <w:spacing w:line="255" w:lineRule="exact" w:before="1"/>
              <w:ind w:left="213" w:right="194"/>
              <w:rPr>
                <w:b/>
                <w:sz w:val="24"/>
              </w:rPr>
            </w:pPr>
            <w:r>
              <w:rPr>
                <w:b/>
                <w:spacing w:val="-5"/>
                <w:sz w:val="24"/>
              </w:rPr>
              <w:t>+/+</w:t>
            </w:r>
          </w:p>
        </w:tc>
        <w:tc>
          <w:tcPr>
            <w:tcW w:w="1416" w:type="dxa"/>
          </w:tcPr>
          <w:p>
            <w:pPr>
              <w:pStyle w:val="TableParagraph"/>
              <w:spacing w:line="255" w:lineRule="exact" w:before="1"/>
              <w:ind w:left="378" w:right="359"/>
              <w:rPr>
                <w:b/>
                <w:sz w:val="24"/>
              </w:rPr>
            </w:pPr>
            <w:r>
              <w:rPr>
                <w:b/>
                <w:sz w:val="24"/>
              </w:rPr>
              <w:t>-</w:t>
            </w:r>
            <w:r>
              <w:rPr>
                <w:b/>
                <w:spacing w:val="-5"/>
                <w:sz w:val="24"/>
              </w:rPr>
              <w:t>/+</w:t>
            </w:r>
          </w:p>
        </w:tc>
        <w:tc>
          <w:tcPr>
            <w:tcW w:w="1673" w:type="dxa"/>
          </w:tcPr>
          <w:p>
            <w:pPr>
              <w:pStyle w:val="TableParagraph"/>
              <w:spacing w:line="255" w:lineRule="exact" w:before="1"/>
              <w:ind w:left="27" w:right="27"/>
              <w:rPr>
                <w:b/>
                <w:sz w:val="24"/>
              </w:rPr>
            </w:pPr>
            <w:r>
              <w:rPr>
                <w:b/>
                <w:sz w:val="24"/>
              </w:rPr>
              <w:t>-</w:t>
            </w:r>
            <w:r>
              <w:rPr>
                <w:b/>
                <w:spacing w:val="-5"/>
                <w:sz w:val="24"/>
              </w:rPr>
              <w:t>/+</w:t>
            </w:r>
          </w:p>
        </w:tc>
        <w:tc>
          <w:tcPr>
            <w:tcW w:w="1241" w:type="dxa"/>
          </w:tcPr>
          <w:p>
            <w:pPr>
              <w:pStyle w:val="TableParagraph"/>
              <w:spacing w:line="255" w:lineRule="exact" w:before="1"/>
              <w:ind w:left="437" w:right="438"/>
              <w:rPr>
                <w:b/>
                <w:sz w:val="24"/>
              </w:rPr>
            </w:pPr>
            <w:r>
              <w:rPr>
                <w:b/>
                <w:spacing w:val="-5"/>
                <w:sz w:val="24"/>
              </w:rPr>
              <w:t>yes</w:t>
            </w:r>
          </w:p>
        </w:tc>
      </w:tr>
      <w:tr>
        <w:trPr>
          <w:trHeight w:val="276" w:hRule="atLeast"/>
        </w:trPr>
        <w:tc>
          <w:tcPr>
            <w:tcW w:w="978" w:type="dxa"/>
          </w:tcPr>
          <w:p>
            <w:pPr>
              <w:pStyle w:val="TableParagraph"/>
              <w:spacing w:line="255" w:lineRule="exact" w:before="1"/>
              <w:ind w:left="18"/>
              <w:rPr>
                <w:b/>
                <w:sz w:val="24"/>
              </w:rPr>
            </w:pPr>
            <w:r>
              <w:rPr>
                <w:b/>
                <w:sz w:val="24"/>
              </w:rPr>
              <w:t>2</w:t>
            </w:r>
          </w:p>
        </w:tc>
        <w:tc>
          <w:tcPr>
            <w:tcW w:w="1270" w:type="dxa"/>
          </w:tcPr>
          <w:p>
            <w:pPr>
              <w:pStyle w:val="TableParagraph"/>
              <w:spacing w:line="255" w:lineRule="exact" w:before="1"/>
              <w:ind w:left="16"/>
              <w:rPr>
                <w:b/>
                <w:sz w:val="24"/>
              </w:rPr>
            </w:pPr>
            <w:r>
              <w:rPr>
                <w:b/>
                <w:sz w:val="24"/>
              </w:rPr>
              <w:t>1</w:t>
            </w:r>
          </w:p>
        </w:tc>
        <w:tc>
          <w:tcPr>
            <w:tcW w:w="1343" w:type="dxa"/>
          </w:tcPr>
          <w:p>
            <w:pPr>
              <w:pStyle w:val="TableParagraph"/>
              <w:spacing w:line="255" w:lineRule="exact" w:before="1"/>
              <w:ind w:left="213" w:right="194"/>
              <w:rPr>
                <w:b/>
                <w:sz w:val="24"/>
              </w:rPr>
            </w:pPr>
            <w:r>
              <w:rPr>
                <w:b/>
                <w:spacing w:val="-5"/>
                <w:sz w:val="24"/>
              </w:rPr>
              <w:t>+/+</w:t>
            </w:r>
          </w:p>
        </w:tc>
        <w:tc>
          <w:tcPr>
            <w:tcW w:w="1416" w:type="dxa"/>
          </w:tcPr>
          <w:p>
            <w:pPr>
              <w:pStyle w:val="TableParagraph"/>
              <w:spacing w:line="255" w:lineRule="exact" w:before="1"/>
              <w:ind w:left="378" w:right="359"/>
              <w:rPr>
                <w:b/>
                <w:sz w:val="24"/>
              </w:rPr>
            </w:pPr>
            <w:r>
              <w:rPr>
                <w:b/>
                <w:sz w:val="24"/>
              </w:rPr>
              <w:t>-</w:t>
            </w:r>
            <w:r>
              <w:rPr>
                <w:b/>
                <w:spacing w:val="-5"/>
                <w:sz w:val="24"/>
              </w:rPr>
              <w:t>/+</w:t>
            </w:r>
          </w:p>
        </w:tc>
        <w:tc>
          <w:tcPr>
            <w:tcW w:w="1673" w:type="dxa"/>
          </w:tcPr>
          <w:p>
            <w:pPr>
              <w:pStyle w:val="TableParagraph"/>
              <w:spacing w:line="255" w:lineRule="exact" w:before="1"/>
              <w:ind w:left="27" w:right="27"/>
              <w:rPr>
                <w:b/>
                <w:sz w:val="24"/>
              </w:rPr>
            </w:pPr>
            <w:r>
              <w:rPr>
                <w:b/>
                <w:sz w:val="24"/>
              </w:rPr>
              <w:t>-</w:t>
            </w:r>
            <w:r>
              <w:rPr>
                <w:b/>
                <w:spacing w:val="-5"/>
                <w:sz w:val="24"/>
              </w:rPr>
              <w:t>/+</w:t>
            </w:r>
          </w:p>
        </w:tc>
        <w:tc>
          <w:tcPr>
            <w:tcW w:w="1241" w:type="dxa"/>
          </w:tcPr>
          <w:p>
            <w:pPr>
              <w:pStyle w:val="TableParagraph"/>
              <w:spacing w:line="255" w:lineRule="exact" w:before="1"/>
              <w:ind w:left="437" w:right="438"/>
              <w:rPr>
                <w:b/>
                <w:sz w:val="24"/>
              </w:rPr>
            </w:pPr>
            <w:r>
              <w:rPr>
                <w:b/>
                <w:spacing w:val="-5"/>
                <w:sz w:val="24"/>
              </w:rPr>
              <w:t>yes</w:t>
            </w:r>
          </w:p>
        </w:tc>
      </w:tr>
      <w:tr>
        <w:trPr>
          <w:trHeight w:val="275" w:hRule="atLeast"/>
        </w:trPr>
        <w:tc>
          <w:tcPr>
            <w:tcW w:w="978" w:type="dxa"/>
          </w:tcPr>
          <w:p>
            <w:pPr>
              <w:pStyle w:val="TableParagraph"/>
              <w:jc w:val="left"/>
              <w:rPr>
                <w:sz w:val="20"/>
              </w:rPr>
            </w:pPr>
          </w:p>
        </w:tc>
        <w:tc>
          <w:tcPr>
            <w:tcW w:w="1270" w:type="dxa"/>
          </w:tcPr>
          <w:p>
            <w:pPr>
              <w:pStyle w:val="TableParagraph"/>
              <w:spacing w:line="255" w:lineRule="exact"/>
              <w:ind w:left="16"/>
              <w:rPr>
                <w:b/>
                <w:sz w:val="24"/>
              </w:rPr>
            </w:pPr>
            <w:r>
              <w:rPr>
                <w:b/>
                <w:sz w:val="24"/>
              </w:rPr>
              <w:t>2</w:t>
            </w:r>
          </w:p>
        </w:tc>
        <w:tc>
          <w:tcPr>
            <w:tcW w:w="1343" w:type="dxa"/>
          </w:tcPr>
          <w:p>
            <w:pPr>
              <w:pStyle w:val="TableParagraph"/>
              <w:spacing w:line="255" w:lineRule="exact"/>
              <w:ind w:left="213" w:right="194"/>
              <w:rPr>
                <w:b/>
                <w:sz w:val="24"/>
              </w:rPr>
            </w:pPr>
            <w:r>
              <w:rPr>
                <w:b/>
                <w:spacing w:val="-5"/>
                <w:sz w:val="24"/>
              </w:rPr>
              <w:t>+/+</w:t>
            </w:r>
          </w:p>
        </w:tc>
        <w:tc>
          <w:tcPr>
            <w:tcW w:w="1416" w:type="dxa"/>
          </w:tcPr>
          <w:p>
            <w:pPr>
              <w:pStyle w:val="TableParagraph"/>
              <w:spacing w:line="255" w:lineRule="exact"/>
              <w:ind w:left="378" w:right="359"/>
              <w:rPr>
                <w:b/>
                <w:sz w:val="24"/>
              </w:rPr>
            </w:pPr>
            <w:r>
              <w:rPr>
                <w:b/>
                <w:sz w:val="24"/>
              </w:rPr>
              <w:t>-</w:t>
            </w:r>
            <w:r>
              <w:rPr>
                <w:b/>
                <w:spacing w:val="-5"/>
                <w:sz w:val="24"/>
              </w:rPr>
              <w:t>/+</w:t>
            </w:r>
          </w:p>
        </w:tc>
        <w:tc>
          <w:tcPr>
            <w:tcW w:w="1673" w:type="dxa"/>
          </w:tcPr>
          <w:p>
            <w:pPr>
              <w:pStyle w:val="TableParagraph"/>
              <w:spacing w:line="255" w:lineRule="exact"/>
              <w:ind w:left="27" w:right="27"/>
              <w:rPr>
                <w:b/>
                <w:sz w:val="24"/>
              </w:rPr>
            </w:pPr>
            <w:r>
              <w:rPr>
                <w:b/>
                <w:sz w:val="24"/>
              </w:rPr>
              <w:t>-</w:t>
            </w:r>
            <w:r>
              <w:rPr>
                <w:b/>
                <w:spacing w:val="-5"/>
                <w:sz w:val="24"/>
              </w:rPr>
              <w:t>/+</w:t>
            </w:r>
          </w:p>
        </w:tc>
        <w:tc>
          <w:tcPr>
            <w:tcW w:w="1241" w:type="dxa"/>
          </w:tcPr>
          <w:p>
            <w:pPr>
              <w:pStyle w:val="TableParagraph"/>
              <w:spacing w:line="255" w:lineRule="exact"/>
              <w:ind w:left="437" w:right="438"/>
              <w:rPr>
                <w:b/>
                <w:sz w:val="24"/>
              </w:rPr>
            </w:pPr>
            <w:r>
              <w:rPr>
                <w:b/>
                <w:spacing w:val="-5"/>
                <w:sz w:val="24"/>
              </w:rPr>
              <w:t>yes</w:t>
            </w:r>
          </w:p>
        </w:tc>
      </w:tr>
      <w:tr>
        <w:trPr>
          <w:trHeight w:val="276" w:hRule="atLeast"/>
        </w:trPr>
        <w:tc>
          <w:tcPr>
            <w:tcW w:w="978" w:type="dxa"/>
          </w:tcPr>
          <w:p>
            <w:pPr>
              <w:pStyle w:val="TableParagraph"/>
              <w:spacing w:line="255" w:lineRule="exact" w:before="1"/>
              <w:ind w:left="18"/>
              <w:rPr>
                <w:b/>
                <w:sz w:val="24"/>
              </w:rPr>
            </w:pPr>
            <w:r>
              <w:rPr>
                <w:b/>
                <w:sz w:val="24"/>
              </w:rPr>
              <w:t>3</w:t>
            </w:r>
          </w:p>
        </w:tc>
        <w:tc>
          <w:tcPr>
            <w:tcW w:w="1270" w:type="dxa"/>
          </w:tcPr>
          <w:p>
            <w:pPr>
              <w:pStyle w:val="TableParagraph"/>
              <w:spacing w:line="255" w:lineRule="exact" w:before="1"/>
              <w:ind w:left="16"/>
              <w:rPr>
                <w:b/>
                <w:sz w:val="24"/>
              </w:rPr>
            </w:pPr>
            <w:r>
              <w:rPr>
                <w:b/>
                <w:sz w:val="24"/>
              </w:rPr>
              <w:t>1</w:t>
            </w:r>
          </w:p>
        </w:tc>
        <w:tc>
          <w:tcPr>
            <w:tcW w:w="1343" w:type="dxa"/>
          </w:tcPr>
          <w:p>
            <w:pPr>
              <w:pStyle w:val="TableParagraph"/>
              <w:spacing w:line="255" w:lineRule="exact" w:before="1"/>
              <w:ind w:left="213" w:right="194"/>
              <w:rPr>
                <w:b/>
                <w:sz w:val="24"/>
              </w:rPr>
            </w:pPr>
            <w:r>
              <w:rPr>
                <w:b/>
                <w:spacing w:val="-5"/>
                <w:sz w:val="24"/>
              </w:rPr>
              <w:t>+/+</w:t>
            </w:r>
          </w:p>
        </w:tc>
        <w:tc>
          <w:tcPr>
            <w:tcW w:w="1416" w:type="dxa"/>
          </w:tcPr>
          <w:p>
            <w:pPr>
              <w:pStyle w:val="TableParagraph"/>
              <w:spacing w:line="255" w:lineRule="exact" w:before="1"/>
              <w:ind w:left="378" w:right="359"/>
              <w:rPr>
                <w:b/>
                <w:sz w:val="24"/>
              </w:rPr>
            </w:pPr>
            <w:r>
              <w:rPr>
                <w:b/>
                <w:sz w:val="24"/>
              </w:rPr>
              <w:t>-</w:t>
            </w:r>
            <w:r>
              <w:rPr>
                <w:b/>
                <w:spacing w:val="-5"/>
                <w:sz w:val="24"/>
              </w:rPr>
              <w:t>/+</w:t>
            </w:r>
          </w:p>
        </w:tc>
        <w:tc>
          <w:tcPr>
            <w:tcW w:w="1673" w:type="dxa"/>
          </w:tcPr>
          <w:p>
            <w:pPr>
              <w:pStyle w:val="TableParagraph"/>
              <w:spacing w:line="255" w:lineRule="exact" w:before="1"/>
              <w:ind w:left="27" w:right="27"/>
              <w:rPr>
                <w:b/>
                <w:sz w:val="24"/>
              </w:rPr>
            </w:pPr>
            <w:r>
              <w:rPr>
                <w:b/>
                <w:sz w:val="24"/>
              </w:rPr>
              <w:t>-</w:t>
            </w:r>
            <w:r>
              <w:rPr>
                <w:b/>
                <w:spacing w:val="-5"/>
                <w:sz w:val="24"/>
              </w:rPr>
              <w:t>/+</w:t>
            </w:r>
          </w:p>
        </w:tc>
        <w:tc>
          <w:tcPr>
            <w:tcW w:w="1241" w:type="dxa"/>
          </w:tcPr>
          <w:p>
            <w:pPr>
              <w:pStyle w:val="TableParagraph"/>
              <w:spacing w:line="255" w:lineRule="exact" w:before="1"/>
              <w:ind w:left="437" w:right="438"/>
              <w:rPr>
                <w:b/>
                <w:sz w:val="24"/>
              </w:rPr>
            </w:pPr>
            <w:r>
              <w:rPr>
                <w:b/>
                <w:spacing w:val="-5"/>
                <w:sz w:val="24"/>
              </w:rPr>
              <w:t>yes</w:t>
            </w:r>
          </w:p>
        </w:tc>
      </w:tr>
      <w:tr>
        <w:trPr>
          <w:trHeight w:val="276" w:hRule="atLeast"/>
        </w:trPr>
        <w:tc>
          <w:tcPr>
            <w:tcW w:w="978" w:type="dxa"/>
          </w:tcPr>
          <w:p>
            <w:pPr>
              <w:pStyle w:val="TableParagraph"/>
              <w:jc w:val="left"/>
              <w:rPr>
                <w:sz w:val="20"/>
              </w:rPr>
            </w:pPr>
          </w:p>
        </w:tc>
        <w:tc>
          <w:tcPr>
            <w:tcW w:w="1270" w:type="dxa"/>
          </w:tcPr>
          <w:p>
            <w:pPr>
              <w:pStyle w:val="TableParagraph"/>
              <w:spacing w:line="255" w:lineRule="exact" w:before="1"/>
              <w:ind w:left="16"/>
              <w:rPr>
                <w:b/>
                <w:sz w:val="24"/>
              </w:rPr>
            </w:pPr>
            <w:r>
              <w:rPr>
                <w:b/>
                <w:sz w:val="24"/>
              </w:rPr>
              <w:t>2</w:t>
            </w:r>
          </w:p>
        </w:tc>
        <w:tc>
          <w:tcPr>
            <w:tcW w:w="1343" w:type="dxa"/>
          </w:tcPr>
          <w:p>
            <w:pPr>
              <w:pStyle w:val="TableParagraph"/>
              <w:spacing w:line="255" w:lineRule="exact" w:before="1"/>
              <w:ind w:left="213" w:right="194"/>
              <w:rPr>
                <w:b/>
                <w:sz w:val="24"/>
              </w:rPr>
            </w:pPr>
            <w:r>
              <w:rPr>
                <w:b/>
                <w:spacing w:val="-5"/>
                <w:sz w:val="24"/>
              </w:rPr>
              <w:t>+/+</w:t>
            </w:r>
          </w:p>
        </w:tc>
        <w:tc>
          <w:tcPr>
            <w:tcW w:w="1416" w:type="dxa"/>
          </w:tcPr>
          <w:p>
            <w:pPr>
              <w:pStyle w:val="TableParagraph"/>
              <w:spacing w:line="255" w:lineRule="exact" w:before="1"/>
              <w:ind w:left="378" w:right="359"/>
              <w:rPr>
                <w:b/>
                <w:sz w:val="24"/>
              </w:rPr>
            </w:pPr>
            <w:r>
              <w:rPr>
                <w:b/>
                <w:sz w:val="24"/>
              </w:rPr>
              <w:t>-</w:t>
            </w:r>
            <w:r>
              <w:rPr>
                <w:b/>
                <w:spacing w:val="-5"/>
                <w:sz w:val="24"/>
              </w:rPr>
              <w:t>/+</w:t>
            </w:r>
          </w:p>
        </w:tc>
        <w:tc>
          <w:tcPr>
            <w:tcW w:w="1673" w:type="dxa"/>
          </w:tcPr>
          <w:p>
            <w:pPr>
              <w:pStyle w:val="TableParagraph"/>
              <w:spacing w:line="255" w:lineRule="exact" w:before="1"/>
              <w:ind w:left="27" w:right="27"/>
              <w:rPr>
                <w:b/>
                <w:sz w:val="24"/>
              </w:rPr>
            </w:pPr>
            <w:r>
              <w:rPr>
                <w:b/>
                <w:sz w:val="24"/>
              </w:rPr>
              <w:t>-</w:t>
            </w:r>
            <w:r>
              <w:rPr>
                <w:b/>
                <w:spacing w:val="-5"/>
                <w:sz w:val="24"/>
              </w:rPr>
              <w:t>/+</w:t>
            </w:r>
          </w:p>
        </w:tc>
        <w:tc>
          <w:tcPr>
            <w:tcW w:w="1241" w:type="dxa"/>
          </w:tcPr>
          <w:p>
            <w:pPr>
              <w:pStyle w:val="TableParagraph"/>
              <w:spacing w:line="255" w:lineRule="exact" w:before="1"/>
              <w:ind w:left="437" w:right="438"/>
              <w:rPr>
                <w:b/>
                <w:sz w:val="24"/>
              </w:rPr>
            </w:pPr>
            <w:r>
              <w:rPr>
                <w:b/>
                <w:spacing w:val="-5"/>
                <w:sz w:val="24"/>
              </w:rPr>
              <w:t>yes</w:t>
            </w:r>
          </w:p>
        </w:tc>
      </w:tr>
      <w:tr>
        <w:trPr>
          <w:trHeight w:val="275" w:hRule="atLeast"/>
        </w:trPr>
        <w:tc>
          <w:tcPr>
            <w:tcW w:w="978" w:type="dxa"/>
          </w:tcPr>
          <w:p>
            <w:pPr>
              <w:pStyle w:val="TableParagraph"/>
              <w:spacing w:line="255" w:lineRule="exact"/>
              <w:ind w:left="18"/>
              <w:rPr>
                <w:b/>
                <w:sz w:val="24"/>
              </w:rPr>
            </w:pPr>
            <w:r>
              <w:rPr>
                <w:b/>
                <w:sz w:val="24"/>
              </w:rPr>
              <w:t>4</w:t>
            </w:r>
          </w:p>
        </w:tc>
        <w:tc>
          <w:tcPr>
            <w:tcW w:w="1270" w:type="dxa"/>
          </w:tcPr>
          <w:p>
            <w:pPr>
              <w:pStyle w:val="TableParagraph"/>
              <w:spacing w:line="255" w:lineRule="exact"/>
              <w:ind w:left="16"/>
              <w:rPr>
                <w:b/>
                <w:sz w:val="24"/>
              </w:rPr>
            </w:pPr>
            <w:r>
              <w:rPr>
                <w:b/>
                <w:sz w:val="24"/>
              </w:rPr>
              <w:t>1</w:t>
            </w:r>
          </w:p>
        </w:tc>
        <w:tc>
          <w:tcPr>
            <w:tcW w:w="1343" w:type="dxa"/>
          </w:tcPr>
          <w:p>
            <w:pPr>
              <w:pStyle w:val="TableParagraph"/>
              <w:spacing w:line="255" w:lineRule="exact"/>
              <w:ind w:left="213" w:right="194"/>
              <w:rPr>
                <w:b/>
                <w:sz w:val="24"/>
              </w:rPr>
            </w:pPr>
            <w:r>
              <w:rPr>
                <w:b/>
                <w:spacing w:val="-5"/>
                <w:sz w:val="24"/>
              </w:rPr>
              <w:t>+/+</w:t>
            </w:r>
          </w:p>
        </w:tc>
        <w:tc>
          <w:tcPr>
            <w:tcW w:w="1416" w:type="dxa"/>
          </w:tcPr>
          <w:p>
            <w:pPr>
              <w:pStyle w:val="TableParagraph"/>
              <w:spacing w:line="255" w:lineRule="exact"/>
              <w:ind w:left="378" w:right="359"/>
              <w:rPr>
                <w:b/>
                <w:sz w:val="24"/>
              </w:rPr>
            </w:pPr>
            <w:r>
              <w:rPr>
                <w:b/>
                <w:sz w:val="24"/>
              </w:rPr>
              <w:t>-</w:t>
            </w:r>
            <w:r>
              <w:rPr>
                <w:b/>
                <w:spacing w:val="-5"/>
                <w:sz w:val="24"/>
              </w:rPr>
              <w:t>/+</w:t>
            </w:r>
          </w:p>
        </w:tc>
        <w:tc>
          <w:tcPr>
            <w:tcW w:w="1673" w:type="dxa"/>
          </w:tcPr>
          <w:p>
            <w:pPr>
              <w:pStyle w:val="TableParagraph"/>
              <w:spacing w:line="255" w:lineRule="exact"/>
              <w:ind w:left="27" w:right="27"/>
              <w:rPr>
                <w:b/>
                <w:sz w:val="24"/>
              </w:rPr>
            </w:pPr>
            <w:r>
              <w:rPr>
                <w:b/>
                <w:sz w:val="24"/>
              </w:rPr>
              <w:t>-</w:t>
            </w:r>
            <w:r>
              <w:rPr>
                <w:b/>
                <w:spacing w:val="-5"/>
                <w:sz w:val="24"/>
              </w:rPr>
              <w:t>/+</w:t>
            </w:r>
          </w:p>
        </w:tc>
        <w:tc>
          <w:tcPr>
            <w:tcW w:w="1241" w:type="dxa"/>
          </w:tcPr>
          <w:p>
            <w:pPr>
              <w:pStyle w:val="TableParagraph"/>
              <w:spacing w:line="255" w:lineRule="exact"/>
              <w:ind w:left="437" w:right="438"/>
              <w:rPr>
                <w:b/>
                <w:sz w:val="24"/>
              </w:rPr>
            </w:pPr>
            <w:r>
              <w:rPr>
                <w:b/>
                <w:spacing w:val="-5"/>
                <w:sz w:val="24"/>
              </w:rPr>
              <w:t>yes</w:t>
            </w:r>
          </w:p>
        </w:tc>
      </w:tr>
      <w:tr>
        <w:trPr>
          <w:trHeight w:val="276" w:hRule="atLeast"/>
        </w:trPr>
        <w:tc>
          <w:tcPr>
            <w:tcW w:w="978" w:type="dxa"/>
          </w:tcPr>
          <w:p>
            <w:pPr>
              <w:pStyle w:val="TableParagraph"/>
              <w:jc w:val="left"/>
              <w:rPr>
                <w:sz w:val="20"/>
              </w:rPr>
            </w:pPr>
          </w:p>
        </w:tc>
        <w:tc>
          <w:tcPr>
            <w:tcW w:w="1270" w:type="dxa"/>
          </w:tcPr>
          <w:p>
            <w:pPr>
              <w:pStyle w:val="TableParagraph"/>
              <w:spacing w:line="255" w:lineRule="exact" w:before="1"/>
              <w:ind w:left="16"/>
              <w:rPr>
                <w:b/>
                <w:sz w:val="24"/>
              </w:rPr>
            </w:pPr>
            <w:r>
              <w:rPr>
                <w:b/>
                <w:sz w:val="24"/>
              </w:rPr>
              <w:t>2</w:t>
            </w:r>
          </w:p>
        </w:tc>
        <w:tc>
          <w:tcPr>
            <w:tcW w:w="1343" w:type="dxa"/>
          </w:tcPr>
          <w:p>
            <w:pPr>
              <w:pStyle w:val="TableParagraph"/>
              <w:spacing w:line="255" w:lineRule="exact" w:before="1"/>
              <w:ind w:left="213" w:right="194"/>
              <w:rPr>
                <w:b/>
                <w:sz w:val="24"/>
              </w:rPr>
            </w:pPr>
            <w:r>
              <w:rPr>
                <w:b/>
                <w:spacing w:val="-5"/>
                <w:sz w:val="24"/>
              </w:rPr>
              <w:t>+/+</w:t>
            </w:r>
          </w:p>
        </w:tc>
        <w:tc>
          <w:tcPr>
            <w:tcW w:w="1416" w:type="dxa"/>
          </w:tcPr>
          <w:p>
            <w:pPr>
              <w:pStyle w:val="TableParagraph"/>
              <w:spacing w:line="255" w:lineRule="exact" w:before="1"/>
              <w:ind w:left="378" w:right="359"/>
              <w:rPr>
                <w:b/>
                <w:sz w:val="24"/>
              </w:rPr>
            </w:pPr>
            <w:r>
              <w:rPr>
                <w:b/>
                <w:sz w:val="24"/>
              </w:rPr>
              <w:t>-</w:t>
            </w:r>
            <w:r>
              <w:rPr>
                <w:b/>
                <w:spacing w:val="-5"/>
                <w:sz w:val="24"/>
              </w:rPr>
              <w:t>/+</w:t>
            </w:r>
          </w:p>
        </w:tc>
        <w:tc>
          <w:tcPr>
            <w:tcW w:w="1673" w:type="dxa"/>
          </w:tcPr>
          <w:p>
            <w:pPr>
              <w:pStyle w:val="TableParagraph"/>
              <w:spacing w:line="255" w:lineRule="exact" w:before="1"/>
              <w:ind w:left="27" w:right="27"/>
              <w:rPr>
                <w:b/>
                <w:sz w:val="24"/>
              </w:rPr>
            </w:pPr>
            <w:r>
              <w:rPr>
                <w:b/>
                <w:sz w:val="24"/>
              </w:rPr>
              <w:t>-</w:t>
            </w:r>
            <w:r>
              <w:rPr>
                <w:b/>
                <w:spacing w:val="-5"/>
                <w:sz w:val="24"/>
              </w:rPr>
              <w:t>/+</w:t>
            </w:r>
          </w:p>
        </w:tc>
        <w:tc>
          <w:tcPr>
            <w:tcW w:w="1241" w:type="dxa"/>
          </w:tcPr>
          <w:p>
            <w:pPr>
              <w:pStyle w:val="TableParagraph"/>
              <w:spacing w:line="255" w:lineRule="exact" w:before="1"/>
              <w:ind w:left="437" w:right="438"/>
              <w:rPr>
                <w:b/>
                <w:sz w:val="24"/>
              </w:rPr>
            </w:pPr>
            <w:r>
              <w:rPr>
                <w:b/>
                <w:spacing w:val="-5"/>
                <w:sz w:val="24"/>
              </w:rPr>
              <w:t>yes</w:t>
            </w:r>
          </w:p>
        </w:tc>
      </w:tr>
      <w:tr>
        <w:trPr>
          <w:trHeight w:val="276" w:hRule="atLeast"/>
        </w:trPr>
        <w:tc>
          <w:tcPr>
            <w:tcW w:w="978" w:type="dxa"/>
          </w:tcPr>
          <w:p>
            <w:pPr>
              <w:pStyle w:val="TableParagraph"/>
              <w:spacing w:line="255" w:lineRule="exact" w:before="1"/>
              <w:ind w:left="18"/>
              <w:rPr>
                <w:b/>
                <w:sz w:val="24"/>
              </w:rPr>
            </w:pPr>
            <w:r>
              <w:rPr>
                <w:b/>
                <w:sz w:val="24"/>
              </w:rPr>
              <w:t>5</w:t>
            </w:r>
          </w:p>
        </w:tc>
        <w:tc>
          <w:tcPr>
            <w:tcW w:w="1270" w:type="dxa"/>
          </w:tcPr>
          <w:p>
            <w:pPr>
              <w:pStyle w:val="TableParagraph"/>
              <w:spacing w:line="255" w:lineRule="exact" w:before="1"/>
              <w:ind w:left="16"/>
              <w:rPr>
                <w:b/>
                <w:sz w:val="24"/>
              </w:rPr>
            </w:pPr>
            <w:r>
              <w:rPr>
                <w:b/>
                <w:sz w:val="24"/>
              </w:rPr>
              <w:t>1</w:t>
            </w:r>
          </w:p>
        </w:tc>
        <w:tc>
          <w:tcPr>
            <w:tcW w:w="1343" w:type="dxa"/>
          </w:tcPr>
          <w:p>
            <w:pPr>
              <w:pStyle w:val="TableParagraph"/>
              <w:spacing w:line="255" w:lineRule="exact" w:before="1"/>
              <w:ind w:left="213" w:right="194"/>
              <w:rPr>
                <w:b/>
                <w:sz w:val="24"/>
              </w:rPr>
            </w:pPr>
            <w:r>
              <w:rPr>
                <w:b/>
                <w:spacing w:val="-5"/>
                <w:sz w:val="24"/>
              </w:rPr>
              <w:t>+/+</w:t>
            </w:r>
          </w:p>
        </w:tc>
        <w:tc>
          <w:tcPr>
            <w:tcW w:w="1416" w:type="dxa"/>
          </w:tcPr>
          <w:p>
            <w:pPr>
              <w:pStyle w:val="TableParagraph"/>
              <w:spacing w:line="255" w:lineRule="exact" w:before="1"/>
              <w:ind w:left="378" w:right="359"/>
              <w:rPr>
                <w:b/>
                <w:sz w:val="24"/>
              </w:rPr>
            </w:pPr>
            <w:r>
              <w:rPr>
                <w:b/>
                <w:sz w:val="24"/>
              </w:rPr>
              <w:t>-</w:t>
            </w:r>
            <w:r>
              <w:rPr>
                <w:b/>
                <w:spacing w:val="-5"/>
                <w:sz w:val="24"/>
              </w:rPr>
              <w:t>/+</w:t>
            </w:r>
          </w:p>
        </w:tc>
        <w:tc>
          <w:tcPr>
            <w:tcW w:w="1673" w:type="dxa"/>
          </w:tcPr>
          <w:p>
            <w:pPr>
              <w:pStyle w:val="TableParagraph"/>
              <w:spacing w:line="255" w:lineRule="exact" w:before="1"/>
              <w:ind w:left="27" w:right="27"/>
              <w:rPr>
                <w:b/>
                <w:sz w:val="24"/>
              </w:rPr>
            </w:pPr>
            <w:r>
              <w:rPr>
                <w:b/>
                <w:sz w:val="24"/>
              </w:rPr>
              <w:t>-</w:t>
            </w:r>
            <w:r>
              <w:rPr>
                <w:b/>
                <w:spacing w:val="-5"/>
                <w:sz w:val="24"/>
              </w:rPr>
              <w:t>/+</w:t>
            </w:r>
          </w:p>
        </w:tc>
        <w:tc>
          <w:tcPr>
            <w:tcW w:w="1241" w:type="dxa"/>
          </w:tcPr>
          <w:p>
            <w:pPr>
              <w:pStyle w:val="TableParagraph"/>
              <w:spacing w:line="255" w:lineRule="exact" w:before="1"/>
              <w:ind w:left="437" w:right="438"/>
              <w:rPr>
                <w:b/>
                <w:sz w:val="24"/>
              </w:rPr>
            </w:pPr>
            <w:r>
              <w:rPr>
                <w:b/>
                <w:spacing w:val="-5"/>
                <w:sz w:val="24"/>
              </w:rPr>
              <w:t>yes</w:t>
            </w:r>
          </w:p>
        </w:tc>
      </w:tr>
      <w:tr>
        <w:trPr>
          <w:trHeight w:val="275" w:hRule="atLeast"/>
        </w:trPr>
        <w:tc>
          <w:tcPr>
            <w:tcW w:w="978" w:type="dxa"/>
          </w:tcPr>
          <w:p>
            <w:pPr>
              <w:pStyle w:val="TableParagraph"/>
              <w:jc w:val="left"/>
              <w:rPr>
                <w:sz w:val="20"/>
              </w:rPr>
            </w:pPr>
          </w:p>
        </w:tc>
        <w:tc>
          <w:tcPr>
            <w:tcW w:w="1270" w:type="dxa"/>
          </w:tcPr>
          <w:p>
            <w:pPr>
              <w:pStyle w:val="TableParagraph"/>
              <w:spacing w:line="255" w:lineRule="exact"/>
              <w:ind w:left="16"/>
              <w:rPr>
                <w:b/>
                <w:sz w:val="24"/>
              </w:rPr>
            </w:pPr>
            <w:r>
              <w:rPr>
                <w:b/>
                <w:sz w:val="24"/>
              </w:rPr>
              <w:t>2</w:t>
            </w:r>
          </w:p>
        </w:tc>
        <w:tc>
          <w:tcPr>
            <w:tcW w:w="1343" w:type="dxa"/>
          </w:tcPr>
          <w:p>
            <w:pPr>
              <w:pStyle w:val="TableParagraph"/>
              <w:spacing w:line="255" w:lineRule="exact"/>
              <w:ind w:left="213" w:right="194"/>
              <w:rPr>
                <w:b/>
                <w:sz w:val="24"/>
              </w:rPr>
            </w:pPr>
            <w:r>
              <w:rPr>
                <w:b/>
                <w:spacing w:val="-5"/>
                <w:sz w:val="24"/>
              </w:rPr>
              <w:t>+/+</w:t>
            </w:r>
          </w:p>
        </w:tc>
        <w:tc>
          <w:tcPr>
            <w:tcW w:w="1416" w:type="dxa"/>
          </w:tcPr>
          <w:p>
            <w:pPr>
              <w:pStyle w:val="TableParagraph"/>
              <w:spacing w:line="255" w:lineRule="exact"/>
              <w:ind w:left="378" w:right="359"/>
              <w:rPr>
                <w:b/>
                <w:sz w:val="24"/>
              </w:rPr>
            </w:pPr>
            <w:r>
              <w:rPr>
                <w:b/>
                <w:sz w:val="24"/>
              </w:rPr>
              <w:t>-</w:t>
            </w:r>
            <w:r>
              <w:rPr>
                <w:b/>
                <w:spacing w:val="-5"/>
                <w:sz w:val="24"/>
              </w:rPr>
              <w:t>/+</w:t>
            </w:r>
          </w:p>
        </w:tc>
        <w:tc>
          <w:tcPr>
            <w:tcW w:w="1673" w:type="dxa"/>
          </w:tcPr>
          <w:p>
            <w:pPr>
              <w:pStyle w:val="TableParagraph"/>
              <w:spacing w:line="255" w:lineRule="exact"/>
              <w:ind w:left="27" w:right="27"/>
              <w:rPr>
                <w:b/>
                <w:sz w:val="24"/>
              </w:rPr>
            </w:pPr>
            <w:r>
              <w:rPr>
                <w:b/>
                <w:sz w:val="24"/>
              </w:rPr>
              <w:t>-</w:t>
            </w:r>
            <w:r>
              <w:rPr>
                <w:b/>
                <w:spacing w:val="-5"/>
                <w:sz w:val="24"/>
              </w:rPr>
              <w:t>/+</w:t>
            </w:r>
          </w:p>
        </w:tc>
        <w:tc>
          <w:tcPr>
            <w:tcW w:w="1241" w:type="dxa"/>
          </w:tcPr>
          <w:p>
            <w:pPr>
              <w:pStyle w:val="TableParagraph"/>
              <w:spacing w:line="255" w:lineRule="exact"/>
              <w:ind w:left="437" w:right="438"/>
              <w:rPr>
                <w:b/>
                <w:sz w:val="24"/>
              </w:rPr>
            </w:pPr>
            <w:r>
              <w:rPr>
                <w:b/>
                <w:spacing w:val="-5"/>
                <w:sz w:val="24"/>
              </w:rPr>
              <w:t>yes</w:t>
            </w:r>
          </w:p>
        </w:tc>
      </w:tr>
    </w:tbl>
    <w:p>
      <w:pPr>
        <w:pStyle w:val="BodyText"/>
        <w:spacing w:before="5"/>
        <w:rPr>
          <w:b/>
          <w:sz w:val="13"/>
        </w:rPr>
      </w:pPr>
    </w:p>
    <w:p>
      <w:pPr>
        <w:pStyle w:val="Heading5"/>
        <w:numPr>
          <w:ilvl w:val="1"/>
          <w:numId w:val="15"/>
        </w:numPr>
        <w:tabs>
          <w:tab w:pos="879" w:val="left" w:leader="none"/>
        </w:tabs>
        <w:spacing w:line="240" w:lineRule="auto" w:before="90" w:after="0"/>
        <w:ind w:left="879" w:right="0" w:hanging="359"/>
        <w:jc w:val="left"/>
      </w:pPr>
      <w:bookmarkStart w:name="3) Clinical Agreement Study:" w:id="119"/>
      <w:bookmarkEnd w:id="119"/>
      <w:r>
        <w:rPr>
          <w:b w:val="0"/>
        </w:rPr>
      </w:r>
      <w:r>
        <w:rPr>
          <w:u w:val="thick"/>
        </w:rPr>
        <w:t>Clinical</w:t>
      </w:r>
      <w:r>
        <w:rPr>
          <w:spacing w:val="-4"/>
          <w:u w:val="thick"/>
        </w:rPr>
        <w:t> </w:t>
      </w:r>
      <w:r>
        <w:rPr>
          <w:u w:val="thick"/>
        </w:rPr>
        <w:t>Agreement</w:t>
      </w:r>
      <w:r>
        <w:rPr>
          <w:spacing w:val="-3"/>
          <w:u w:val="thick"/>
        </w:rPr>
        <w:t> </w:t>
      </w:r>
      <w:r>
        <w:rPr>
          <w:spacing w:val="-2"/>
          <w:u w:val="thick"/>
        </w:rPr>
        <w:t>Study:</w:t>
      </w:r>
    </w:p>
    <w:p>
      <w:pPr>
        <w:pStyle w:val="Heading6"/>
        <w:spacing w:before="120"/>
        <w:ind w:right="333"/>
      </w:pPr>
      <w:r>
        <w:rPr>
          <w:color w:val="000000"/>
          <w:shd w:fill="FFFF00" w:color="auto" w:val="clear"/>
        </w:rPr>
        <w:t>[Please</w:t>
      </w:r>
      <w:r>
        <w:rPr>
          <w:color w:val="000000"/>
          <w:spacing w:val="-3"/>
          <w:shd w:fill="FFFF00" w:color="auto" w:val="clear"/>
        </w:rPr>
        <w:t> </w:t>
      </w:r>
      <w:r>
        <w:rPr>
          <w:color w:val="000000"/>
          <w:shd w:fill="FFFF00" w:color="auto" w:val="clear"/>
        </w:rPr>
        <w:t>describe</w:t>
      </w:r>
      <w:r>
        <w:rPr>
          <w:color w:val="000000"/>
          <w:spacing w:val="-3"/>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clinical</w:t>
      </w:r>
      <w:r>
        <w:rPr>
          <w:color w:val="000000"/>
          <w:spacing w:val="-3"/>
          <w:shd w:fill="FFFF00" w:color="auto" w:val="clear"/>
        </w:rPr>
        <w:t> </w:t>
      </w:r>
      <w:r>
        <w:rPr>
          <w:color w:val="000000"/>
          <w:shd w:fill="FFFF00" w:color="auto" w:val="clear"/>
        </w:rPr>
        <w:t>study</w:t>
      </w:r>
      <w:r>
        <w:rPr>
          <w:color w:val="000000"/>
          <w:spacing w:val="-3"/>
          <w:shd w:fill="FFFF00" w:color="auto" w:val="clear"/>
        </w:rPr>
        <w:t> </w:t>
      </w:r>
      <w:r>
        <w:rPr>
          <w:color w:val="000000"/>
          <w:shd w:fill="FFFF00" w:color="auto" w:val="clear"/>
        </w:rPr>
        <w:t>used</w:t>
      </w:r>
      <w:r>
        <w:rPr>
          <w:color w:val="000000"/>
          <w:spacing w:val="-4"/>
          <w:shd w:fill="FFFF00" w:color="auto" w:val="clear"/>
        </w:rPr>
        <w:t> </w:t>
      </w:r>
      <w:r>
        <w:rPr>
          <w:color w:val="000000"/>
          <w:shd w:fill="FFFF00" w:color="auto" w:val="clear"/>
        </w:rPr>
        <w:t>to</w:t>
      </w:r>
      <w:r>
        <w:rPr>
          <w:color w:val="000000"/>
          <w:spacing w:val="-3"/>
          <w:shd w:fill="FFFF00" w:color="auto" w:val="clear"/>
        </w:rPr>
        <w:t> </w:t>
      </w:r>
      <w:r>
        <w:rPr>
          <w:color w:val="000000"/>
          <w:shd w:fill="FFFF00" w:color="auto" w:val="clear"/>
        </w:rPr>
        <w:t>evaluate</w:t>
      </w:r>
      <w:r>
        <w:rPr>
          <w:color w:val="000000"/>
          <w:spacing w:val="-3"/>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clinical</w:t>
      </w:r>
      <w:r>
        <w:rPr>
          <w:color w:val="000000"/>
          <w:spacing w:val="-3"/>
          <w:shd w:fill="FFFF00" w:color="auto" w:val="clear"/>
        </w:rPr>
        <w:t> </w:t>
      </w:r>
      <w:r>
        <w:rPr>
          <w:color w:val="000000"/>
          <w:shd w:fill="FFFF00" w:color="auto" w:val="clear"/>
        </w:rPr>
        <w:t>performance</w:t>
      </w:r>
      <w:r>
        <w:rPr>
          <w:color w:val="000000"/>
          <w:spacing w:val="-3"/>
          <w:shd w:fill="FFFF00" w:color="auto" w:val="clear"/>
        </w:rPr>
        <w:t> </w:t>
      </w:r>
      <w:r>
        <w:rPr>
          <w:color w:val="000000"/>
          <w:shd w:fill="FFFF00" w:color="auto" w:val="clear"/>
        </w:rPr>
        <w:t>of</w:t>
      </w:r>
      <w:r>
        <w:rPr>
          <w:color w:val="000000"/>
          <w:spacing w:val="-3"/>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test.</w:t>
      </w:r>
      <w:r>
        <w:rPr>
          <w:color w:val="000000"/>
        </w:rPr>
        <w:t> </w:t>
      </w:r>
      <w:r>
        <w:rPr>
          <w:color w:val="000000"/>
          <w:shd w:fill="FFFF00" w:color="auto" w:val="clear"/>
        </w:rPr>
        <w:t>Please</w:t>
      </w:r>
      <w:r>
        <w:rPr>
          <w:color w:val="000000"/>
          <w:spacing w:val="-1"/>
          <w:shd w:fill="FFFF00" w:color="auto" w:val="clear"/>
        </w:rPr>
        <w:t> </w:t>
      </w:r>
      <w:r>
        <w:rPr>
          <w:color w:val="000000"/>
          <w:shd w:fill="FFFF00" w:color="auto" w:val="clear"/>
        </w:rPr>
        <w:t>note</w:t>
      </w:r>
      <w:r>
        <w:rPr>
          <w:color w:val="000000"/>
          <w:spacing w:val="-2"/>
          <w:shd w:fill="FFFF00" w:color="auto" w:val="clear"/>
        </w:rPr>
        <w:t> </w:t>
      </w:r>
      <w:r>
        <w:rPr>
          <w:color w:val="000000"/>
          <w:shd w:fill="FFFF00" w:color="auto" w:val="clear"/>
        </w:rPr>
        <w:t>that</w:t>
      </w:r>
      <w:r>
        <w:rPr>
          <w:color w:val="000000"/>
          <w:spacing w:val="-1"/>
          <w:shd w:fill="FFFF00" w:color="auto" w:val="clear"/>
        </w:rPr>
        <w:t> </w:t>
      </w:r>
      <w:r>
        <w:rPr>
          <w:color w:val="000000"/>
          <w:shd w:fill="FFFF00" w:color="auto" w:val="clear"/>
        </w:rPr>
        <w:t>the</w:t>
      </w:r>
      <w:r>
        <w:rPr>
          <w:color w:val="000000"/>
          <w:spacing w:val="-1"/>
          <w:shd w:fill="FFFF00" w:color="auto" w:val="clear"/>
        </w:rPr>
        <w:t> </w:t>
      </w:r>
      <w:r>
        <w:rPr>
          <w:color w:val="000000"/>
          <w:shd w:fill="FFFF00" w:color="auto" w:val="clear"/>
        </w:rPr>
        <w:t>exact</w:t>
      </w:r>
      <w:r>
        <w:rPr>
          <w:color w:val="000000"/>
          <w:spacing w:val="-1"/>
          <w:shd w:fill="FFFF00" w:color="auto" w:val="clear"/>
        </w:rPr>
        <w:t> </w:t>
      </w:r>
      <w:r>
        <w:rPr>
          <w:color w:val="000000"/>
          <w:shd w:fill="FFFF00" w:color="auto" w:val="clear"/>
        </w:rPr>
        <w:t>requirements</w:t>
      </w:r>
      <w:r>
        <w:rPr>
          <w:color w:val="000000"/>
          <w:spacing w:val="-1"/>
          <w:shd w:fill="FFFF00" w:color="auto" w:val="clear"/>
        </w:rPr>
        <w:t> </w:t>
      </w:r>
      <w:r>
        <w:rPr>
          <w:color w:val="000000"/>
          <w:shd w:fill="FFFF00" w:color="auto" w:val="clear"/>
        </w:rPr>
        <w:t>for</w:t>
      </w:r>
      <w:r>
        <w:rPr>
          <w:color w:val="000000"/>
          <w:spacing w:val="-2"/>
          <w:shd w:fill="FFFF00" w:color="auto" w:val="clear"/>
        </w:rPr>
        <w:t> </w:t>
      </w:r>
      <w:r>
        <w:rPr>
          <w:color w:val="000000"/>
          <w:shd w:fill="FFFF00" w:color="auto" w:val="clear"/>
        </w:rPr>
        <w:t>the</w:t>
      </w:r>
      <w:r>
        <w:rPr>
          <w:color w:val="000000"/>
          <w:spacing w:val="-2"/>
          <w:shd w:fill="FFFF00" w:color="auto" w:val="clear"/>
        </w:rPr>
        <w:t> </w:t>
      </w:r>
      <w:r>
        <w:rPr>
          <w:color w:val="000000"/>
          <w:shd w:fill="FFFF00" w:color="auto" w:val="clear"/>
        </w:rPr>
        <w:t>clinical</w:t>
      </w:r>
      <w:r>
        <w:rPr>
          <w:color w:val="000000"/>
          <w:spacing w:val="-1"/>
          <w:shd w:fill="FFFF00" w:color="auto" w:val="clear"/>
        </w:rPr>
        <w:t> </w:t>
      </w:r>
      <w:r>
        <w:rPr>
          <w:color w:val="000000"/>
          <w:shd w:fill="FFFF00" w:color="auto" w:val="clear"/>
        </w:rPr>
        <w:t>evaluation</w:t>
      </w:r>
      <w:r>
        <w:rPr>
          <w:color w:val="000000"/>
          <w:spacing w:val="-2"/>
          <w:shd w:fill="FFFF00" w:color="auto" w:val="clear"/>
        </w:rPr>
        <w:t> </w:t>
      </w:r>
      <w:r>
        <w:rPr>
          <w:color w:val="000000"/>
          <w:shd w:fill="FFFF00" w:color="auto" w:val="clear"/>
        </w:rPr>
        <w:t>depend</w:t>
      </w:r>
      <w:r>
        <w:rPr>
          <w:color w:val="000000"/>
          <w:spacing w:val="-1"/>
          <w:shd w:fill="FFFF00" w:color="auto" w:val="clear"/>
        </w:rPr>
        <w:t> </w:t>
      </w:r>
      <w:r>
        <w:rPr>
          <w:color w:val="000000"/>
          <w:shd w:fill="FFFF00" w:color="auto" w:val="clear"/>
        </w:rPr>
        <w:t>on</w:t>
      </w:r>
      <w:r>
        <w:rPr>
          <w:color w:val="000000"/>
          <w:spacing w:val="-2"/>
          <w:shd w:fill="FFFF00" w:color="auto" w:val="clear"/>
        </w:rPr>
        <w:t> </w:t>
      </w:r>
      <w:r>
        <w:rPr>
          <w:color w:val="000000"/>
          <w:shd w:fill="FFFF00" w:color="auto" w:val="clear"/>
        </w:rPr>
        <w:t>access</w:t>
      </w:r>
      <w:r>
        <w:rPr>
          <w:color w:val="000000"/>
          <w:spacing w:val="-1"/>
          <w:shd w:fill="FFFF00" w:color="auto" w:val="clear"/>
        </w:rPr>
        <w:t> </w:t>
      </w:r>
      <w:r>
        <w:rPr>
          <w:color w:val="000000"/>
          <w:shd w:fill="FFFF00" w:color="auto" w:val="clear"/>
        </w:rPr>
        <w:t>to</w:t>
      </w:r>
      <w:r>
        <w:rPr>
          <w:color w:val="000000"/>
        </w:rPr>
        <w:t> </w:t>
      </w:r>
      <w:r>
        <w:rPr>
          <w:color w:val="000000"/>
          <w:shd w:fill="FFFF00" w:color="auto" w:val="clear"/>
        </w:rPr>
        <w:t>COVID-19 disease clinical specimens at the time of the studies and the nature of the</w:t>
      </w:r>
      <w:r>
        <w:rPr>
          <w:color w:val="000000"/>
        </w:rPr>
        <w:t> </w:t>
      </w:r>
      <w:r>
        <w:rPr>
          <w:color w:val="000000"/>
          <w:spacing w:val="-2"/>
          <w:shd w:fill="FFFF00" w:color="auto" w:val="clear"/>
        </w:rPr>
        <w:t>emergency.]</w:t>
      </w:r>
    </w:p>
    <w:p>
      <w:pPr>
        <w:pStyle w:val="BodyText"/>
        <w:spacing w:before="11"/>
        <w:rPr>
          <w:rFonts w:ascii="TimesNewRomanPS-BoldItalicMT"/>
          <w:b/>
          <w:i/>
          <w:sz w:val="23"/>
        </w:rPr>
      </w:pPr>
    </w:p>
    <w:p>
      <w:pPr>
        <w:pStyle w:val="Heading5"/>
        <w:ind w:right="278"/>
      </w:pPr>
      <w:r>
        <w:rPr/>
        <w:t>Initial</w:t>
      </w:r>
      <w:r>
        <w:rPr>
          <w:spacing w:val="-4"/>
        </w:rPr>
        <w:t> </w:t>
      </w:r>
      <w:r>
        <w:rPr/>
        <w:t>clinical</w:t>
      </w:r>
      <w:r>
        <w:rPr>
          <w:spacing w:val="-4"/>
        </w:rPr>
        <w:t> </w:t>
      </w:r>
      <w:r>
        <w:rPr/>
        <w:t>agreement</w:t>
      </w:r>
      <w:r>
        <w:rPr>
          <w:spacing w:val="-4"/>
        </w:rPr>
        <w:t> </w:t>
      </w:r>
      <w:r>
        <w:rPr/>
        <w:t>trials</w:t>
      </w:r>
      <w:r>
        <w:rPr>
          <w:spacing w:val="-4"/>
        </w:rPr>
        <w:t> </w:t>
      </w:r>
      <w:r>
        <w:rPr/>
        <w:t>typically</w:t>
      </w:r>
      <w:r>
        <w:rPr>
          <w:spacing w:val="-4"/>
        </w:rPr>
        <w:t> </w:t>
      </w:r>
      <w:r>
        <w:rPr/>
        <w:t>evaluate</w:t>
      </w:r>
      <w:r>
        <w:rPr>
          <w:spacing w:val="-4"/>
        </w:rPr>
        <w:t> </w:t>
      </w:r>
      <w:r>
        <w:rPr/>
        <w:t>all</w:t>
      </w:r>
      <w:r>
        <w:rPr>
          <w:spacing w:val="-4"/>
        </w:rPr>
        <w:t> </w:t>
      </w:r>
      <w:r>
        <w:rPr/>
        <w:t>matrices</w:t>
      </w:r>
      <w:r>
        <w:rPr>
          <w:spacing w:val="-4"/>
        </w:rPr>
        <w:t> </w:t>
      </w:r>
      <w:r>
        <w:rPr/>
        <w:t>that</w:t>
      </w:r>
      <w:r>
        <w:rPr>
          <w:spacing w:val="-4"/>
        </w:rPr>
        <w:t> </w:t>
      </w:r>
      <w:r>
        <w:rPr/>
        <w:t>the</w:t>
      </w:r>
      <w:r>
        <w:rPr>
          <w:spacing w:val="-5"/>
        </w:rPr>
        <w:t> </w:t>
      </w:r>
      <w:r>
        <w:rPr/>
        <w:t>sponsor intends to claim in their EUA submission.</w:t>
      </w:r>
    </w:p>
    <w:p>
      <w:pPr>
        <w:pStyle w:val="BodyText"/>
        <w:rPr>
          <w:b/>
        </w:rPr>
      </w:pPr>
    </w:p>
    <w:p>
      <w:pPr>
        <w:spacing w:before="0"/>
        <w:ind w:left="880" w:right="290" w:firstLine="0"/>
        <w:jc w:val="left"/>
        <w:rPr>
          <w:rFonts w:ascii="TimesNewRomanPS-BoldItalicMT"/>
          <w:b/>
          <w:i/>
          <w:sz w:val="24"/>
        </w:rPr>
      </w:pPr>
      <w:r>
        <w:rPr>
          <w:b/>
          <w:sz w:val="24"/>
        </w:rPr>
        <w:t>The</w:t>
      </w:r>
      <w:r>
        <w:rPr>
          <w:b/>
          <w:spacing w:val="-3"/>
          <w:sz w:val="24"/>
        </w:rPr>
        <w:t> </w:t>
      </w:r>
      <w:r>
        <w:rPr>
          <w:b/>
          <w:sz w:val="24"/>
        </w:rPr>
        <w:t>comparator</w:t>
      </w:r>
      <w:r>
        <w:rPr>
          <w:b/>
          <w:spacing w:val="-3"/>
          <w:sz w:val="24"/>
        </w:rPr>
        <w:t> </w:t>
      </w:r>
      <w:r>
        <w:rPr>
          <w:b/>
          <w:sz w:val="24"/>
        </w:rPr>
        <w:t>method</w:t>
      </w:r>
      <w:r>
        <w:rPr>
          <w:b/>
          <w:spacing w:val="-4"/>
          <w:sz w:val="24"/>
        </w:rPr>
        <w:t> </w:t>
      </w:r>
      <w:r>
        <w:rPr>
          <w:b/>
          <w:sz w:val="24"/>
        </w:rPr>
        <w:t>used</w:t>
      </w:r>
      <w:r>
        <w:rPr>
          <w:b/>
          <w:spacing w:val="-4"/>
          <w:sz w:val="24"/>
        </w:rPr>
        <w:t> </w:t>
      </w:r>
      <w:r>
        <w:rPr>
          <w:b/>
          <w:sz w:val="24"/>
        </w:rPr>
        <w:t>to</w:t>
      </w:r>
      <w:r>
        <w:rPr>
          <w:b/>
          <w:spacing w:val="-3"/>
          <w:sz w:val="24"/>
        </w:rPr>
        <w:t> </w:t>
      </w:r>
      <w:r>
        <w:rPr>
          <w:b/>
          <w:sz w:val="24"/>
        </w:rPr>
        <w:t>establish</w:t>
      </w:r>
      <w:r>
        <w:rPr>
          <w:b/>
          <w:spacing w:val="-4"/>
          <w:sz w:val="24"/>
        </w:rPr>
        <w:t> </w:t>
      </w:r>
      <w:r>
        <w:rPr>
          <w:b/>
          <w:sz w:val="24"/>
        </w:rPr>
        <w:t>clinical</w:t>
      </w:r>
      <w:r>
        <w:rPr>
          <w:b/>
          <w:spacing w:val="-4"/>
          <w:sz w:val="24"/>
        </w:rPr>
        <w:t> </w:t>
      </w:r>
      <w:r>
        <w:rPr>
          <w:b/>
          <w:sz w:val="24"/>
        </w:rPr>
        <w:t>truth</w:t>
      </w:r>
      <w:r>
        <w:rPr>
          <w:b/>
          <w:spacing w:val="-4"/>
          <w:sz w:val="24"/>
        </w:rPr>
        <w:t> </w:t>
      </w:r>
      <w:r>
        <w:rPr>
          <w:b/>
          <w:sz w:val="24"/>
        </w:rPr>
        <w:t>for</w:t>
      </w:r>
      <w:r>
        <w:rPr>
          <w:b/>
          <w:spacing w:val="-3"/>
          <w:sz w:val="24"/>
        </w:rPr>
        <w:t> </w:t>
      </w:r>
      <w:r>
        <w:rPr>
          <w:b/>
          <w:sz w:val="24"/>
        </w:rPr>
        <w:t>the</w:t>
      </w:r>
      <w:r>
        <w:rPr>
          <w:b/>
          <w:spacing w:val="-3"/>
          <w:sz w:val="24"/>
        </w:rPr>
        <w:t> </w:t>
      </w:r>
      <w:r>
        <w:rPr>
          <w:b/>
          <w:sz w:val="24"/>
        </w:rPr>
        <w:t>patient</w:t>
      </w:r>
      <w:r>
        <w:rPr>
          <w:b/>
          <w:spacing w:val="-3"/>
          <w:sz w:val="24"/>
        </w:rPr>
        <w:t> </w:t>
      </w:r>
      <w:r>
        <w:rPr>
          <w:b/>
          <w:sz w:val="24"/>
        </w:rPr>
        <w:t>at</w:t>
      </w:r>
      <w:r>
        <w:rPr>
          <w:b/>
          <w:spacing w:val="-3"/>
          <w:sz w:val="24"/>
        </w:rPr>
        <w:t> </w:t>
      </w:r>
      <w:r>
        <w:rPr>
          <w:b/>
          <w:sz w:val="24"/>
        </w:rPr>
        <w:t>this</w:t>
      </w:r>
      <w:r>
        <w:rPr>
          <w:b/>
          <w:spacing w:val="-3"/>
          <w:sz w:val="24"/>
        </w:rPr>
        <w:t> </w:t>
      </w:r>
      <w:r>
        <w:rPr>
          <w:b/>
          <w:sz w:val="24"/>
        </w:rPr>
        <w:t>time</w:t>
      </w:r>
      <w:r>
        <w:rPr>
          <w:b/>
          <w:spacing w:val="-3"/>
          <w:sz w:val="24"/>
        </w:rPr>
        <w:t> </w:t>
      </w:r>
      <w:r>
        <w:rPr>
          <w:b/>
          <w:sz w:val="24"/>
        </w:rPr>
        <w:t>is a PCR based assay. Results from the comparator PCR method are obtained using specimens that have been validated for use with the comparator method. Consider collecting nasal swab samples from a patient for PCR and then follow with a fingerstick or blood draw from the same patient. </w:t>
      </w:r>
      <w:r>
        <w:rPr>
          <w:rFonts w:ascii="TimesNewRomanPS-BoldItalicMT"/>
          <w:b/>
          <w:i/>
          <w:color w:val="000000"/>
          <w:sz w:val="24"/>
          <w:shd w:fill="FFFF00" w:color="auto" w:val="clear"/>
        </w:rPr>
        <w:t>[Please identify the PCR</w:t>
      </w:r>
      <w:r>
        <w:rPr>
          <w:rFonts w:ascii="TimesNewRomanPS-BoldItalicMT"/>
          <w:b/>
          <w:i/>
          <w:color w:val="000000"/>
          <w:sz w:val="24"/>
        </w:rPr>
        <w:t> </w:t>
      </w:r>
      <w:r>
        <w:rPr>
          <w:rFonts w:ascii="TimesNewRomanPS-BoldItalicMT"/>
          <w:b/>
          <w:i/>
          <w:color w:val="000000"/>
          <w:sz w:val="24"/>
          <w:shd w:fill="FFFF00" w:color="auto" w:val="clear"/>
        </w:rPr>
        <w:t>comparator that was used. If the PCR comparator is not an EUA-authorized test,</w:t>
      </w:r>
      <w:r>
        <w:rPr>
          <w:rFonts w:ascii="TimesNewRomanPS-BoldItalicMT"/>
          <w:b/>
          <w:i/>
          <w:color w:val="000000"/>
          <w:sz w:val="24"/>
        </w:rPr>
        <w:t> </w:t>
      </w:r>
      <w:r>
        <w:rPr>
          <w:rFonts w:ascii="TimesNewRomanPS-BoldItalicMT"/>
          <w:b/>
          <w:i/>
          <w:color w:val="000000"/>
          <w:sz w:val="24"/>
          <w:shd w:fill="FFFF00" w:color="auto" w:val="clear"/>
        </w:rPr>
        <w:t>please provide Limit of Detection (LoD) and cross-reactivity validation data. If it is an</w:t>
      </w:r>
      <w:r>
        <w:rPr>
          <w:rFonts w:ascii="TimesNewRomanPS-BoldItalicMT"/>
          <w:b/>
          <w:i/>
          <w:color w:val="000000"/>
          <w:sz w:val="24"/>
        </w:rPr>
        <w:t> </w:t>
      </w:r>
      <w:r>
        <w:rPr>
          <w:rFonts w:ascii="TimesNewRomanPS-BoldItalicMT"/>
          <w:b/>
          <w:i/>
          <w:color w:val="000000"/>
          <w:sz w:val="24"/>
          <w:shd w:fill="FFFF00" w:color="auto" w:val="clear"/>
        </w:rPr>
        <w:t>EUA-authorized test, then no validation is needed.]</w:t>
      </w:r>
    </w:p>
    <w:p>
      <w:pPr>
        <w:pStyle w:val="BodyText"/>
        <w:rPr>
          <w:rFonts w:ascii="TimesNewRomanPS-BoldItalicMT"/>
          <w:b/>
          <w:i/>
        </w:rPr>
      </w:pPr>
    </w:p>
    <w:p>
      <w:pPr>
        <w:pStyle w:val="Heading5"/>
        <w:ind w:right="278"/>
      </w:pPr>
      <w:r>
        <w:rPr/>
        <w:t>Ideally, performance characteristics are established in a clinical study with prospective</w:t>
      </w:r>
      <w:r>
        <w:rPr>
          <w:spacing w:val="-4"/>
        </w:rPr>
        <w:t> </w:t>
      </w:r>
      <w:r>
        <w:rPr/>
        <w:t>samples.</w:t>
      </w:r>
      <w:r>
        <w:rPr>
          <w:spacing w:val="-3"/>
        </w:rPr>
        <w:t> </w:t>
      </w:r>
      <w:r>
        <w:rPr/>
        <w:t>If</w:t>
      </w:r>
      <w:r>
        <w:rPr>
          <w:spacing w:val="-4"/>
        </w:rPr>
        <w:t> </w:t>
      </w:r>
      <w:r>
        <w:rPr/>
        <w:t>a</w:t>
      </w:r>
      <w:r>
        <w:rPr>
          <w:spacing w:val="-3"/>
        </w:rPr>
        <w:t> </w:t>
      </w:r>
      <w:r>
        <w:rPr/>
        <w:t>prospective</w:t>
      </w:r>
      <w:r>
        <w:rPr>
          <w:spacing w:val="-3"/>
        </w:rPr>
        <w:t> </w:t>
      </w:r>
      <w:r>
        <w:rPr/>
        <w:t>study</w:t>
      </w:r>
      <w:r>
        <w:rPr>
          <w:spacing w:val="-3"/>
        </w:rPr>
        <w:t> </w:t>
      </w:r>
      <w:r>
        <w:rPr/>
        <w:t>is</w:t>
      </w:r>
      <w:r>
        <w:rPr>
          <w:spacing w:val="-4"/>
        </w:rPr>
        <w:t> </w:t>
      </w:r>
      <w:r>
        <w:rPr/>
        <w:t>not</w:t>
      </w:r>
      <w:r>
        <w:rPr>
          <w:spacing w:val="-3"/>
        </w:rPr>
        <w:t> </w:t>
      </w:r>
      <w:r>
        <w:rPr/>
        <w:t>feasible,</w:t>
      </w:r>
      <w:r>
        <w:rPr>
          <w:spacing w:val="-5"/>
        </w:rPr>
        <w:t> </w:t>
      </w:r>
      <w:r>
        <w:rPr/>
        <w:t>an</w:t>
      </w:r>
      <w:r>
        <w:rPr>
          <w:spacing w:val="-4"/>
        </w:rPr>
        <w:t> </w:t>
      </w:r>
      <w:r>
        <w:rPr/>
        <w:t>acceptable</w:t>
      </w:r>
      <w:r>
        <w:rPr>
          <w:spacing w:val="-3"/>
        </w:rPr>
        <w:t> </w:t>
      </w:r>
      <w:r>
        <w:rPr/>
        <w:t>alternative would</w:t>
      </w:r>
      <w:r>
        <w:rPr>
          <w:spacing w:val="-2"/>
        </w:rPr>
        <w:t> </w:t>
      </w:r>
      <w:r>
        <w:rPr/>
        <w:t>be</w:t>
      </w:r>
      <w:r>
        <w:rPr>
          <w:spacing w:val="-1"/>
        </w:rPr>
        <w:t> </w:t>
      </w:r>
      <w:r>
        <w:rPr/>
        <w:t>to</w:t>
      </w:r>
      <w:r>
        <w:rPr>
          <w:spacing w:val="-1"/>
        </w:rPr>
        <w:t> </w:t>
      </w:r>
      <w:r>
        <w:rPr/>
        <w:t>test</w:t>
      </w:r>
      <w:r>
        <w:rPr>
          <w:spacing w:val="-1"/>
        </w:rPr>
        <w:t> </w:t>
      </w:r>
      <w:r>
        <w:rPr/>
        <w:t>retrospectively</w:t>
      </w:r>
      <w:r>
        <w:rPr>
          <w:spacing w:val="-1"/>
        </w:rPr>
        <w:t> </w:t>
      </w:r>
      <w:r>
        <w:rPr/>
        <w:t>collected</w:t>
      </w:r>
      <w:r>
        <w:rPr>
          <w:spacing w:val="-2"/>
        </w:rPr>
        <w:t> </w:t>
      </w:r>
      <w:r>
        <w:rPr/>
        <w:t>SARS-CoV-2</w:t>
      </w:r>
      <w:r>
        <w:rPr>
          <w:spacing w:val="-1"/>
        </w:rPr>
        <w:t> </w:t>
      </w:r>
      <w:r>
        <w:rPr/>
        <w:t>antibody</w:t>
      </w:r>
      <w:r>
        <w:rPr>
          <w:spacing w:val="-1"/>
        </w:rPr>
        <w:t> </w:t>
      </w:r>
      <w:r>
        <w:rPr/>
        <w:t>positive</w:t>
      </w:r>
      <w:r>
        <w:rPr>
          <w:spacing w:val="-1"/>
        </w:rPr>
        <w:t> </w:t>
      </w:r>
      <w:r>
        <w:rPr/>
        <w:t>specimens from patients that have been previously confirmed infected by SARS-CoV-2 RT PCR, accompanied by basic information such as the population from which the sample was drawn and the comparator method, specimen collection date, date of onset of symptoms</w:t>
      </w:r>
      <w:r>
        <w:rPr>
          <w:spacing w:val="-1"/>
        </w:rPr>
        <w:t> </w:t>
      </w:r>
      <w:r>
        <w:rPr/>
        <w:t>(if</w:t>
      </w:r>
      <w:r>
        <w:rPr>
          <w:spacing w:val="-1"/>
        </w:rPr>
        <w:t> </w:t>
      </w:r>
      <w:r>
        <w:rPr/>
        <w:t>present/known), and</w:t>
      </w:r>
      <w:r>
        <w:rPr>
          <w:spacing w:val="-1"/>
        </w:rPr>
        <w:t> </w:t>
      </w:r>
      <w:r>
        <w:rPr/>
        <w:t>comparator</w:t>
      </w:r>
      <w:r>
        <w:rPr>
          <w:spacing w:val="-1"/>
        </w:rPr>
        <w:t> </w:t>
      </w:r>
      <w:r>
        <w:rPr/>
        <w:t>method</w:t>
      </w:r>
      <w:r>
        <w:rPr>
          <w:spacing w:val="-1"/>
        </w:rPr>
        <w:t> </w:t>
      </w:r>
      <w:r>
        <w:rPr/>
        <w:t>to confirm patients as SARS-CoV-2 infected or not infected (see above).</w:t>
      </w:r>
    </w:p>
    <w:p>
      <w:pPr>
        <w:pStyle w:val="BodyText"/>
        <w:spacing w:before="4"/>
        <w:rPr>
          <w:b/>
          <w:sz w:val="27"/>
        </w:rPr>
      </w:pPr>
    </w:p>
    <w:p>
      <w:pPr>
        <w:pStyle w:val="Heading5"/>
        <w:spacing w:before="1"/>
        <w:ind w:right="278"/>
      </w:pPr>
      <w:r>
        <w:rPr/>
        <w:t>Clinical agreement data should be provided using at least 30 antibody positive samples</w:t>
      </w:r>
      <w:r>
        <w:rPr>
          <w:spacing w:val="-4"/>
        </w:rPr>
        <w:t> </w:t>
      </w:r>
      <w:r>
        <w:rPr/>
        <w:t>for</w:t>
      </w:r>
      <w:r>
        <w:rPr>
          <w:spacing w:val="-4"/>
        </w:rPr>
        <w:t> </w:t>
      </w:r>
      <w:r>
        <w:rPr/>
        <w:t>each</w:t>
      </w:r>
      <w:r>
        <w:rPr>
          <w:spacing w:val="-4"/>
        </w:rPr>
        <w:t> </w:t>
      </w:r>
      <w:r>
        <w:rPr/>
        <w:t>immunoglobulin</w:t>
      </w:r>
      <w:r>
        <w:rPr>
          <w:spacing w:val="-4"/>
        </w:rPr>
        <w:t> </w:t>
      </w:r>
      <w:r>
        <w:rPr/>
        <w:t>claimed</w:t>
      </w:r>
      <w:r>
        <w:rPr>
          <w:spacing w:val="-4"/>
        </w:rPr>
        <w:t> </w:t>
      </w:r>
      <w:r>
        <w:rPr/>
        <w:t>and</w:t>
      </w:r>
      <w:r>
        <w:rPr>
          <w:spacing w:val="-4"/>
        </w:rPr>
        <w:t> </w:t>
      </w:r>
      <w:r>
        <w:rPr/>
        <w:t>75</w:t>
      </w:r>
      <w:r>
        <w:rPr>
          <w:spacing w:val="-3"/>
        </w:rPr>
        <w:t> </w:t>
      </w:r>
      <w:r>
        <w:rPr/>
        <w:t>antibody</w:t>
      </w:r>
      <w:r>
        <w:rPr>
          <w:spacing w:val="-3"/>
        </w:rPr>
        <w:t> </w:t>
      </w:r>
      <w:r>
        <w:rPr/>
        <w:t>negative</w:t>
      </w:r>
      <w:r>
        <w:rPr>
          <w:spacing w:val="-4"/>
        </w:rPr>
        <w:t> </w:t>
      </w:r>
      <w:r>
        <w:rPr/>
        <w:t>samples</w:t>
      </w:r>
      <w:r>
        <w:rPr>
          <w:spacing w:val="-4"/>
        </w:rPr>
        <w:t> </w:t>
      </w:r>
      <w:r>
        <w:rPr/>
        <w:t>from patients tested for SARS-CoV-2 and confirmed as negative and the data should</w:t>
      </w:r>
    </w:p>
    <w:p>
      <w:pPr>
        <w:spacing w:after="0"/>
        <w:sectPr>
          <w:pgSz w:w="12240" w:h="15840"/>
          <w:pgMar w:header="731" w:footer="785" w:top="1360" w:bottom="980" w:left="1280" w:right="1200"/>
        </w:sectPr>
      </w:pPr>
    </w:p>
    <w:p>
      <w:pPr>
        <w:pStyle w:val="Heading5"/>
        <w:spacing w:before="80"/>
        <w:ind w:left="879" w:right="256"/>
      </w:pPr>
      <w:r>
        <w:rPr/>
        <w:t>demonstrate a minimum overall 90.0% positive percent agreement and overall 95.0% negative percent agreement, and for tests that report specifically IgM and IgG</w:t>
      </w:r>
      <w:r>
        <w:rPr>
          <w:spacing w:val="-3"/>
        </w:rPr>
        <w:t> </w:t>
      </w:r>
      <w:r>
        <w:rPr/>
        <w:t>results,</w:t>
      </w:r>
      <w:r>
        <w:rPr>
          <w:spacing w:val="-5"/>
        </w:rPr>
        <w:t> </w:t>
      </w:r>
      <w:r>
        <w:rPr/>
        <w:t>a</w:t>
      </w:r>
      <w:r>
        <w:rPr>
          <w:spacing w:val="-3"/>
        </w:rPr>
        <w:t> </w:t>
      </w:r>
      <w:r>
        <w:rPr/>
        <w:t>minimum</w:t>
      </w:r>
      <w:r>
        <w:rPr>
          <w:spacing w:val="-3"/>
        </w:rPr>
        <w:t> </w:t>
      </w:r>
      <w:r>
        <w:rPr/>
        <w:t>positive</w:t>
      </w:r>
      <w:r>
        <w:rPr>
          <w:spacing w:val="-4"/>
        </w:rPr>
        <w:t> </w:t>
      </w:r>
      <w:r>
        <w:rPr/>
        <w:t>percent</w:t>
      </w:r>
      <w:r>
        <w:rPr>
          <w:spacing w:val="-3"/>
        </w:rPr>
        <w:t> </w:t>
      </w:r>
      <w:r>
        <w:rPr/>
        <w:t>agreement</w:t>
      </w:r>
      <w:r>
        <w:rPr>
          <w:spacing w:val="-4"/>
        </w:rPr>
        <w:t> </w:t>
      </w:r>
      <w:r>
        <w:rPr/>
        <w:t>for</w:t>
      </w:r>
      <w:r>
        <w:rPr>
          <w:spacing w:val="-4"/>
        </w:rPr>
        <w:t> </w:t>
      </w:r>
      <w:r>
        <w:rPr/>
        <w:t>IgM</w:t>
      </w:r>
      <w:r>
        <w:rPr>
          <w:spacing w:val="-3"/>
        </w:rPr>
        <w:t> </w:t>
      </w:r>
      <w:r>
        <w:rPr/>
        <w:t>of</w:t>
      </w:r>
      <w:r>
        <w:rPr>
          <w:spacing w:val="-3"/>
        </w:rPr>
        <w:t> </w:t>
      </w:r>
      <w:r>
        <w:rPr/>
        <w:t>70%</w:t>
      </w:r>
      <w:r>
        <w:rPr>
          <w:spacing w:val="-5"/>
        </w:rPr>
        <w:t> </w:t>
      </w:r>
      <w:r>
        <w:rPr/>
        <w:t>and</w:t>
      </w:r>
      <w:r>
        <w:rPr>
          <w:spacing w:val="-4"/>
        </w:rPr>
        <w:t> </w:t>
      </w:r>
      <w:r>
        <w:rPr/>
        <w:t>a</w:t>
      </w:r>
      <w:r>
        <w:rPr>
          <w:spacing w:val="-3"/>
        </w:rPr>
        <w:t> </w:t>
      </w:r>
      <w:r>
        <w:rPr/>
        <w:t>minimum positive percent agreement for IgG of 90%. Point estimates not lower than 93% for combined NPA, not lower than 90% for combined PPA, and for tests that specifically report IgG or IgG and IgM, PPA for IgG not lower than 87%, and PPA for IgM not lower than 67% may be acceptable if a larger number of samples are evaluated and the lower bounds of the 95% confidence intervals are higher than would be demonstrated in a clinical agreement study with 30 antibody positive and 75 antibody negative samples.</w:t>
      </w:r>
    </w:p>
    <w:p>
      <w:pPr>
        <w:pStyle w:val="BodyText"/>
        <w:spacing w:before="5"/>
        <w:rPr>
          <w:b/>
          <w:sz w:val="27"/>
        </w:rPr>
      </w:pPr>
    </w:p>
    <w:p>
      <w:pPr>
        <w:pStyle w:val="Heading5"/>
        <w:ind w:left="879" w:right="418"/>
        <w:jc w:val="both"/>
      </w:pPr>
      <w:r>
        <w:rPr/>
        <w:t>If</w:t>
      </w:r>
      <w:r>
        <w:rPr>
          <w:spacing w:val="-3"/>
        </w:rPr>
        <w:t> </w:t>
      </w:r>
      <w:r>
        <w:rPr/>
        <w:t>a</w:t>
      </w:r>
      <w:r>
        <w:rPr>
          <w:spacing w:val="-3"/>
        </w:rPr>
        <w:t> </w:t>
      </w:r>
      <w:r>
        <w:rPr/>
        <w:t>claim</w:t>
      </w:r>
      <w:r>
        <w:rPr>
          <w:spacing w:val="-3"/>
        </w:rPr>
        <w:t> </w:t>
      </w:r>
      <w:r>
        <w:rPr/>
        <w:t>for</w:t>
      </w:r>
      <w:r>
        <w:rPr>
          <w:spacing w:val="-3"/>
        </w:rPr>
        <w:t> </w:t>
      </w:r>
      <w:r>
        <w:rPr/>
        <w:t>fingerstick</w:t>
      </w:r>
      <w:r>
        <w:rPr>
          <w:spacing w:val="-3"/>
        </w:rPr>
        <w:t> </w:t>
      </w:r>
      <w:r>
        <w:rPr/>
        <w:t>is</w:t>
      </w:r>
      <w:r>
        <w:rPr>
          <w:spacing w:val="-3"/>
        </w:rPr>
        <w:t> </w:t>
      </w:r>
      <w:r>
        <w:rPr/>
        <w:t>desired,</w:t>
      </w:r>
      <w:r>
        <w:rPr>
          <w:spacing w:val="-2"/>
        </w:rPr>
        <w:t> </w:t>
      </w:r>
      <w:r>
        <w:rPr/>
        <w:t>we</w:t>
      </w:r>
      <w:r>
        <w:rPr>
          <w:spacing w:val="-3"/>
        </w:rPr>
        <w:t> </w:t>
      </w:r>
      <w:r>
        <w:rPr/>
        <w:t>believe</w:t>
      </w:r>
      <w:r>
        <w:rPr>
          <w:spacing w:val="-3"/>
        </w:rPr>
        <w:t> </w:t>
      </w:r>
      <w:r>
        <w:rPr/>
        <w:t>evaluating</w:t>
      </w:r>
      <w:r>
        <w:rPr>
          <w:spacing w:val="-3"/>
        </w:rPr>
        <w:t> </w:t>
      </w:r>
      <w:r>
        <w:rPr/>
        <w:t>a</w:t>
      </w:r>
      <w:r>
        <w:rPr>
          <w:spacing w:val="-3"/>
        </w:rPr>
        <w:t> </w:t>
      </w:r>
      <w:r>
        <w:rPr/>
        <w:t>minimum</w:t>
      </w:r>
      <w:r>
        <w:rPr>
          <w:spacing w:val="-3"/>
        </w:rPr>
        <w:t> </w:t>
      </w:r>
      <w:r>
        <w:rPr/>
        <w:t>of</w:t>
      </w:r>
      <w:r>
        <w:rPr>
          <w:spacing w:val="-3"/>
        </w:rPr>
        <w:t> </w:t>
      </w:r>
      <w:r>
        <w:rPr/>
        <w:t>30</w:t>
      </w:r>
      <w:r>
        <w:rPr>
          <w:spacing w:val="-3"/>
        </w:rPr>
        <w:t> </w:t>
      </w:r>
      <w:r>
        <w:rPr/>
        <w:t>positive and</w:t>
      </w:r>
      <w:r>
        <w:rPr>
          <w:spacing w:val="-4"/>
        </w:rPr>
        <w:t> </w:t>
      </w:r>
      <w:r>
        <w:rPr/>
        <w:t>30</w:t>
      </w:r>
      <w:r>
        <w:rPr>
          <w:spacing w:val="-3"/>
        </w:rPr>
        <w:t> </w:t>
      </w:r>
      <w:r>
        <w:rPr/>
        <w:t>negative</w:t>
      </w:r>
      <w:r>
        <w:rPr>
          <w:spacing w:val="-3"/>
        </w:rPr>
        <w:t> </w:t>
      </w:r>
      <w:r>
        <w:rPr/>
        <w:t>fingerstick</w:t>
      </w:r>
      <w:r>
        <w:rPr>
          <w:spacing w:val="-3"/>
        </w:rPr>
        <w:t> </w:t>
      </w:r>
      <w:r>
        <w:rPr/>
        <w:t>whole</w:t>
      </w:r>
      <w:r>
        <w:rPr>
          <w:spacing w:val="-3"/>
        </w:rPr>
        <w:t> </w:t>
      </w:r>
      <w:r>
        <w:rPr/>
        <w:t>blood</w:t>
      </w:r>
      <w:r>
        <w:rPr>
          <w:spacing w:val="-4"/>
        </w:rPr>
        <w:t> </w:t>
      </w:r>
      <w:r>
        <w:rPr/>
        <w:t>samples</w:t>
      </w:r>
      <w:r>
        <w:rPr>
          <w:spacing w:val="-3"/>
        </w:rPr>
        <w:t> </w:t>
      </w:r>
      <w:r>
        <w:rPr/>
        <w:t>may</w:t>
      </w:r>
      <w:r>
        <w:rPr>
          <w:spacing w:val="-3"/>
        </w:rPr>
        <w:t> </w:t>
      </w:r>
      <w:r>
        <w:rPr/>
        <w:t>be</w:t>
      </w:r>
      <w:r>
        <w:rPr>
          <w:spacing w:val="-3"/>
        </w:rPr>
        <w:t> </w:t>
      </w:r>
      <w:r>
        <w:rPr/>
        <w:t>acceptable</w:t>
      </w:r>
      <w:r>
        <w:rPr>
          <w:spacing w:val="-3"/>
        </w:rPr>
        <w:t> </w:t>
      </w:r>
      <w:r>
        <w:rPr/>
        <w:t>to</w:t>
      </w:r>
      <w:r>
        <w:rPr>
          <w:spacing w:val="-5"/>
        </w:rPr>
        <w:t> </w:t>
      </w:r>
      <w:r>
        <w:rPr/>
        <w:t>demonstrate clinical performance in fingerstick samples.</w:t>
      </w:r>
    </w:p>
    <w:p>
      <w:pPr>
        <w:pStyle w:val="BodyText"/>
        <w:spacing w:before="2"/>
        <w:rPr>
          <w:b/>
          <w:sz w:val="16"/>
        </w:rPr>
      </w:pPr>
    </w:p>
    <w:p>
      <w:pPr>
        <w:pStyle w:val="Heading6"/>
        <w:ind w:right="278"/>
      </w:pPr>
      <w:r>
        <w:rPr>
          <w:color w:val="000000"/>
          <w:shd w:fill="FFFF00" w:color="auto" w:val="clear"/>
        </w:rPr>
        <w:t>[Please specify how the samples were generated, collected, and sourced. Please also</w:t>
      </w:r>
      <w:r>
        <w:rPr>
          <w:color w:val="000000"/>
        </w:rPr>
        <w:t> </w:t>
      </w:r>
      <w:r>
        <w:rPr>
          <w:color w:val="000000"/>
          <w:shd w:fill="FFFF00" w:color="auto" w:val="clear"/>
        </w:rPr>
        <w:t>specify</w:t>
      </w:r>
      <w:r>
        <w:rPr>
          <w:color w:val="000000"/>
          <w:spacing w:val="-4"/>
          <w:shd w:fill="FFFF00" w:color="auto" w:val="clear"/>
        </w:rPr>
        <w:t> </w:t>
      </w:r>
      <w:r>
        <w:rPr>
          <w:color w:val="000000"/>
          <w:shd w:fill="FFFF00" w:color="auto" w:val="clear"/>
        </w:rPr>
        <w:t>if</w:t>
      </w:r>
      <w:r>
        <w:rPr>
          <w:color w:val="000000"/>
          <w:spacing w:val="-4"/>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samples</w:t>
      </w:r>
      <w:r>
        <w:rPr>
          <w:color w:val="000000"/>
          <w:spacing w:val="-4"/>
          <w:shd w:fill="FFFF00" w:color="auto" w:val="clear"/>
        </w:rPr>
        <w:t> </w:t>
      </w:r>
      <w:r>
        <w:rPr>
          <w:color w:val="000000"/>
          <w:shd w:fill="FFFF00" w:color="auto" w:val="clear"/>
        </w:rPr>
        <w:t>were</w:t>
      </w:r>
      <w:r>
        <w:rPr>
          <w:color w:val="000000"/>
          <w:spacing w:val="-4"/>
          <w:shd w:fill="FFFF00" w:color="auto" w:val="clear"/>
        </w:rPr>
        <w:t> </w:t>
      </w:r>
      <w:r>
        <w:rPr>
          <w:color w:val="000000"/>
          <w:shd w:fill="FFFF00" w:color="auto" w:val="clear"/>
        </w:rPr>
        <w:t>fully</w:t>
      </w:r>
      <w:r>
        <w:rPr>
          <w:color w:val="000000"/>
          <w:spacing w:val="-4"/>
          <w:shd w:fill="FFFF00" w:color="auto" w:val="clear"/>
        </w:rPr>
        <w:t> </w:t>
      </w:r>
      <w:r>
        <w:rPr>
          <w:color w:val="000000"/>
          <w:shd w:fill="FFFF00" w:color="auto" w:val="clear"/>
        </w:rPr>
        <w:t>prospective,</w:t>
      </w:r>
      <w:r>
        <w:rPr>
          <w:color w:val="000000"/>
          <w:spacing w:val="-4"/>
          <w:shd w:fill="FFFF00" w:color="auto" w:val="clear"/>
        </w:rPr>
        <w:t> </w:t>
      </w:r>
      <w:r>
        <w:rPr>
          <w:color w:val="000000"/>
          <w:shd w:fill="FFFF00" w:color="auto" w:val="clear"/>
        </w:rPr>
        <w:t>mix</w:t>
      </w:r>
      <w:r>
        <w:rPr>
          <w:color w:val="000000"/>
          <w:spacing w:val="-4"/>
          <w:shd w:fill="FFFF00" w:color="auto" w:val="clear"/>
        </w:rPr>
        <w:t> </w:t>
      </w:r>
      <w:r>
        <w:rPr>
          <w:color w:val="000000"/>
          <w:shd w:fill="FFFF00" w:color="auto" w:val="clear"/>
        </w:rPr>
        <w:t>of</w:t>
      </w:r>
      <w:r>
        <w:rPr>
          <w:color w:val="000000"/>
          <w:spacing w:val="-4"/>
          <w:shd w:fill="FFFF00" w:color="auto" w:val="clear"/>
        </w:rPr>
        <w:t> </w:t>
      </w:r>
      <w:r>
        <w:rPr>
          <w:color w:val="000000"/>
          <w:shd w:fill="FFFF00" w:color="auto" w:val="clear"/>
        </w:rPr>
        <w:t>prospective,</w:t>
      </w:r>
      <w:r>
        <w:rPr>
          <w:color w:val="000000"/>
          <w:spacing w:val="-6"/>
          <w:shd w:fill="FFFF00" w:color="auto" w:val="clear"/>
        </w:rPr>
        <w:t> </w:t>
      </w:r>
      <w:r>
        <w:rPr>
          <w:color w:val="000000"/>
          <w:shd w:fill="FFFF00" w:color="auto" w:val="clear"/>
        </w:rPr>
        <w:t>retrospective</w:t>
      </w:r>
      <w:r>
        <w:rPr>
          <w:color w:val="000000"/>
          <w:spacing w:val="-4"/>
          <w:shd w:fill="FFFF00" w:color="auto" w:val="clear"/>
        </w:rPr>
        <w:t> </w:t>
      </w:r>
      <w:r>
        <w:rPr>
          <w:color w:val="000000"/>
          <w:shd w:fill="FFFF00" w:color="auto" w:val="clear"/>
        </w:rPr>
        <w:t>and/or</w:t>
      </w:r>
      <w:r>
        <w:rPr>
          <w:color w:val="000000"/>
        </w:rPr>
        <w:t> </w:t>
      </w:r>
      <w:r>
        <w:rPr>
          <w:color w:val="000000"/>
          <w:shd w:fill="FFFF00" w:color="auto" w:val="clear"/>
        </w:rPr>
        <w:t>contrived. Please specify inclusion/exclusion criteria, collection and testing sites,</w:t>
      </w:r>
      <w:r>
        <w:rPr>
          <w:color w:val="000000"/>
        </w:rPr>
        <w:t> </w:t>
      </w:r>
      <w:r>
        <w:rPr>
          <w:color w:val="000000"/>
          <w:shd w:fill="FFFF00" w:color="auto" w:val="clear"/>
        </w:rPr>
        <w:t>number of samples collected and tested, and number of operators performing the</w:t>
      </w:r>
      <w:r>
        <w:rPr>
          <w:color w:val="000000"/>
        </w:rPr>
        <w:t> </w:t>
      </w:r>
      <w:r>
        <w:rPr>
          <w:color w:val="000000"/>
          <w:shd w:fill="FFFF00" w:color="auto" w:val="clear"/>
        </w:rPr>
        <w:t>testing, as available.]</w:t>
      </w:r>
    </w:p>
    <w:p>
      <w:pPr>
        <w:pStyle w:val="BodyText"/>
        <w:spacing w:before="2"/>
        <w:rPr>
          <w:rFonts w:ascii="TimesNewRomanPS-BoldItalicMT"/>
          <w:b/>
          <w:i/>
          <w:sz w:val="16"/>
        </w:rPr>
      </w:pPr>
    </w:p>
    <w:p>
      <w:pPr>
        <w:pStyle w:val="Heading6"/>
        <w:ind w:right="348"/>
      </w:pPr>
      <w:r>
        <w:rPr>
          <w:color w:val="000000"/>
          <w:shd w:fill="FFFF00" w:color="auto" w:val="clear"/>
        </w:rPr>
        <w:t>[Please clearly describe the data analysis methods used and provide the results from</w:t>
      </w:r>
      <w:r>
        <w:rPr>
          <w:color w:val="000000"/>
        </w:rPr>
        <w:t> </w:t>
      </w:r>
      <w:r>
        <w:rPr>
          <w:color w:val="000000"/>
          <w:shd w:fill="FFFF00" w:color="auto" w:val="clear"/>
        </w:rPr>
        <w:t>the study, including line data. We suggest calculating positive and negative percent</w:t>
      </w:r>
      <w:r>
        <w:rPr>
          <w:color w:val="000000"/>
        </w:rPr>
        <w:t> </w:t>
      </w:r>
      <w:r>
        <w:rPr>
          <w:color w:val="000000"/>
          <w:shd w:fill="FFFF00" w:color="auto" w:val="clear"/>
        </w:rPr>
        <w:t>agreement</w:t>
      </w:r>
      <w:r>
        <w:rPr>
          <w:color w:val="000000"/>
          <w:spacing w:val="-4"/>
          <w:shd w:fill="FFFF00" w:color="auto" w:val="clear"/>
        </w:rPr>
        <w:t> </w:t>
      </w:r>
      <w:r>
        <w:rPr>
          <w:color w:val="000000"/>
          <w:shd w:fill="FFFF00" w:color="auto" w:val="clear"/>
        </w:rPr>
        <w:t>between</w:t>
      </w:r>
      <w:r>
        <w:rPr>
          <w:color w:val="000000"/>
          <w:spacing w:val="-5"/>
          <w:shd w:fill="FFFF00" w:color="auto" w:val="clear"/>
        </w:rPr>
        <w:t> </w:t>
      </w:r>
      <w:r>
        <w:rPr>
          <w:color w:val="000000"/>
          <w:shd w:fill="FFFF00" w:color="auto" w:val="clear"/>
        </w:rPr>
        <w:t>the</w:t>
      </w:r>
      <w:r>
        <w:rPr>
          <w:color w:val="000000"/>
          <w:spacing w:val="-4"/>
          <w:shd w:fill="FFFF00" w:color="auto" w:val="clear"/>
        </w:rPr>
        <w:t> </w:t>
      </w:r>
      <w:r>
        <w:rPr>
          <w:color w:val="000000"/>
          <w:shd w:fill="FFFF00" w:color="auto" w:val="clear"/>
        </w:rPr>
        <w:t>candidate</w:t>
      </w:r>
      <w:r>
        <w:rPr>
          <w:color w:val="000000"/>
          <w:spacing w:val="-4"/>
          <w:shd w:fill="FFFF00" w:color="auto" w:val="clear"/>
        </w:rPr>
        <w:t> </w:t>
      </w:r>
      <w:r>
        <w:rPr>
          <w:color w:val="000000"/>
          <w:shd w:fill="FFFF00" w:color="auto" w:val="clear"/>
        </w:rPr>
        <w:t>device</w:t>
      </w:r>
      <w:r>
        <w:rPr>
          <w:color w:val="000000"/>
          <w:spacing w:val="-4"/>
          <w:shd w:fill="FFFF00" w:color="auto" w:val="clear"/>
        </w:rPr>
        <w:t> </w:t>
      </w:r>
      <w:r>
        <w:rPr>
          <w:color w:val="000000"/>
          <w:shd w:fill="FFFF00" w:color="auto" w:val="clear"/>
        </w:rPr>
        <w:t>and</w:t>
      </w:r>
      <w:r>
        <w:rPr>
          <w:color w:val="000000"/>
          <w:spacing w:val="-4"/>
          <w:shd w:fill="FFFF00" w:color="auto" w:val="clear"/>
        </w:rPr>
        <w:t> </w:t>
      </w:r>
      <w:r>
        <w:rPr>
          <w:color w:val="000000"/>
          <w:shd w:fill="FFFF00" w:color="auto" w:val="clear"/>
        </w:rPr>
        <w:t>the</w:t>
      </w:r>
      <w:r>
        <w:rPr>
          <w:color w:val="000000"/>
          <w:spacing w:val="-5"/>
          <w:shd w:fill="FFFF00" w:color="auto" w:val="clear"/>
        </w:rPr>
        <w:t> </w:t>
      </w:r>
      <w:r>
        <w:rPr>
          <w:color w:val="000000"/>
          <w:shd w:fill="FFFF00" w:color="auto" w:val="clear"/>
        </w:rPr>
        <w:t>comparator</w:t>
      </w:r>
      <w:r>
        <w:rPr>
          <w:color w:val="000000"/>
          <w:spacing w:val="-5"/>
          <w:shd w:fill="FFFF00" w:color="auto" w:val="clear"/>
        </w:rPr>
        <w:t> </w:t>
      </w:r>
      <w:r>
        <w:rPr>
          <w:color w:val="000000"/>
          <w:shd w:fill="FFFF00" w:color="auto" w:val="clear"/>
        </w:rPr>
        <w:t>method</w:t>
      </w:r>
      <w:r>
        <w:rPr>
          <w:color w:val="000000"/>
          <w:spacing w:val="-4"/>
          <w:shd w:fill="FFFF00" w:color="auto" w:val="clear"/>
        </w:rPr>
        <w:t> </w:t>
      </w:r>
      <w:r>
        <w:rPr>
          <w:color w:val="000000"/>
          <w:shd w:fill="FFFF00" w:color="auto" w:val="clear"/>
        </w:rPr>
        <w:t>results</w:t>
      </w:r>
      <w:r>
        <w:rPr>
          <w:color w:val="000000"/>
          <w:spacing w:val="-4"/>
          <w:shd w:fill="FFFF00" w:color="auto" w:val="clear"/>
        </w:rPr>
        <w:t> </w:t>
      </w:r>
      <w:r>
        <w:rPr>
          <w:color w:val="000000"/>
          <w:shd w:fill="FFFF00" w:color="auto" w:val="clear"/>
        </w:rPr>
        <w:t>separately</w:t>
      </w:r>
      <w:r>
        <w:rPr>
          <w:color w:val="000000"/>
        </w:rPr>
        <w:t> </w:t>
      </w:r>
      <w:r>
        <w:rPr>
          <w:color w:val="000000"/>
          <w:shd w:fill="FFFF00" w:color="auto" w:val="clear"/>
        </w:rPr>
        <w:t>for each claimed matrix, using 2 x 2 tables as follows:</w:t>
      </w:r>
    </w:p>
    <w:p>
      <w:pPr>
        <w:pStyle w:val="BodyText"/>
        <w:spacing w:before="3"/>
        <w:rPr>
          <w:rFonts w:ascii="TimesNewRomanPS-BoldItalicMT"/>
          <w:b/>
          <w:i/>
          <w:sz w:val="11"/>
        </w:rPr>
      </w:pPr>
    </w:p>
    <w:tbl>
      <w:tblPr>
        <w:tblW w:w="0" w:type="auto"/>
        <w:jc w:val="left"/>
        <w:tblInd w:w="1174" w:type="dxa"/>
        <w:tblBorders>
          <w:top w:val="double" w:sz="4" w:space="0" w:color="000000"/>
          <w:left w:val="double" w:sz="4" w:space="0" w:color="000000"/>
          <w:bottom w:val="double" w:sz="4" w:space="0" w:color="000000"/>
          <w:right w:val="double" w:sz="4" w:space="0" w:color="000000"/>
          <w:insideH w:val="double" w:sz="4" w:space="0" w:color="000000"/>
          <w:insideV w:val="double" w:sz="4" w:space="0" w:color="000000"/>
        </w:tblBorders>
        <w:tblLayout w:type="fixed"/>
        <w:tblCellMar>
          <w:top w:w="0" w:type="dxa"/>
          <w:left w:w="0" w:type="dxa"/>
          <w:bottom w:w="0" w:type="dxa"/>
          <w:right w:w="0" w:type="dxa"/>
        </w:tblCellMar>
        <w:tblLook w:val="01E0"/>
      </w:tblPr>
      <w:tblGrid>
        <w:gridCol w:w="1105"/>
        <w:gridCol w:w="1595"/>
        <w:gridCol w:w="2160"/>
        <w:gridCol w:w="2250"/>
      </w:tblGrid>
      <w:tr>
        <w:trPr>
          <w:trHeight w:val="440" w:hRule="atLeast"/>
        </w:trPr>
        <w:tc>
          <w:tcPr>
            <w:tcW w:w="1105" w:type="dxa"/>
            <w:tcBorders>
              <w:bottom w:val="single" w:sz="4" w:space="0" w:color="000000"/>
              <w:right w:val="single" w:sz="4" w:space="0" w:color="000000"/>
            </w:tcBorders>
          </w:tcPr>
          <w:p>
            <w:pPr>
              <w:pStyle w:val="TableParagraph"/>
              <w:jc w:val="left"/>
              <w:rPr>
                <w:sz w:val="24"/>
              </w:rPr>
            </w:pPr>
          </w:p>
        </w:tc>
        <w:tc>
          <w:tcPr>
            <w:tcW w:w="6005" w:type="dxa"/>
            <w:gridSpan w:val="3"/>
            <w:tcBorders>
              <w:left w:val="single" w:sz="4" w:space="0" w:color="000000"/>
              <w:bottom w:val="single" w:sz="4" w:space="0" w:color="000000"/>
            </w:tcBorders>
          </w:tcPr>
          <w:p>
            <w:pPr>
              <w:pStyle w:val="TableParagraph"/>
              <w:spacing w:before="82"/>
              <w:ind w:left="1178"/>
              <w:jc w:val="left"/>
              <w:rPr>
                <w:rFonts w:ascii="TimesNewRomanPS-BoldItalicMT"/>
                <w:b/>
                <w:i/>
                <w:sz w:val="24"/>
              </w:rPr>
            </w:pPr>
            <w:r>
              <w:rPr>
                <w:rFonts w:ascii="TimesNewRomanPS-BoldItalicMT"/>
                <w:b/>
                <w:i/>
                <w:color w:val="000000"/>
                <w:sz w:val="24"/>
                <w:shd w:fill="FFFF00" w:color="auto" w:val="clear"/>
              </w:rPr>
              <w:t>Comparator</w:t>
            </w:r>
            <w:r>
              <w:rPr>
                <w:rFonts w:ascii="TimesNewRomanPS-BoldItalicMT"/>
                <w:b/>
                <w:i/>
                <w:color w:val="000000"/>
                <w:spacing w:val="-4"/>
                <w:sz w:val="24"/>
                <w:shd w:fill="FFFF00" w:color="auto" w:val="clear"/>
              </w:rPr>
              <w:t> </w:t>
            </w:r>
            <w:r>
              <w:rPr>
                <w:rFonts w:ascii="TimesNewRomanPS-BoldItalicMT"/>
                <w:b/>
                <w:i/>
                <w:color w:val="000000"/>
                <w:sz w:val="24"/>
                <w:shd w:fill="FFFF00" w:color="auto" w:val="clear"/>
              </w:rPr>
              <w:t>method/Clinical</w:t>
            </w:r>
            <w:r>
              <w:rPr>
                <w:rFonts w:ascii="TimesNewRomanPS-BoldItalicMT"/>
                <w:b/>
                <w:i/>
                <w:color w:val="000000"/>
                <w:spacing w:val="-3"/>
                <w:sz w:val="24"/>
                <w:shd w:fill="FFFF00" w:color="auto" w:val="clear"/>
              </w:rPr>
              <w:t> </w:t>
            </w:r>
            <w:r>
              <w:rPr>
                <w:rFonts w:ascii="TimesNewRomanPS-BoldItalicMT"/>
                <w:b/>
                <w:i/>
                <w:color w:val="000000"/>
                <w:spacing w:val="-4"/>
                <w:sz w:val="24"/>
                <w:shd w:fill="FFFF00" w:color="auto" w:val="clear"/>
              </w:rPr>
              <w:t>truth</w:t>
            </w:r>
          </w:p>
        </w:tc>
      </w:tr>
      <w:tr>
        <w:trPr>
          <w:trHeight w:val="393" w:hRule="atLeast"/>
        </w:trPr>
        <w:tc>
          <w:tcPr>
            <w:tcW w:w="1105" w:type="dxa"/>
            <w:vMerge w:val="restart"/>
            <w:tcBorders>
              <w:top w:val="single" w:sz="4" w:space="0" w:color="000000"/>
              <w:right w:val="single" w:sz="4" w:space="0" w:color="000000"/>
            </w:tcBorders>
            <w:textDirection w:val="btLr"/>
          </w:tcPr>
          <w:p>
            <w:pPr>
              <w:pStyle w:val="TableParagraph"/>
              <w:spacing w:before="10"/>
              <w:jc w:val="left"/>
              <w:rPr>
                <w:rFonts w:ascii="TimesNewRomanPS-BoldItalicMT"/>
                <w:b/>
                <w:i/>
                <w:sz w:val="22"/>
              </w:rPr>
            </w:pPr>
          </w:p>
          <w:p>
            <w:pPr>
              <w:pStyle w:val="TableParagraph"/>
              <w:spacing w:line="247" w:lineRule="auto"/>
              <w:ind w:left="608" w:right="353" w:firstLine="86"/>
              <w:jc w:val="left"/>
              <w:rPr>
                <w:rFonts w:ascii="TimesNewRomanPS-BoldItalicMT"/>
                <w:b/>
                <w:i/>
                <w:sz w:val="24"/>
              </w:rPr>
            </w:pPr>
            <w:r>
              <w:rPr>
                <w:rFonts w:ascii="TimesNewRomanPS-BoldItalicMT"/>
                <w:b/>
                <w:i/>
                <w:color w:val="000000"/>
                <w:spacing w:val="-4"/>
                <w:sz w:val="24"/>
                <w:shd w:fill="FFFF00" w:color="auto" w:val="clear"/>
              </w:rPr>
              <w:t>Your</w:t>
            </w:r>
            <w:r>
              <w:rPr>
                <w:rFonts w:ascii="TimesNewRomanPS-BoldItalicMT"/>
                <w:b/>
                <w:i/>
                <w:color w:val="000000"/>
                <w:spacing w:val="-4"/>
                <w:sz w:val="24"/>
              </w:rPr>
              <w:t> </w:t>
            </w:r>
            <w:r>
              <w:rPr>
                <w:rFonts w:ascii="TimesNewRomanPS-BoldItalicMT"/>
                <w:b/>
                <w:i/>
                <w:color w:val="000000"/>
                <w:spacing w:val="-2"/>
                <w:sz w:val="24"/>
                <w:shd w:fill="FFFF00" w:color="auto" w:val="clear"/>
              </w:rPr>
              <w:t>Device</w:t>
            </w:r>
          </w:p>
        </w:tc>
        <w:tc>
          <w:tcPr>
            <w:tcW w:w="1595" w:type="dxa"/>
            <w:tcBorders>
              <w:top w:val="single" w:sz="4" w:space="0" w:color="000000"/>
              <w:left w:val="single" w:sz="4" w:space="0" w:color="000000"/>
              <w:bottom w:val="single" w:sz="4" w:space="0" w:color="000000"/>
              <w:right w:val="single" w:sz="4" w:space="0" w:color="000000"/>
            </w:tcBorders>
          </w:tcPr>
          <w:p>
            <w:pPr>
              <w:pStyle w:val="TableParagraph"/>
              <w:jc w:val="left"/>
              <w:rPr>
                <w:sz w:val="24"/>
              </w:rPr>
            </w:pPr>
          </w:p>
        </w:tc>
        <w:tc>
          <w:tcPr>
            <w:tcW w:w="2160" w:type="dxa"/>
            <w:tcBorders>
              <w:top w:val="single" w:sz="4" w:space="0" w:color="000000"/>
              <w:left w:val="single" w:sz="4" w:space="0" w:color="000000"/>
              <w:bottom w:val="single" w:sz="4" w:space="0" w:color="000000"/>
              <w:right w:val="single" w:sz="4" w:space="0" w:color="000000"/>
            </w:tcBorders>
          </w:tcPr>
          <w:p>
            <w:pPr>
              <w:pStyle w:val="TableParagraph"/>
              <w:spacing w:before="63"/>
              <w:ind w:left="680" w:right="312"/>
              <w:rPr>
                <w:rFonts w:ascii="TimesNewRomanPS-BoldItalicMT"/>
                <w:b/>
                <w:i/>
                <w:sz w:val="24"/>
              </w:rPr>
            </w:pPr>
            <w:r>
              <w:rPr>
                <w:rFonts w:ascii="TimesNewRomanPS-BoldItalicMT"/>
                <w:b/>
                <w:i/>
                <w:color w:val="000000"/>
                <w:spacing w:val="-2"/>
                <w:sz w:val="24"/>
                <w:shd w:fill="FFFF00" w:color="auto" w:val="clear"/>
              </w:rPr>
              <w:t>Positive</w:t>
            </w:r>
          </w:p>
        </w:tc>
        <w:tc>
          <w:tcPr>
            <w:tcW w:w="2250" w:type="dxa"/>
            <w:tcBorders>
              <w:top w:val="single" w:sz="4" w:space="0" w:color="000000"/>
              <w:left w:val="single" w:sz="4" w:space="0" w:color="000000"/>
              <w:bottom w:val="single" w:sz="4" w:space="0" w:color="000000"/>
            </w:tcBorders>
          </w:tcPr>
          <w:p>
            <w:pPr>
              <w:pStyle w:val="TableParagraph"/>
              <w:spacing w:before="63"/>
              <w:ind w:left="379"/>
              <w:rPr>
                <w:rFonts w:ascii="TimesNewRomanPS-BoldItalicMT"/>
                <w:b/>
                <w:i/>
                <w:sz w:val="24"/>
              </w:rPr>
            </w:pPr>
            <w:r>
              <w:rPr>
                <w:rFonts w:ascii="TimesNewRomanPS-BoldItalicMT"/>
                <w:b/>
                <w:i/>
                <w:color w:val="000000"/>
                <w:spacing w:val="-2"/>
                <w:sz w:val="24"/>
                <w:shd w:fill="FFFF00" w:color="auto" w:val="clear"/>
              </w:rPr>
              <w:t>Negative</w:t>
            </w:r>
          </w:p>
        </w:tc>
      </w:tr>
      <w:tr>
        <w:trPr>
          <w:trHeight w:val="510" w:hRule="atLeast"/>
        </w:trPr>
        <w:tc>
          <w:tcPr>
            <w:tcW w:w="1105" w:type="dxa"/>
            <w:vMerge/>
            <w:tcBorders>
              <w:top w:val="nil"/>
              <w:right w:val="single" w:sz="4" w:space="0" w:color="000000"/>
            </w:tcBorders>
            <w:textDirection w:val="btLr"/>
          </w:tcPr>
          <w:p>
            <w:pPr>
              <w:rPr>
                <w:sz w:val="2"/>
                <w:szCs w:val="2"/>
              </w:rPr>
            </w:pPr>
          </w:p>
        </w:tc>
        <w:tc>
          <w:tcPr>
            <w:tcW w:w="1595" w:type="dxa"/>
            <w:tcBorders>
              <w:top w:val="single" w:sz="4" w:space="0" w:color="000000"/>
              <w:left w:val="single" w:sz="4" w:space="0" w:color="000000"/>
              <w:bottom w:val="single" w:sz="4" w:space="0" w:color="000000"/>
              <w:right w:val="single" w:sz="4" w:space="0" w:color="000000"/>
            </w:tcBorders>
          </w:tcPr>
          <w:p>
            <w:pPr>
              <w:pStyle w:val="TableParagraph"/>
              <w:spacing w:before="117"/>
              <w:ind w:right="218"/>
              <w:jc w:val="right"/>
              <w:rPr>
                <w:rFonts w:ascii="TimesNewRomanPS-BoldItalicMT"/>
                <w:b/>
                <w:i/>
                <w:sz w:val="24"/>
              </w:rPr>
            </w:pPr>
            <w:r>
              <w:rPr>
                <w:rFonts w:ascii="TimesNewRomanPS-BoldItalicMT"/>
                <w:b/>
                <w:i/>
                <w:color w:val="000000"/>
                <w:spacing w:val="-2"/>
                <w:sz w:val="24"/>
                <w:shd w:fill="FFFF00" w:color="auto" w:val="clear"/>
              </w:rPr>
              <w:t>Positive</w:t>
            </w:r>
          </w:p>
        </w:tc>
        <w:tc>
          <w:tcPr>
            <w:tcW w:w="2160" w:type="dxa"/>
            <w:tcBorders>
              <w:top w:val="single" w:sz="4" w:space="0" w:color="000000"/>
              <w:left w:val="single" w:sz="4" w:space="0" w:color="000000"/>
              <w:bottom w:val="single" w:sz="4" w:space="0" w:color="000000"/>
              <w:right w:val="single" w:sz="4" w:space="0" w:color="000000"/>
            </w:tcBorders>
          </w:tcPr>
          <w:p>
            <w:pPr>
              <w:pStyle w:val="TableParagraph"/>
              <w:spacing w:before="117"/>
              <w:ind w:left="368"/>
              <w:rPr>
                <w:rFonts w:ascii="TimesNewRomanPS-BoldItalicMT"/>
                <w:b/>
                <w:i/>
                <w:sz w:val="24"/>
              </w:rPr>
            </w:pPr>
            <w:r>
              <w:rPr>
                <w:rFonts w:ascii="TimesNewRomanPS-BoldItalicMT"/>
                <w:b/>
                <w:i/>
                <w:color w:val="000000"/>
                <w:sz w:val="24"/>
                <w:shd w:fill="FFFF00" w:color="auto" w:val="clear"/>
              </w:rPr>
              <w:t>A</w:t>
            </w:r>
          </w:p>
        </w:tc>
        <w:tc>
          <w:tcPr>
            <w:tcW w:w="2250" w:type="dxa"/>
            <w:tcBorders>
              <w:top w:val="single" w:sz="4" w:space="0" w:color="000000"/>
              <w:left w:val="single" w:sz="4" w:space="0" w:color="000000"/>
              <w:bottom w:val="single" w:sz="4" w:space="0" w:color="000000"/>
            </w:tcBorders>
          </w:tcPr>
          <w:p>
            <w:pPr>
              <w:pStyle w:val="TableParagraph"/>
              <w:spacing w:before="117"/>
              <w:ind w:left="380"/>
              <w:rPr>
                <w:rFonts w:ascii="TimesNewRomanPS-BoldItalicMT"/>
                <w:b/>
                <w:i/>
                <w:sz w:val="24"/>
              </w:rPr>
            </w:pPr>
            <w:r>
              <w:rPr>
                <w:rFonts w:ascii="TimesNewRomanPS-BoldItalicMT"/>
                <w:b/>
                <w:i/>
                <w:color w:val="000000"/>
                <w:sz w:val="24"/>
                <w:shd w:fill="FFFF00" w:color="auto" w:val="clear"/>
              </w:rPr>
              <w:t>B</w:t>
            </w:r>
          </w:p>
        </w:tc>
      </w:tr>
      <w:tr>
        <w:trPr>
          <w:trHeight w:val="673" w:hRule="atLeast"/>
        </w:trPr>
        <w:tc>
          <w:tcPr>
            <w:tcW w:w="1105" w:type="dxa"/>
            <w:vMerge/>
            <w:tcBorders>
              <w:top w:val="nil"/>
              <w:right w:val="single" w:sz="4" w:space="0" w:color="000000"/>
            </w:tcBorders>
            <w:textDirection w:val="btLr"/>
          </w:tcPr>
          <w:p>
            <w:pPr>
              <w:rPr>
                <w:sz w:val="2"/>
                <w:szCs w:val="2"/>
              </w:rPr>
            </w:pPr>
          </w:p>
        </w:tc>
        <w:tc>
          <w:tcPr>
            <w:tcW w:w="1595" w:type="dxa"/>
            <w:tcBorders>
              <w:top w:val="single" w:sz="4" w:space="0" w:color="000000"/>
              <w:left w:val="single" w:sz="4" w:space="0" w:color="000000"/>
              <w:right w:val="single" w:sz="4" w:space="0" w:color="000000"/>
            </w:tcBorders>
          </w:tcPr>
          <w:p>
            <w:pPr>
              <w:pStyle w:val="TableParagraph"/>
              <w:spacing w:before="193"/>
              <w:ind w:right="172"/>
              <w:jc w:val="right"/>
              <w:rPr>
                <w:rFonts w:ascii="TimesNewRomanPS-BoldItalicMT"/>
                <w:b/>
                <w:i/>
                <w:sz w:val="24"/>
              </w:rPr>
            </w:pPr>
            <w:r>
              <w:rPr>
                <w:rFonts w:ascii="TimesNewRomanPS-BoldItalicMT"/>
                <w:b/>
                <w:i/>
                <w:color w:val="000000"/>
                <w:spacing w:val="-2"/>
                <w:sz w:val="24"/>
                <w:shd w:fill="FFFF00" w:color="auto" w:val="clear"/>
              </w:rPr>
              <w:t>Negative</w:t>
            </w:r>
          </w:p>
        </w:tc>
        <w:tc>
          <w:tcPr>
            <w:tcW w:w="2160" w:type="dxa"/>
            <w:tcBorders>
              <w:top w:val="single" w:sz="4" w:space="0" w:color="000000"/>
              <w:left w:val="single" w:sz="4" w:space="0" w:color="000000"/>
              <w:right w:val="single" w:sz="4" w:space="0" w:color="000000"/>
            </w:tcBorders>
          </w:tcPr>
          <w:p>
            <w:pPr>
              <w:pStyle w:val="TableParagraph"/>
              <w:spacing w:before="193"/>
              <w:ind w:left="368"/>
              <w:rPr>
                <w:rFonts w:ascii="TimesNewRomanPS-BoldItalicMT"/>
                <w:b/>
                <w:i/>
                <w:sz w:val="24"/>
              </w:rPr>
            </w:pPr>
            <w:r>
              <w:rPr>
                <w:rFonts w:ascii="TimesNewRomanPS-BoldItalicMT"/>
                <w:b/>
                <w:i/>
                <w:color w:val="000000"/>
                <w:sz w:val="24"/>
                <w:shd w:fill="FFFF00" w:color="auto" w:val="clear"/>
              </w:rPr>
              <w:t>C</w:t>
            </w:r>
          </w:p>
        </w:tc>
        <w:tc>
          <w:tcPr>
            <w:tcW w:w="2250" w:type="dxa"/>
            <w:tcBorders>
              <w:top w:val="single" w:sz="4" w:space="0" w:color="000000"/>
              <w:left w:val="single" w:sz="4" w:space="0" w:color="000000"/>
            </w:tcBorders>
          </w:tcPr>
          <w:p>
            <w:pPr>
              <w:pStyle w:val="TableParagraph"/>
              <w:spacing w:before="193"/>
              <w:ind w:left="378"/>
              <w:rPr>
                <w:rFonts w:ascii="TimesNewRomanPS-BoldItalicMT"/>
                <w:b/>
                <w:i/>
                <w:sz w:val="24"/>
              </w:rPr>
            </w:pPr>
            <w:r>
              <w:rPr>
                <w:rFonts w:ascii="TimesNewRomanPS-BoldItalicMT"/>
                <w:b/>
                <w:i/>
                <w:color w:val="000000"/>
                <w:sz w:val="24"/>
                <w:shd w:fill="FFFF00" w:color="auto" w:val="clear"/>
              </w:rPr>
              <w:t>D</w:t>
            </w:r>
          </w:p>
        </w:tc>
      </w:tr>
    </w:tbl>
    <w:p>
      <w:pPr>
        <w:pStyle w:val="BodyText"/>
        <w:spacing w:before="3"/>
        <w:rPr>
          <w:rFonts w:ascii="TimesNewRomanPS-BoldItalicMT"/>
          <w:b/>
          <w:i/>
          <w:sz w:val="23"/>
        </w:rPr>
      </w:pPr>
    </w:p>
    <w:p>
      <w:pPr>
        <w:pStyle w:val="Heading6"/>
        <w:tabs>
          <w:tab w:pos="4479" w:val="left" w:leader="none"/>
        </w:tabs>
        <w:spacing w:before="0"/>
        <w:ind w:right="3981"/>
      </w:pPr>
      <w:r>
        <w:rPr>
          <w:color w:val="000000"/>
          <w:shd w:fill="FFFF00" w:color="auto" w:val="clear"/>
        </w:rPr>
        <w:t>Percent Positive Agreement</w:t>
      </w:r>
      <w:r>
        <w:rPr>
          <w:color w:val="000000"/>
          <w:spacing w:val="80"/>
          <w:shd w:fill="FFFF00" w:color="auto" w:val="clear"/>
        </w:rPr>
        <w:t> </w:t>
      </w:r>
      <w:r>
        <w:rPr>
          <w:color w:val="000000"/>
          <w:shd w:fill="FFFF00" w:color="auto" w:val="clear"/>
        </w:rPr>
        <w:t>=</w:t>
        <w:tab/>
        <w:t>A/(A</w:t>
      </w:r>
      <w:r>
        <w:rPr>
          <w:color w:val="000000"/>
          <w:spacing w:val="-10"/>
          <w:shd w:fill="FFFF00" w:color="auto" w:val="clear"/>
        </w:rPr>
        <w:t> </w:t>
      </w:r>
      <w:r>
        <w:rPr>
          <w:color w:val="000000"/>
          <w:shd w:fill="FFFF00" w:color="auto" w:val="clear"/>
        </w:rPr>
        <w:t>+</w:t>
      </w:r>
      <w:r>
        <w:rPr>
          <w:color w:val="000000"/>
          <w:spacing w:val="-10"/>
          <w:shd w:fill="FFFF00" w:color="auto" w:val="clear"/>
        </w:rPr>
        <w:t> </w:t>
      </w:r>
      <w:r>
        <w:rPr>
          <w:color w:val="000000"/>
          <w:shd w:fill="FFFF00" w:color="auto" w:val="clear"/>
        </w:rPr>
        <w:t>C)</w:t>
      </w:r>
      <w:r>
        <w:rPr>
          <w:color w:val="000000"/>
          <w:spacing w:val="40"/>
          <w:shd w:fill="FFFF00" w:color="auto" w:val="clear"/>
        </w:rPr>
        <w:t> </w:t>
      </w:r>
      <w:r>
        <w:rPr>
          <w:color w:val="000000"/>
          <w:shd w:fill="FFFF00" w:color="auto" w:val="clear"/>
        </w:rPr>
        <w:t>or</w:t>
      </w:r>
      <w:r>
        <w:rPr>
          <w:color w:val="000000"/>
        </w:rPr>
        <w:t> </w:t>
      </w:r>
      <w:r>
        <w:rPr>
          <w:color w:val="000000"/>
          <w:shd w:fill="FFFF00" w:color="auto" w:val="clear"/>
        </w:rPr>
        <w:t>True</w:t>
      </w:r>
      <w:r>
        <w:rPr>
          <w:color w:val="000000"/>
          <w:spacing w:val="-3"/>
          <w:shd w:fill="FFFF00" w:color="auto" w:val="clear"/>
        </w:rPr>
        <w:t> </w:t>
      </w:r>
      <w:r>
        <w:rPr>
          <w:color w:val="000000"/>
          <w:shd w:fill="FFFF00" w:color="auto" w:val="clear"/>
        </w:rPr>
        <w:t>Positives/(True</w:t>
      </w:r>
      <w:r>
        <w:rPr>
          <w:color w:val="000000"/>
          <w:spacing w:val="-3"/>
          <w:shd w:fill="FFFF00" w:color="auto" w:val="clear"/>
        </w:rPr>
        <w:t> </w:t>
      </w:r>
      <w:r>
        <w:rPr>
          <w:color w:val="000000"/>
          <w:shd w:fill="FFFF00" w:color="auto" w:val="clear"/>
        </w:rPr>
        <w:t>Positives</w:t>
      </w:r>
      <w:r>
        <w:rPr>
          <w:color w:val="000000"/>
          <w:spacing w:val="-2"/>
          <w:shd w:fill="FFFF00" w:color="auto" w:val="clear"/>
        </w:rPr>
        <w:t> </w:t>
      </w:r>
      <w:r>
        <w:rPr>
          <w:color w:val="000000"/>
          <w:shd w:fill="FFFF00" w:color="auto" w:val="clear"/>
        </w:rPr>
        <w:t>+</w:t>
      </w:r>
      <w:r>
        <w:rPr>
          <w:color w:val="000000"/>
          <w:spacing w:val="-3"/>
          <w:shd w:fill="FFFF00" w:color="auto" w:val="clear"/>
        </w:rPr>
        <w:t> </w:t>
      </w:r>
      <w:r>
        <w:rPr>
          <w:color w:val="000000"/>
          <w:shd w:fill="FFFF00" w:color="auto" w:val="clear"/>
        </w:rPr>
        <w:t>False</w:t>
      </w:r>
      <w:r>
        <w:rPr>
          <w:color w:val="000000"/>
          <w:spacing w:val="-2"/>
          <w:shd w:fill="FFFF00" w:color="auto" w:val="clear"/>
        </w:rPr>
        <w:t> Negatives)</w:t>
      </w:r>
    </w:p>
    <w:p>
      <w:pPr>
        <w:pStyle w:val="BodyText"/>
        <w:spacing w:before="2"/>
        <w:rPr>
          <w:rFonts w:ascii="TimesNewRomanPS-BoldItalicMT"/>
          <w:b/>
          <w:i/>
          <w:sz w:val="16"/>
        </w:rPr>
      </w:pPr>
    </w:p>
    <w:p>
      <w:pPr>
        <w:pStyle w:val="Heading6"/>
        <w:tabs>
          <w:tab w:pos="4479" w:val="left" w:leader="none"/>
        </w:tabs>
      </w:pPr>
      <w:r>
        <w:rPr>
          <w:color w:val="000000"/>
          <w:shd w:fill="FFFF00" w:color="auto" w:val="clear"/>
        </w:rPr>
        <w:t>Negative</w:t>
      </w:r>
      <w:r>
        <w:rPr>
          <w:color w:val="000000"/>
          <w:spacing w:val="-4"/>
          <w:shd w:fill="FFFF00" w:color="auto" w:val="clear"/>
        </w:rPr>
        <w:t> </w:t>
      </w:r>
      <w:r>
        <w:rPr>
          <w:color w:val="000000"/>
          <w:shd w:fill="FFFF00" w:color="auto" w:val="clear"/>
        </w:rPr>
        <w:t>Percent</w:t>
      </w:r>
      <w:r>
        <w:rPr>
          <w:color w:val="000000"/>
          <w:spacing w:val="-2"/>
          <w:shd w:fill="FFFF00" w:color="auto" w:val="clear"/>
        </w:rPr>
        <w:t> </w:t>
      </w:r>
      <w:r>
        <w:rPr>
          <w:color w:val="000000"/>
          <w:shd w:fill="FFFF00" w:color="auto" w:val="clear"/>
        </w:rPr>
        <w:t>Agreement</w:t>
      </w:r>
      <w:r>
        <w:rPr>
          <w:color w:val="000000"/>
          <w:spacing w:val="57"/>
          <w:shd w:fill="FFFF00" w:color="auto" w:val="clear"/>
        </w:rPr>
        <w:t> </w:t>
      </w:r>
      <w:r>
        <w:rPr>
          <w:color w:val="000000"/>
          <w:spacing w:val="-10"/>
          <w:shd w:fill="FFFF00" w:color="auto" w:val="clear"/>
        </w:rPr>
        <w:t>=</w:t>
      </w:r>
      <w:r>
        <w:rPr>
          <w:color w:val="000000"/>
          <w:shd w:fill="FFFF00" w:color="auto" w:val="clear"/>
        </w:rPr>
        <w:tab/>
        <w:t>D/(B</w:t>
      </w:r>
      <w:r>
        <w:rPr>
          <w:color w:val="000000"/>
          <w:spacing w:val="-4"/>
          <w:shd w:fill="FFFF00" w:color="auto" w:val="clear"/>
        </w:rPr>
        <w:t> </w:t>
      </w:r>
      <w:r>
        <w:rPr>
          <w:color w:val="000000"/>
          <w:shd w:fill="FFFF00" w:color="auto" w:val="clear"/>
        </w:rPr>
        <w:t>+</w:t>
      </w:r>
      <w:r>
        <w:rPr>
          <w:color w:val="000000"/>
          <w:spacing w:val="-1"/>
          <w:shd w:fill="FFFF00" w:color="auto" w:val="clear"/>
        </w:rPr>
        <w:t> </w:t>
      </w:r>
      <w:r>
        <w:rPr>
          <w:color w:val="000000"/>
          <w:shd w:fill="FFFF00" w:color="auto" w:val="clear"/>
        </w:rPr>
        <w:t>D) </w:t>
      </w:r>
      <w:r>
        <w:rPr>
          <w:color w:val="000000"/>
          <w:spacing w:val="-5"/>
          <w:shd w:fill="FFFF00" w:color="auto" w:val="clear"/>
        </w:rPr>
        <w:t>or</w:t>
      </w:r>
    </w:p>
    <w:p>
      <w:pPr>
        <w:pStyle w:val="Heading6"/>
        <w:tabs>
          <w:tab w:pos="3759" w:val="left" w:leader="none"/>
        </w:tabs>
        <w:spacing w:before="0"/>
      </w:pPr>
      <w:r>
        <w:rPr>
          <w:color w:val="000000"/>
          <w:shd w:fill="FFFF00" w:color="auto" w:val="clear"/>
        </w:rPr>
        <w:tab/>
        <w:t>True</w:t>
      </w:r>
      <w:r>
        <w:rPr>
          <w:color w:val="000000"/>
          <w:spacing w:val="-5"/>
          <w:shd w:fill="FFFF00" w:color="auto" w:val="clear"/>
        </w:rPr>
        <w:t> </w:t>
      </w:r>
      <w:r>
        <w:rPr>
          <w:color w:val="000000"/>
          <w:shd w:fill="FFFF00" w:color="auto" w:val="clear"/>
        </w:rPr>
        <w:t>Negatives/(True</w:t>
      </w:r>
      <w:r>
        <w:rPr>
          <w:color w:val="000000"/>
          <w:spacing w:val="-2"/>
          <w:shd w:fill="FFFF00" w:color="auto" w:val="clear"/>
        </w:rPr>
        <w:t> </w:t>
      </w:r>
      <w:r>
        <w:rPr>
          <w:color w:val="000000"/>
          <w:shd w:fill="FFFF00" w:color="auto" w:val="clear"/>
        </w:rPr>
        <w:t>Negatives</w:t>
      </w:r>
      <w:r>
        <w:rPr>
          <w:color w:val="000000"/>
          <w:spacing w:val="-3"/>
          <w:shd w:fill="FFFF00" w:color="auto" w:val="clear"/>
        </w:rPr>
        <w:t> </w:t>
      </w:r>
      <w:r>
        <w:rPr>
          <w:color w:val="000000"/>
          <w:shd w:fill="FFFF00" w:color="auto" w:val="clear"/>
        </w:rPr>
        <w:t>+</w:t>
      </w:r>
      <w:r>
        <w:rPr>
          <w:color w:val="000000"/>
          <w:spacing w:val="-2"/>
          <w:shd w:fill="FFFF00" w:color="auto" w:val="clear"/>
        </w:rPr>
        <w:t> </w:t>
      </w:r>
      <w:r>
        <w:rPr>
          <w:color w:val="000000"/>
          <w:shd w:fill="FFFF00" w:color="auto" w:val="clear"/>
        </w:rPr>
        <w:t>False</w:t>
      </w:r>
      <w:r>
        <w:rPr>
          <w:color w:val="000000"/>
          <w:spacing w:val="-2"/>
          <w:shd w:fill="FFFF00" w:color="auto" w:val="clear"/>
        </w:rPr>
        <w:t> positives)</w:t>
      </w:r>
    </w:p>
    <w:p>
      <w:pPr>
        <w:pStyle w:val="BodyText"/>
        <w:spacing w:before="2"/>
        <w:rPr>
          <w:rFonts w:ascii="TimesNewRomanPS-BoldItalicMT"/>
          <w:b/>
          <w:i/>
          <w:sz w:val="16"/>
        </w:rPr>
      </w:pPr>
    </w:p>
    <w:p>
      <w:pPr>
        <w:pStyle w:val="Heading6"/>
        <w:ind w:right="278"/>
      </w:pPr>
      <w:r>
        <w:rPr>
          <w:color w:val="000000"/>
          <w:shd w:fill="FFFF00" w:color="auto" w:val="clear"/>
        </w:rPr>
        <w:t>If</w:t>
      </w:r>
      <w:r>
        <w:rPr>
          <w:color w:val="000000"/>
          <w:spacing w:val="-3"/>
          <w:shd w:fill="FFFF00" w:color="auto" w:val="clear"/>
        </w:rPr>
        <w:t> </w:t>
      </w:r>
      <w:r>
        <w:rPr>
          <w:color w:val="000000"/>
          <w:shd w:fill="FFFF00" w:color="auto" w:val="clear"/>
        </w:rPr>
        <w:t>you</w:t>
      </w:r>
      <w:r>
        <w:rPr>
          <w:color w:val="000000"/>
          <w:spacing w:val="-4"/>
          <w:shd w:fill="FFFF00" w:color="auto" w:val="clear"/>
        </w:rPr>
        <w:t> </w:t>
      </w:r>
      <w:r>
        <w:rPr>
          <w:color w:val="000000"/>
          <w:shd w:fill="FFFF00" w:color="auto" w:val="clear"/>
        </w:rPr>
        <w:t>claim</w:t>
      </w:r>
      <w:r>
        <w:rPr>
          <w:color w:val="000000"/>
          <w:spacing w:val="-4"/>
          <w:shd w:fill="FFFF00" w:color="auto" w:val="clear"/>
        </w:rPr>
        <w:t> </w:t>
      </w:r>
      <w:r>
        <w:rPr>
          <w:color w:val="000000"/>
          <w:shd w:fill="FFFF00" w:color="auto" w:val="clear"/>
        </w:rPr>
        <w:t>that</w:t>
      </w:r>
      <w:r>
        <w:rPr>
          <w:color w:val="000000"/>
          <w:spacing w:val="-3"/>
          <w:shd w:fill="FFFF00" w:color="auto" w:val="clear"/>
        </w:rPr>
        <w:t> </w:t>
      </w:r>
      <w:r>
        <w:rPr>
          <w:color w:val="000000"/>
          <w:shd w:fill="FFFF00" w:color="auto" w:val="clear"/>
        </w:rPr>
        <w:t>your</w:t>
      </w:r>
      <w:r>
        <w:rPr>
          <w:color w:val="000000"/>
          <w:spacing w:val="-3"/>
          <w:shd w:fill="FFFF00" w:color="auto" w:val="clear"/>
        </w:rPr>
        <w:t> </w:t>
      </w:r>
      <w:r>
        <w:rPr>
          <w:color w:val="000000"/>
          <w:shd w:fill="FFFF00" w:color="auto" w:val="clear"/>
        </w:rPr>
        <w:t>test</w:t>
      </w:r>
      <w:r>
        <w:rPr>
          <w:color w:val="000000"/>
          <w:spacing w:val="-3"/>
          <w:shd w:fill="FFFF00" w:color="auto" w:val="clear"/>
        </w:rPr>
        <w:t> </w:t>
      </w:r>
      <w:r>
        <w:rPr>
          <w:color w:val="000000"/>
          <w:shd w:fill="FFFF00" w:color="auto" w:val="clear"/>
        </w:rPr>
        <w:t>can</w:t>
      </w:r>
      <w:r>
        <w:rPr>
          <w:color w:val="000000"/>
          <w:spacing w:val="-4"/>
          <w:shd w:fill="FFFF00" w:color="auto" w:val="clear"/>
        </w:rPr>
        <w:t> </w:t>
      </w:r>
      <w:r>
        <w:rPr>
          <w:color w:val="000000"/>
          <w:shd w:fill="FFFF00" w:color="auto" w:val="clear"/>
        </w:rPr>
        <w:t>differentiate</w:t>
      </w:r>
      <w:r>
        <w:rPr>
          <w:color w:val="000000"/>
          <w:spacing w:val="-3"/>
          <w:shd w:fill="FFFF00" w:color="auto" w:val="clear"/>
        </w:rPr>
        <w:t> </w:t>
      </w:r>
      <w:r>
        <w:rPr>
          <w:color w:val="000000"/>
          <w:shd w:fill="FFFF00" w:color="auto" w:val="clear"/>
        </w:rPr>
        <w:t>between</w:t>
      </w:r>
      <w:r>
        <w:rPr>
          <w:color w:val="000000"/>
          <w:spacing w:val="-4"/>
          <w:shd w:fill="FFFF00" w:color="auto" w:val="clear"/>
        </w:rPr>
        <w:t> </w:t>
      </w:r>
      <w:r>
        <w:rPr>
          <w:color w:val="000000"/>
          <w:shd w:fill="FFFF00" w:color="auto" w:val="clear"/>
        </w:rPr>
        <w:t>IgG</w:t>
      </w:r>
      <w:r>
        <w:rPr>
          <w:color w:val="000000"/>
          <w:spacing w:val="-4"/>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IgM,</w:t>
      </w:r>
      <w:r>
        <w:rPr>
          <w:color w:val="000000"/>
          <w:spacing w:val="-3"/>
          <w:shd w:fill="FFFF00" w:color="auto" w:val="clear"/>
        </w:rPr>
        <w:t> </w:t>
      </w:r>
      <w:r>
        <w:rPr>
          <w:color w:val="000000"/>
          <w:shd w:fill="FFFF00" w:color="auto" w:val="clear"/>
        </w:rPr>
        <w:t>PPA</w:t>
      </w:r>
      <w:r>
        <w:rPr>
          <w:color w:val="000000"/>
          <w:spacing w:val="-4"/>
          <w:shd w:fill="FFFF00" w:color="auto" w:val="clear"/>
        </w:rPr>
        <w:t> </w:t>
      </w:r>
      <w:r>
        <w:rPr>
          <w:color w:val="000000"/>
          <w:shd w:fill="FFFF00" w:color="auto" w:val="clear"/>
        </w:rPr>
        <w:t>and</w:t>
      </w:r>
      <w:r>
        <w:rPr>
          <w:color w:val="000000"/>
          <w:spacing w:val="-3"/>
          <w:shd w:fill="FFFF00" w:color="auto" w:val="clear"/>
        </w:rPr>
        <w:t> </w:t>
      </w:r>
      <w:r>
        <w:rPr>
          <w:color w:val="000000"/>
          <w:shd w:fill="FFFF00" w:color="auto" w:val="clear"/>
        </w:rPr>
        <w:t>NPA</w:t>
      </w:r>
      <w:r>
        <w:rPr>
          <w:color w:val="000000"/>
          <w:spacing w:val="-4"/>
          <w:shd w:fill="FFFF00" w:color="auto" w:val="clear"/>
        </w:rPr>
        <w:t> </w:t>
      </w:r>
      <w:r>
        <w:rPr>
          <w:color w:val="000000"/>
          <w:shd w:fill="FFFF00" w:color="auto" w:val="clear"/>
        </w:rPr>
        <w:t>for</w:t>
      </w:r>
      <w:r>
        <w:rPr>
          <w:color w:val="000000"/>
        </w:rPr>
        <w:t> </w:t>
      </w:r>
      <w:r>
        <w:rPr>
          <w:color w:val="000000"/>
          <w:shd w:fill="FFFF00" w:color="auto" w:val="clear"/>
        </w:rPr>
        <w:t>IgG and IgM separately would be calculated separately.]</w:t>
      </w:r>
    </w:p>
    <w:p>
      <w:pPr>
        <w:pStyle w:val="BodyText"/>
        <w:rPr>
          <w:rFonts w:ascii="TimesNewRomanPS-BoldItalicMT"/>
          <w:b/>
          <w:i/>
        </w:rPr>
      </w:pPr>
    </w:p>
    <w:p>
      <w:pPr>
        <w:pStyle w:val="Heading5"/>
        <w:numPr>
          <w:ilvl w:val="1"/>
          <w:numId w:val="15"/>
        </w:numPr>
        <w:tabs>
          <w:tab w:pos="879" w:val="left" w:leader="none"/>
        </w:tabs>
        <w:spacing w:line="240" w:lineRule="auto" w:before="0" w:after="0"/>
        <w:ind w:left="879" w:right="0" w:hanging="359"/>
        <w:jc w:val="left"/>
      </w:pPr>
      <w:r>
        <w:rPr>
          <w:u w:val="thick"/>
        </w:rPr>
        <w:t>Matrix </w:t>
      </w:r>
      <w:r>
        <w:rPr>
          <w:spacing w:val="-2"/>
          <w:u w:val="thick"/>
        </w:rPr>
        <w:t>Equivalency</w:t>
      </w:r>
    </w:p>
    <w:p>
      <w:pPr>
        <w:pStyle w:val="Heading6"/>
        <w:spacing w:before="120"/>
        <w:ind w:right="250"/>
      </w:pPr>
      <w:r>
        <w:rPr>
          <w:color w:val="000000"/>
          <w:shd w:fill="FFFF00" w:color="auto" w:val="clear"/>
        </w:rPr>
        <w:t>[Please describe the protocol and results from any matrix equivalency studies</w:t>
      </w:r>
      <w:r>
        <w:rPr>
          <w:color w:val="000000"/>
        </w:rPr>
        <w:t> </w:t>
      </w:r>
      <w:r>
        <w:rPr>
          <w:color w:val="000000"/>
          <w:shd w:fill="FFFF00" w:color="auto" w:val="clear"/>
        </w:rPr>
        <w:t>performed</w:t>
      </w:r>
      <w:r>
        <w:rPr>
          <w:color w:val="000000"/>
          <w:spacing w:val="-3"/>
          <w:shd w:fill="FFFF00" w:color="auto" w:val="clear"/>
        </w:rPr>
        <w:t> </w:t>
      </w:r>
      <w:r>
        <w:rPr>
          <w:color w:val="000000"/>
          <w:shd w:fill="FFFF00" w:color="auto" w:val="clear"/>
        </w:rPr>
        <w:t>to</w:t>
      </w:r>
      <w:r>
        <w:rPr>
          <w:color w:val="000000"/>
          <w:spacing w:val="-3"/>
          <w:shd w:fill="FFFF00" w:color="auto" w:val="clear"/>
        </w:rPr>
        <w:t> </w:t>
      </w:r>
      <w:r>
        <w:rPr>
          <w:color w:val="000000"/>
          <w:shd w:fill="FFFF00" w:color="auto" w:val="clear"/>
        </w:rPr>
        <w:t>support</w:t>
      </w:r>
      <w:r>
        <w:rPr>
          <w:color w:val="000000"/>
          <w:spacing w:val="-3"/>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performance</w:t>
      </w:r>
      <w:r>
        <w:rPr>
          <w:color w:val="000000"/>
          <w:spacing w:val="-3"/>
          <w:shd w:fill="FFFF00" w:color="auto" w:val="clear"/>
        </w:rPr>
        <w:t> </w:t>
      </w:r>
      <w:r>
        <w:rPr>
          <w:color w:val="000000"/>
          <w:shd w:fill="FFFF00" w:color="auto" w:val="clear"/>
        </w:rPr>
        <w:t>of</w:t>
      </w:r>
      <w:r>
        <w:rPr>
          <w:color w:val="000000"/>
          <w:spacing w:val="-3"/>
          <w:shd w:fill="FFFF00" w:color="auto" w:val="clear"/>
        </w:rPr>
        <w:t> </w:t>
      </w:r>
      <w:r>
        <w:rPr>
          <w:color w:val="000000"/>
          <w:shd w:fill="FFFF00" w:color="auto" w:val="clear"/>
        </w:rPr>
        <w:t>the</w:t>
      </w:r>
      <w:r>
        <w:rPr>
          <w:color w:val="000000"/>
          <w:spacing w:val="-3"/>
          <w:shd w:fill="FFFF00" w:color="auto" w:val="clear"/>
        </w:rPr>
        <w:t> </w:t>
      </w:r>
      <w:r>
        <w:rPr>
          <w:color w:val="000000"/>
          <w:shd w:fill="FFFF00" w:color="auto" w:val="clear"/>
        </w:rPr>
        <w:t>assay</w:t>
      </w:r>
      <w:r>
        <w:rPr>
          <w:color w:val="000000"/>
          <w:spacing w:val="-3"/>
          <w:shd w:fill="FFFF00" w:color="auto" w:val="clear"/>
        </w:rPr>
        <w:t> </w:t>
      </w:r>
      <w:r>
        <w:rPr>
          <w:color w:val="000000"/>
          <w:shd w:fill="FFFF00" w:color="auto" w:val="clear"/>
        </w:rPr>
        <w:t>in</w:t>
      </w:r>
      <w:r>
        <w:rPr>
          <w:color w:val="000000"/>
          <w:spacing w:val="-4"/>
          <w:shd w:fill="FFFF00" w:color="auto" w:val="clear"/>
        </w:rPr>
        <w:t> </w:t>
      </w:r>
      <w:r>
        <w:rPr>
          <w:color w:val="000000"/>
          <w:shd w:fill="FFFF00" w:color="auto" w:val="clear"/>
        </w:rPr>
        <w:t>claimed</w:t>
      </w:r>
      <w:r>
        <w:rPr>
          <w:color w:val="000000"/>
          <w:spacing w:val="-3"/>
          <w:shd w:fill="FFFF00" w:color="auto" w:val="clear"/>
        </w:rPr>
        <w:t> </w:t>
      </w:r>
      <w:r>
        <w:rPr>
          <w:color w:val="000000"/>
          <w:shd w:fill="FFFF00" w:color="auto" w:val="clear"/>
        </w:rPr>
        <w:t>sample</w:t>
      </w:r>
      <w:r>
        <w:rPr>
          <w:color w:val="000000"/>
          <w:spacing w:val="-4"/>
          <w:shd w:fill="FFFF00" w:color="auto" w:val="clear"/>
        </w:rPr>
        <w:t> </w:t>
      </w:r>
      <w:r>
        <w:rPr>
          <w:color w:val="000000"/>
          <w:shd w:fill="FFFF00" w:color="auto" w:val="clear"/>
        </w:rPr>
        <w:t>matrices</w:t>
      </w:r>
      <w:r>
        <w:rPr>
          <w:color w:val="000000"/>
          <w:spacing w:val="-3"/>
          <w:shd w:fill="FFFF00" w:color="auto" w:val="clear"/>
        </w:rPr>
        <w:t> </w:t>
      </w:r>
      <w:r>
        <w:rPr>
          <w:color w:val="000000"/>
          <w:shd w:fill="FFFF00" w:color="auto" w:val="clear"/>
        </w:rPr>
        <w:t>(serum,</w:t>
      </w:r>
    </w:p>
    <w:p>
      <w:pPr>
        <w:spacing w:after="0"/>
        <w:sectPr>
          <w:pgSz w:w="12240" w:h="15840"/>
          <w:pgMar w:header="731" w:footer="785" w:top="1360" w:bottom="980" w:left="1280" w:right="1200"/>
        </w:sectPr>
      </w:pPr>
    </w:p>
    <w:p>
      <w:pPr>
        <w:pStyle w:val="Heading6"/>
        <w:spacing w:before="80"/>
      </w:pPr>
      <w:r>
        <w:rPr>
          <w:color w:val="000000"/>
          <w:shd w:fill="FFFF00" w:color="auto" w:val="clear"/>
        </w:rPr>
        <w:t>EDTA</w:t>
      </w:r>
      <w:r>
        <w:rPr>
          <w:color w:val="000000"/>
          <w:spacing w:val="-5"/>
          <w:shd w:fill="FFFF00" w:color="auto" w:val="clear"/>
        </w:rPr>
        <w:t> </w:t>
      </w:r>
      <w:r>
        <w:rPr>
          <w:color w:val="000000"/>
          <w:shd w:fill="FFFF00" w:color="auto" w:val="clear"/>
        </w:rPr>
        <w:t>plasma,</w:t>
      </w:r>
      <w:r>
        <w:rPr>
          <w:color w:val="000000"/>
          <w:spacing w:val="-4"/>
          <w:shd w:fill="FFFF00" w:color="auto" w:val="clear"/>
        </w:rPr>
        <w:t> </w:t>
      </w:r>
      <w:r>
        <w:rPr>
          <w:color w:val="000000"/>
          <w:shd w:fill="FFFF00" w:color="auto" w:val="clear"/>
        </w:rPr>
        <w:t>venipuncture</w:t>
      </w:r>
      <w:r>
        <w:rPr>
          <w:color w:val="000000"/>
          <w:spacing w:val="-4"/>
          <w:shd w:fill="FFFF00" w:color="auto" w:val="clear"/>
        </w:rPr>
        <w:t> </w:t>
      </w:r>
      <w:r>
        <w:rPr>
          <w:color w:val="000000"/>
          <w:shd w:fill="FFFF00" w:color="auto" w:val="clear"/>
        </w:rPr>
        <w:t>whole</w:t>
      </w:r>
      <w:r>
        <w:rPr>
          <w:color w:val="000000"/>
          <w:spacing w:val="-5"/>
          <w:shd w:fill="FFFF00" w:color="auto" w:val="clear"/>
        </w:rPr>
        <w:t> </w:t>
      </w:r>
      <w:r>
        <w:rPr>
          <w:color w:val="000000"/>
          <w:shd w:fill="FFFF00" w:color="auto" w:val="clear"/>
        </w:rPr>
        <w:t>blood,</w:t>
      </w:r>
      <w:r>
        <w:rPr>
          <w:color w:val="000000"/>
          <w:spacing w:val="-4"/>
          <w:shd w:fill="FFFF00" w:color="auto" w:val="clear"/>
        </w:rPr>
        <w:t> </w:t>
      </w:r>
      <w:r>
        <w:rPr>
          <w:color w:val="000000"/>
          <w:shd w:fill="FFFF00" w:color="auto" w:val="clear"/>
        </w:rPr>
        <w:t>different</w:t>
      </w:r>
      <w:r>
        <w:rPr>
          <w:color w:val="000000"/>
          <w:spacing w:val="-4"/>
          <w:shd w:fill="FFFF00" w:color="auto" w:val="clear"/>
        </w:rPr>
        <w:t> </w:t>
      </w:r>
      <w:r>
        <w:rPr>
          <w:color w:val="000000"/>
          <w:shd w:fill="FFFF00" w:color="auto" w:val="clear"/>
        </w:rPr>
        <w:t>anticoagulants,</w:t>
      </w:r>
      <w:r>
        <w:rPr>
          <w:color w:val="000000"/>
          <w:spacing w:val="-4"/>
          <w:shd w:fill="FFFF00" w:color="auto" w:val="clear"/>
        </w:rPr>
        <w:t> </w:t>
      </w:r>
      <w:r>
        <w:rPr>
          <w:color w:val="000000"/>
          <w:shd w:fill="FFFF00" w:color="auto" w:val="clear"/>
        </w:rPr>
        <w:t>etc.)</w:t>
      </w:r>
      <w:r>
        <w:rPr>
          <w:color w:val="000000"/>
          <w:spacing w:val="-5"/>
          <w:shd w:fill="FFFF00" w:color="auto" w:val="clear"/>
        </w:rPr>
        <w:t> </w:t>
      </w:r>
      <w:r>
        <w:rPr>
          <w:color w:val="000000"/>
          <w:shd w:fill="FFFF00" w:color="auto" w:val="clear"/>
        </w:rPr>
        <w:t>that</w:t>
      </w:r>
      <w:r>
        <w:rPr>
          <w:color w:val="000000"/>
          <w:spacing w:val="-4"/>
          <w:shd w:fill="FFFF00" w:color="auto" w:val="clear"/>
        </w:rPr>
        <w:t> </w:t>
      </w:r>
      <w:r>
        <w:rPr>
          <w:color w:val="000000"/>
          <w:shd w:fill="FFFF00" w:color="auto" w:val="clear"/>
        </w:rPr>
        <w:t>were</w:t>
      </w:r>
      <w:r>
        <w:rPr>
          <w:color w:val="000000"/>
          <w:spacing w:val="-4"/>
          <w:shd w:fill="FFFF00" w:color="auto" w:val="clear"/>
        </w:rPr>
        <w:t> </w:t>
      </w:r>
      <w:r>
        <w:rPr>
          <w:color w:val="000000"/>
          <w:shd w:fill="FFFF00" w:color="auto" w:val="clear"/>
        </w:rPr>
        <w:t>not</w:t>
      </w:r>
      <w:r>
        <w:rPr>
          <w:color w:val="000000"/>
        </w:rPr>
        <w:t> </w:t>
      </w:r>
      <w:r>
        <w:rPr>
          <w:color w:val="000000"/>
          <w:shd w:fill="FFFF00" w:color="auto" w:val="clear"/>
        </w:rPr>
        <w:t>evaluated in the initial clinical agreement study.]</w:t>
      </w:r>
    </w:p>
    <w:p>
      <w:pPr>
        <w:pStyle w:val="BodyText"/>
        <w:spacing w:before="11"/>
        <w:rPr>
          <w:rFonts w:ascii="TimesNewRomanPS-BoldItalicMT"/>
          <w:b/>
          <w:i/>
          <w:sz w:val="23"/>
        </w:rPr>
      </w:pPr>
    </w:p>
    <w:p>
      <w:pPr>
        <w:pStyle w:val="Heading5"/>
      </w:pPr>
      <w:r>
        <w:rPr/>
        <w:t>Matrix</w:t>
      </w:r>
      <w:r>
        <w:rPr>
          <w:spacing w:val="-6"/>
        </w:rPr>
        <w:t> </w:t>
      </w:r>
      <w:r>
        <w:rPr/>
        <w:t>equivalency</w:t>
      </w:r>
      <w:r>
        <w:rPr>
          <w:spacing w:val="-4"/>
        </w:rPr>
        <w:t> </w:t>
      </w:r>
      <w:r>
        <w:rPr/>
        <w:t>studies</w:t>
      </w:r>
      <w:r>
        <w:rPr>
          <w:spacing w:val="-4"/>
        </w:rPr>
        <w:t> </w:t>
      </w:r>
      <w:r>
        <w:rPr/>
        <w:t>are</w:t>
      </w:r>
      <w:r>
        <w:rPr>
          <w:spacing w:val="-4"/>
        </w:rPr>
        <w:t> </w:t>
      </w:r>
      <w:r>
        <w:rPr/>
        <w:t>performed</w:t>
      </w:r>
      <w:r>
        <w:rPr>
          <w:spacing w:val="-5"/>
        </w:rPr>
        <w:t> </w:t>
      </w:r>
      <w:r>
        <w:rPr/>
        <w:t>to</w:t>
      </w:r>
      <w:r>
        <w:rPr>
          <w:spacing w:val="-6"/>
        </w:rPr>
        <w:t> </w:t>
      </w:r>
      <w:r>
        <w:rPr/>
        <w:t>evaluate</w:t>
      </w:r>
      <w:r>
        <w:rPr>
          <w:spacing w:val="-4"/>
        </w:rPr>
        <w:t> </w:t>
      </w:r>
      <w:r>
        <w:rPr/>
        <w:t>specimen</w:t>
      </w:r>
      <w:r>
        <w:rPr>
          <w:spacing w:val="-5"/>
        </w:rPr>
        <w:t> </w:t>
      </w:r>
      <w:r>
        <w:rPr/>
        <w:t>matrices</w:t>
      </w:r>
      <w:r>
        <w:rPr>
          <w:spacing w:val="-4"/>
        </w:rPr>
        <w:t> </w:t>
      </w:r>
      <w:r>
        <w:rPr/>
        <w:t>for</w:t>
      </w:r>
      <w:r>
        <w:rPr>
          <w:spacing w:val="-4"/>
        </w:rPr>
        <w:t> </w:t>
      </w:r>
      <w:r>
        <w:rPr/>
        <w:t>which clinical agreement isn’t initially assessed. In these studies, the matrix in which the clinical study(ies) are conducted is the comparator matrix/specimen type and each matrix set (whole blood, plasma, serum) comes from the same donor (i.e., paired </w:t>
      </w:r>
      <w:r>
        <w:rPr>
          <w:spacing w:val="-2"/>
        </w:rPr>
        <w:t>samples).</w:t>
      </w:r>
    </w:p>
    <w:p>
      <w:pPr>
        <w:pStyle w:val="BodyText"/>
        <w:rPr>
          <w:b/>
        </w:rPr>
      </w:pPr>
    </w:p>
    <w:p>
      <w:pPr>
        <w:pStyle w:val="Heading5"/>
        <w:ind w:left="879" w:right="278"/>
      </w:pPr>
      <w:r>
        <w:rPr/>
        <w:t>Typically, negative, low positive, and moderate positive samples are evaluated. We believe five samples, run in duplicate for each concentration for a total of 30 results per</w:t>
      </w:r>
      <w:r>
        <w:rPr>
          <w:spacing w:val="-4"/>
        </w:rPr>
        <w:t> </w:t>
      </w:r>
      <w:r>
        <w:rPr/>
        <w:t>matrix</w:t>
      </w:r>
      <w:r>
        <w:rPr>
          <w:spacing w:val="-5"/>
        </w:rPr>
        <w:t> </w:t>
      </w:r>
      <w:r>
        <w:rPr/>
        <w:t>(assuming</w:t>
      </w:r>
      <w:r>
        <w:rPr>
          <w:spacing w:val="-4"/>
        </w:rPr>
        <w:t> </w:t>
      </w:r>
      <w:r>
        <w:rPr/>
        <w:t>3</w:t>
      </w:r>
      <w:r>
        <w:rPr>
          <w:spacing w:val="-5"/>
        </w:rPr>
        <w:t> </w:t>
      </w:r>
      <w:r>
        <w:rPr/>
        <w:t>concentrations</w:t>
      </w:r>
      <w:r>
        <w:rPr>
          <w:spacing w:val="-4"/>
        </w:rPr>
        <w:t> </w:t>
      </w:r>
      <w:r>
        <w:rPr/>
        <w:t>were</w:t>
      </w:r>
      <w:r>
        <w:rPr>
          <w:spacing w:val="-4"/>
        </w:rPr>
        <w:t> </w:t>
      </w:r>
      <w:r>
        <w:rPr/>
        <w:t>evaluated)</w:t>
      </w:r>
      <w:r>
        <w:rPr>
          <w:spacing w:val="-4"/>
        </w:rPr>
        <w:t> </w:t>
      </w:r>
      <w:r>
        <w:rPr/>
        <w:t>may</w:t>
      </w:r>
      <w:r>
        <w:rPr>
          <w:spacing w:val="-4"/>
        </w:rPr>
        <w:t> </w:t>
      </w:r>
      <w:r>
        <w:rPr/>
        <w:t>be</w:t>
      </w:r>
      <w:r>
        <w:rPr>
          <w:spacing w:val="-4"/>
        </w:rPr>
        <w:t> </w:t>
      </w:r>
      <w:r>
        <w:rPr/>
        <w:t>acceptable.</w:t>
      </w:r>
      <w:r>
        <w:rPr>
          <w:spacing w:val="-4"/>
        </w:rPr>
        <w:t> </w:t>
      </w:r>
      <w:r>
        <w:rPr/>
        <w:t>To</w:t>
      </w:r>
      <w:r>
        <w:rPr>
          <w:spacing w:val="-4"/>
        </w:rPr>
        <w:t> </w:t>
      </w:r>
      <w:r>
        <w:rPr/>
        <w:t>allow for</w:t>
      </w:r>
      <w:r>
        <w:rPr>
          <w:spacing w:val="-2"/>
        </w:rPr>
        <w:t> </w:t>
      </w:r>
      <w:r>
        <w:rPr/>
        <w:t>comparison,</w:t>
      </w:r>
      <w:r>
        <w:rPr>
          <w:spacing w:val="-2"/>
        </w:rPr>
        <w:t> </w:t>
      </w:r>
      <w:r>
        <w:rPr/>
        <w:t>negative</w:t>
      </w:r>
      <w:r>
        <w:rPr>
          <w:spacing w:val="-2"/>
        </w:rPr>
        <w:t> </w:t>
      </w:r>
      <w:r>
        <w:rPr/>
        <w:t>samples</w:t>
      </w:r>
      <w:r>
        <w:rPr>
          <w:spacing w:val="-3"/>
        </w:rPr>
        <w:t> </w:t>
      </w:r>
      <w:r>
        <w:rPr/>
        <w:t>for</w:t>
      </w:r>
      <w:r>
        <w:rPr>
          <w:spacing w:val="-2"/>
        </w:rPr>
        <w:t> </w:t>
      </w:r>
      <w:r>
        <w:rPr/>
        <w:t>each</w:t>
      </w:r>
      <w:r>
        <w:rPr>
          <w:spacing w:val="-3"/>
        </w:rPr>
        <w:t> </w:t>
      </w:r>
      <w:r>
        <w:rPr/>
        <w:t>claimed</w:t>
      </w:r>
      <w:r>
        <w:rPr>
          <w:spacing w:val="-3"/>
        </w:rPr>
        <w:t> </w:t>
      </w:r>
      <w:r>
        <w:rPr/>
        <w:t>specimen</w:t>
      </w:r>
      <w:r>
        <w:rPr>
          <w:spacing w:val="-3"/>
        </w:rPr>
        <w:t> </w:t>
      </w:r>
      <w:r>
        <w:rPr/>
        <w:t>type/matrix</w:t>
      </w:r>
      <w:r>
        <w:rPr>
          <w:spacing w:val="-2"/>
        </w:rPr>
        <w:t> </w:t>
      </w:r>
      <w:r>
        <w:rPr/>
        <w:t>are</w:t>
      </w:r>
      <w:r>
        <w:rPr>
          <w:spacing w:val="-2"/>
        </w:rPr>
        <w:t> </w:t>
      </w:r>
      <w:r>
        <w:rPr/>
        <w:t>spiked with the same amount of analyte (SARS-CoV-2 IgG and IgM). We believe confirming samples are antibody seronegative with the candidate assay before spiking with SARS-CoV-2 IgG and IgM antibodies is important.</w:t>
      </w:r>
    </w:p>
    <w:p>
      <w:pPr>
        <w:pStyle w:val="BodyText"/>
        <w:rPr>
          <w:b/>
        </w:rPr>
      </w:pPr>
    </w:p>
    <w:p>
      <w:pPr>
        <w:pStyle w:val="Heading5"/>
        <w:ind w:left="879" w:right="250"/>
      </w:pPr>
      <w:r>
        <w:rPr/>
        <w:t>For these types of studies, typically, each sample is assayed with the candidate device, and the results obtained for the comparator matrix are compared to the results obtained for each additional matrix under evaluation for each subject. Positive</w:t>
      </w:r>
      <w:r>
        <w:rPr>
          <w:spacing w:val="-4"/>
        </w:rPr>
        <w:t> </w:t>
      </w:r>
      <w:r>
        <w:rPr/>
        <w:t>percent</w:t>
      </w:r>
      <w:r>
        <w:rPr>
          <w:spacing w:val="-4"/>
        </w:rPr>
        <w:t> </w:t>
      </w:r>
      <w:r>
        <w:rPr/>
        <w:t>agreement</w:t>
      </w:r>
      <w:r>
        <w:rPr>
          <w:spacing w:val="-4"/>
        </w:rPr>
        <w:t> </w:t>
      </w:r>
      <w:r>
        <w:rPr/>
        <w:t>and</w:t>
      </w:r>
      <w:r>
        <w:rPr>
          <w:spacing w:val="-5"/>
        </w:rPr>
        <w:t> </w:t>
      </w:r>
      <w:r>
        <w:rPr/>
        <w:t>negative</w:t>
      </w:r>
      <w:r>
        <w:rPr>
          <w:spacing w:val="-4"/>
        </w:rPr>
        <w:t> </w:t>
      </w:r>
      <w:r>
        <w:rPr/>
        <w:t>percent</w:t>
      </w:r>
      <w:r>
        <w:rPr>
          <w:spacing w:val="-4"/>
        </w:rPr>
        <w:t> </w:t>
      </w:r>
      <w:r>
        <w:rPr/>
        <w:t>agreement</w:t>
      </w:r>
      <w:r>
        <w:rPr>
          <w:spacing w:val="-4"/>
        </w:rPr>
        <w:t> </w:t>
      </w:r>
      <w:r>
        <w:rPr/>
        <w:t>for</w:t>
      </w:r>
      <w:r>
        <w:rPr>
          <w:spacing w:val="-5"/>
        </w:rPr>
        <w:t> </w:t>
      </w:r>
      <w:r>
        <w:rPr/>
        <w:t>each</w:t>
      </w:r>
      <w:r>
        <w:rPr>
          <w:spacing w:val="-5"/>
        </w:rPr>
        <w:t> </w:t>
      </w:r>
      <w:r>
        <w:rPr/>
        <w:t>matrix</w:t>
      </w:r>
      <w:r>
        <w:rPr>
          <w:spacing w:val="-4"/>
        </w:rPr>
        <w:t> </w:t>
      </w:r>
      <w:r>
        <w:rPr/>
        <w:t>with respect to the comparator matrix are calculated. We believe that at least 95% agreement across all matrices/subject may be acceptable to demonstrate that </w:t>
      </w:r>
      <w:bookmarkStart w:name="I. UNMET NEED ADDRESSED BY THE PRODUCT" w:id="120"/>
      <w:bookmarkEnd w:id="120"/>
      <w:r>
        <w:rPr/>
        <w:t>p</w:t>
      </w:r>
      <w:r>
        <w:rPr/>
        <w:t>erformance between the matrices can be considered equivalent.</w:t>
      </w:r>
    </w:p>
    <w:p>
      <w:pPr>
        <w:pStyle w:val="BodyText"/>
        <w:spacing w:before="10"/>
        <w:rPr>
          <w:b/>
          <w:sz w:val="20"/>
        </w:rPr>
      </w:pPr>
    </w:p>
    <w:p>
      <w:pPr>
        <w:pStyle w:val="Heading4"/>
        <w:numPr>
          <w:ilvl w:val="0"/>
          <w:numId w:val="15"/>
        </w:numPr>
        <w:tabs>
          <w:tab w:pos="519" w:val="left" w:leader="none"/>
        </w:tabs>
        <w:spacing w:line="240" w:lineRule="auto" w:before="1" w:after="0"/>
        <w:ind w:left="519" w:right="0" w:hanging="360"/>
        <w:jc w:val="left"/>
      </w:pPr>
      <w:r>
        <w:rPr/>
        <w:t>UNMET</w:t>
      </w:r>
      <w:r>
        <w:rPr>
          <w:spacing w:val="-5"/>
        </w:rPr>
        <w:t> </w:t>
      </w:r>
      <w:r>
        <w:rPr/>
        <w:t>NEED</w:t>
      </w:r>
      <w:r>
        <w:rPr>
          <w:spacing w:val="-2"/>
        </w:rPr>
        <w:t> </w:t>
      </w:r>
      <w:r>
        <w:rPr/>
        <w:t>ADDRESSED</w:t>
      </w:r>
      <w:r>
        <w:rPr>
          <w:spacing w:val="-4"/>
        </w:rPr>
        <w:t> </w:t>
      </w:r>
      <w:r>
        <w:rPr/>
        <w:t>BY</w:t>
      </w:r>
      <w:r>
        <w:rPr>
          <w:spacing w:val="-3"/>
        </w:rPr>
        <w:t> </w:t>
      </w:r>
      <w:r>
        <w:rPr/>
        <w:t>THE</w:t>
      </w:r>
      <w:r>
        <w:rPr>
          <w:spacing w:val="-3"/>
        </w:rPr>
        <w:t> </w:t>
      </w:r>
      <w:r>
        <w:rPr>
          <w:spacing w:val="-2"/>
        </w:rPr>
        <w:t>PRODUCT</w:t>
      </w:r>
    </w:p>
    <w:p>
      <w:pPr>
        <w:pStyle w:val="Heading5"/>
        <w:spacing w:before="118"/>
        <w:ind w:left="519"/>
        <w:rPr>
          <w:b w:val="0"/>
        </w:rPr>
      </w:pPr>
      <w:r>
        <w:rPr/>
        <w:t>This</w:t>
      </w:r>
      <w:r>
        <w:rPr>
          <w:spacing w:val="-4"/>
        </w:rPr>
        <w:t> </w:t>
      </w:r>
      <w:r>
        <w:rPr/>
        <w:t>section</w:t>
      </w:r>
      <w:r>
        <w:rPr>
          <w:spacing w:val="-3"/>
        </w:rPr>
        <w:t> </w:t>
      </w:r>
      <w:r>
        <w:rPr/>
        <w:t>will</w:t>
      </w:r>
      <w:r>
        <w:rPr>
          <w:spacing w:val="-1"/>
        </w:rPr>
        <w:t> </w:t>
      </w:r>
      <w:r>
        <w:rPr/>
        <w:t>be</w:t>
      </w:r>
      <w:r>
        <w:rPr>
          <w:spacing w:val="-2"/>
        </w:rPr>
        <w:t> </w:t>
      </w:r>
      <w:r>
        <w:rPr/>
        <w:t>completed</w:t>
      </w:r>
      <w:r>
        <w:rPr>
          <w:spacing w:val="-2"/>
        </w:rPr>
        <w:t> </w:t>
      </w:r>
      <w:r>
        <w:rPr/>
        <w:t>by</w:t>
      </w:r>
      <w:r>
        <w:rPr>
          <w:spacing w:val="-1"/>
        </w:rPr>
        <w:t> </w:t>
      </w:r>
      <w:r>
        <w:rPr>
          <w:spacing w:val="-4"/>
        </w:rPr>
        <w:t>FDA</w:t>
      </w:r>
      <w:r>
        <w:rPr>
          <w:b w:val="0"/>
          <w:spacing w:val="-4"/>
        </w:rPr>
        <w:t>.</w:t>
      </w:r>
    </w:p>
    <w:p>
      <w:pPr>
        <w:pStyle w:val="BodyText"/>
        <w:spacing w:before="10"/>
        <w:rPr>
          <w:sz w:val="20"/>
        </w:rPr>
      </w:pPr>
    </w:p>
    <w:p>
      <w:pPr>
        <w:pStyle w:val="Heading4"/>
        <w:numPr>
          <w:ilvl w:val="0"/>
          <w:numId w:val="15"/>
        </w:numPr>
        <w:tabs>
          <w:tab w:pos="519" w:val="left" w:leader="none"/>
        </w:tabs>
        <w:spacing w:line="240" w:lineRule="auto" w:before="0" w:after="0"/>
        <w:ind w:left="519" w:right="0" w:hanging="360"/>
        <w:jc w:val="left"/>
      </w:pPr>
      <w:bookmarkStart w:name="J. APPROVED/CLEARED ALTERNATIVE PRODUCTS" w:id="121"/>
      <w:bookmarkEnd w:id="121"/>
      <w:r>
        <w:rPr>
          <w:b w:val="0"/>
        </w:rPr>
      </w:r>
      <w:r>
        <w:rPr/>
        <w:t>APPROVED/CLEARED</w:t>
      </w:r>
      <w:r>
        <w:rPr>
          <w:spacing w:val="-8"/>
        </w:rPr>
        <w:t> </w:t>
      </w:r>
      <w:r>
        <w:rPr/>
        <w:t>ALTERNATIVE</w:t>
      </w:r>
      <w:r>
        <w:rPr>
          <w:spacing w:val="-8"/>
        </w:rPr>
        <w:t> </w:t>
      </w:r>
      <w:r>
        <w:rPr>
          <w:spacing w:val="-2"/>
        </w:rPr>
        <w:t>PRODUCTS</w:t>
      </w:r>
    </w:p>
    <w:p>
      <w:pPr>
        <w:pStyle w:val="BodyText"/>
        <w:spacing w:before="120"/>
        <w:ind w:left="519" w:right="278"/>
      </w:pPr>
      <w:r>
        <w:rPr/>
        <w:t>Currently</w:t>
      </w:r>
      <w:r>
        <w:rPr>
          <w:spacing w:val="-3"/>
        </w:rPr>
        <w:t> </w:t>
      </w:r>
      <w:r>
        <w:rPr/>
        <w:t>no</w:t>
      </w:r>
      <w:r>
        <w:rPr>
          <w:spacing w:val="-3"/>
        </w:rPr>
        <w:t> </w:t>
      </w:r>
      <w:r>
        <w:rPr/>
        <w:t>methods</w:t>
      </w:r>
      <w:r>
        <w:rPr>
          <w:spacing w:val="-3"/>
        </w:rPr>
        <w:t> </w:t>
      </w:r>
      <w:r>
        <w:rPr/>
        <w:t>for</w:t>
      </w:r>
      <w:r>
        <w:rPr>
          <w:spacing w:val="-3"/>
        </w:rPr>
        <w:t> </w:t>
      </w:r>
      <w:r>
        <w:rPr/>
        <w:t>the</w:t>
      </w:r>
      <w:r>
        <w:rPr>
          <w:spacing w:val="-3"/>
        </w:rPr>
        <w:t> </w:t>
      </w:r>
      <w:r>
        <w:rPr/>
        <w:t>qualitative</w:t>
      </w:r>
      <w:r>
        <w:rPr>
          <w:spacing w:val="-3"/>
        </w:rPr>
        <w:t> </w:t>
      </w:r>
      <w:r>
        <w:rPr/>
        <w:t>detection</w:t>
      </w:r>
      <w:r>
        <w:rPr>
          <w:spacing w:val="-5"/>
        </w:rPr>
        <w:t> </w:t>
      </w:r>
      <w:r>
        <w:rPr/>
        <w:t>of</w:t>
      </w:r>
      <w:r>
        <w:rPr>
          <w:spacing w:val="-4"/>
        </w:rPr>
        <w:t> </w:t>
      </w:r>
      <w:r>
        <w:rPr/>
        <w:t>SARS-CoV-2</w:t>
      </w:r>
      <w:r>
        <w:rPr>
          <w:spacing w:val="-3"/>
        </w:rPr>
        <w:t> </w:t>
      </w:r>
      <w:r>
        <w:rPr/>
        <w:t>IgM</w:t>
      </w:r>
      <w:r>
        <w:rPr>
          <w:spacing w:val="-3"/>
        </w:rPr>
        <w:t> </w:t>
      </w:r>
      <w:r>
        <w:rPr/>
        <w:t>or</w:t>
      </w:r>
      <w:r>
        <w:rPr>
          <w:spacing w:val="-4"/>
        </w:rPr>
        <w:t> </w:t>
      </w:r>
      <w:r>
        <w:rPr/>
        <w:t>IgG</w:t>
      </w:r>
      <w:r>
        <w:rPr>
          <w:spacing w:val="-4"/>
        </w:rPr>
        <w:t> </w:t>
      </w:r>
      <w:r>
        <w:rPr/>
        <w:t>antibodies </w:t>
      </w:r>
      <w:bookmarkStart w:name="K. RISKS AND BENEFITS:" w:id="122"/>
      <w:bookmarkEnd w:id="122"/>
      <w:r>
        <w:rPr/>
        <w:t>have</w:t>
      </w:r>
      <w:r>
        <w:rPr/>
        <w:t> been approved or cleared by FDA.</w:t>
      </w:r>
    </w:p>
    <w:p>
      <w:pPr>
        <w:pStyle w:val="BodyText"/>
        <w:spacing w:before="10"/>
        <w:rPr>
          <w:sz w:val="20"/>
        </w:rPr>
      </w:pPr>
    </w:p>
    <w:p>
      <w:pPr>
        <w:pStyle w:val="Heading4"/>
        <w:numPr>
          <w:ilvl w:val="0"/>
          <w:numId w:val="15"/>
        </w:numPr>
        <w:tabs>
          <w:tab w:pos="517" w:val="left" w:leader="none"/>
        </w:tabs>
        <w:spacing w:line="240" w:lineRule="auto" w:before="1" w:after="0"/>
        <w:ind w:left="517" w:right="0" w:hanging="358"/>
        <w:jc w:val="left"/>
      </w:pPr>
      <w:r>
        <w:rPr/>
        <w:t>RISKS</w:t>
      </w:r>
      <w:r>
        <w:rPr>
          <w:spacing w:val="-3"/>
        </w:rPr>
        <w:t> </w:t>
      </w:r>
      <w:r>
        <w:rPr/>
        <w:t>AND</w:t>
      </w:r>
      <w:r>
        <w:rPr>
          <w:spacing w:val="-2"/>
        </w:rPr>
        <w:t> BENEFITS:</w:t>
      </w:r>
    </w:p>
    <w:p>
      <w:pPr>
        <w:pStyle w:val="Heading5"/>
        <w:spacing w:before="120"/>
        <w:ind w:left="519"/>
      </w:pPr>
      <w:r>
        <w:rPr/>
        <w:t>This</w:t>
      </w:r>
      <w:r>
        <w:rPr>
          <w:spacing w:val="-4"/>
        </w:rPr>
        <w:t> </w:t>
      </w:r>
      <w:r>
        <w:rPr/>
        <w:t>section</w:t>
      </w:r>
      <w:r>
        <w:rPr>
          <w:spacing w:val="-3"/>
        </w:rPr>
        <w:t> </w:t>
      </w:r>
      <w:r>
        <w:rPr/>
        <w:t>will</w:t>
      </w:r>
      <w:r>
        <w:rPr>
          <w:spacing w:val="-1"/>
        </w:rPr>
        <w:t> </w:t>
      </w:r>
      <w:r>
        <w:rPr/>
        <w:t>be</w:t>
      </w:r>
      <w:r>
        <w:rPr>
          <w:spacing w:val="-2"/>
        </w:rPr>
        <w:t> </w:t>
      </w:r>
      <w:r>
        <w:rPr/>
        <w:t>completed</w:t>
      </w:r>
      <w:r>
        <w:rPr>
          <w:spacing w:val="-2"/>
        </w:rPr>
        <w:t> </w:t>
      </w:r>
      <w:r>
        <w:rPr/>
        <w:t>by</w:t>
      </w:r>
      <w:r>
        <w:rPr>
          <w:spacing w:val="-1"/>
        </w:rPr>
        <w:t> </w:t>
      </w:r>
      <w:r>
        <w:rPr>
          <w:spacing w:val="-4"/>
        </w:rPr>
        <w:t>FDA.</w:t>
      </w:r>
    </w:p>
    <w:p>
      <w:pPr>
        <w:pStyle w:val="BodyText"/>
        <w:spacing w:before="11"/>
        <w:rPr>
          <w:b/>
          <w:sz w:val="23"/>
        </w:rPr>
      </w:pPr>
    </w:p>
    <w:p>
      <w:pPr>
        <w:pStyle w:val="Heading4"/>
        <w:numPr>
          <w:ilvl w:val="0"/>
          <w:numId w:val="15"/>
        </w:numPr>
        <w:tabs>
          <w:tab w:pos="518" w:val="left" w:leader="none"/>
        </w:tabs>
        <w:spacing w:line="240" w:lineRule="auto" w:before="0" w:after="0"/>
        <w:ind w:left="518" w:right="0" w:hanging="359"/>
        <w:jc w:val="left"/>
      </w:pPr>
      <w:r>
        <w:rPr/>
        <w:t>FACT</w:t>
      </w:r>
      <w:r>
        <w:rPr>
          <w:spacing w:val="-5"/>
        </w:rPr>
        <w:t> </w:t>
      </w:r>
      <w:r>
        <w:rPr/>
        <w:t>SHEET</w:t>
      </w:r>
      <w:r>
        <w:rPr>
          <w:spacing w:val="-4"/>
        </w:rPr>
        <w:t> </w:t>
      </w:r>
      <w:r>
        <w:rPr/>
        <w:t>FOR</w:t>
      </w:r>
      <w:r>
        <w:rPr>
          <w:spacing w:val="-4"/>
        </w:rPr>
        <w:t> </w:t>
      </w:r>
      <w:r>
        <w:rPr/>
        <w:t>HEALTHCARE</w:t>
      </w:r>
      <w:r>
        <w:rPr>
          <w:spacing w:val="-4"/>
        </w:rPr>
        <w:t> </w:t>
      </w:r>
      <w:r>
        <w:rPr/>
        <w:t>PROVIDERS</w:t>
      </w:r>
      <w:r>
        <w:rPr>
          <w:spacing w:val="-3"/>
        </w:rPr>
        <w:t> </w:t>
      </w:r>
      <w:r>
        <w:rPr/>
        <w:t>AND</w:t>
      </w:r>
      <w:r>
        <w:rPr>
          <w:spacing w:val="-2"/>
        </w:rPr>
        <w:t> PATIENTS:</w:t>
      </w:r>
    </w:p>
    <w:p>
      <w:pPr>
        <w:pStyle w:val="Heading6"/>
        <w:spacing w:before="120"/>
        <w:ind w:left="519" w:right="250"/>
      </w:pPr>
      <w:r>
        <w:rPr>
          <w:color w:val="000000"/>
          <w:shd w:fill="FFFF00" w:color="auto" w:val="clear"/>
        </w:rPr>
        <w:t>[Include proposed Fact Sheets for Patients and Healthcare Providers]</w:t>
      </w:r>
      <w:r>
        <w:rPr>
          <w:color w:val="000000"/>
        </w:rPr>
        <w:t> - see examples for authorized</w:t>
      </w:r>
      <w:r>
        <w:rPr>
          <w:color w:val="000000"/>
          <w:spacing w:val="-5"/>
        </w:rPr>
        <w:t> </w:t>
      </w:r>
      <w:r>
        <w:rPr>
          <w:color w:val="000000"/>
        </w:rPr>
        <w:t>EUA</w:t>
      </w:r>
      <w:r>
        <w:rPr>
          <w:color w:val="000000"/>
          <w:spacing w:val="-4"/>
        </w:rPr>
        <w:t> </w:t>
      </w:r>
      <w:r>
        <w:rPr>
          <w:color w:val="000000"/>
        </w:rPr>
        <w:t>tests</w:t>
      </w:r>
      <w:r>
        <w:rPr>
          <w:color w:val="000000"/>
          <w:spacing w:val="-3"/>
        </w:rPr>
        <w:t> </w:t>
      </w:r>
      <w:r>
        <w:rPr>
          <w:color w:val="000000"/>
        </w:rPr>
        <w:t>on</w:t>
      </w:r>
      <w:r>
        <w:rPr>
          <w:color w:val="000000"/>
          <w:spacing w:val="-4"/>
        </w:rPr>
        <w:t> </w:t>
      </w:r>
      <w:r>
        <w:rPr>
          <w:color w:val="000000"/>
        </w:rPr>
        <w:t>our</w:t>
      </w:r>
      <w:r>
        <w:rPr>
          <w:color w:val="000000"/>
          <w:spacing w:val="-3"/>
        </w:rPr>
        <w:t> </w:t>
      </w:r>
      <w:r>
        <w:rPr>
          <w:color w:val="000000"/>
        </w:rPr>
        <w:t>website.</w:t>
      </w:r>
      <w:r>
        <w:rPr>
          <w:color w:val="000000"/>
          <w:spacing w:val="-3"/>
        </w:rPr>
        <w:t> </w:t>
      </w:r>
      <w:r>
        <w:rPr>
          <w:color w:val="000000"/>
        </w:rPr>
        <w:t>During</w:t>
      </w:r>
      <w:r>
        <w:rPr>
          <w:color w:val="000000"/>
          <w:spacing w:val="-4"/>
        </w:rPr>
        <w:t> </w:t>
      </w:r>
      <w:r>
        <w:rPr>
          <w:color w:val="000000"/>
        </w:rPr>
        <w:t>review,</w:t>
      </w:r>
      <w:r>
        <w:rPr>
          <w:color w:val="000000"/>
          <w:spacing w:val="-3"/>
        </w:rPr>
        <w:t> </w:t>
      </w:r>
      <w:r>
        <w:rPr>
          <w:color w:val="000000"/>
        </w:rPr>
        <w:t>FDA</w:t>
      </w:r>
      <w:r>
        <w:rPr>
          <w:color w:val="000000"/>
          <w:spacing w:val="-3"/>
        </w:rPr>
        <w:t> </w:t>
      </w:r>
      <w:r>
        <w:rPr>
          <w:color w:val="000000"/>
        </w:rPr>
        <w:t>will</w:t>
      </w:r>
      <w:r>
        <w:rPr>
          <w:color w:val="000000"/>
          <w:spacing w:val="-3"/>
        </w:rPr>
        <w:t> </w:t>
      </w:r>
      <w:r>
        <w:rPr>
          <w:color w:val="000000"/>
        </w:rPr>
        <w:t>make</w:t>
      </w:r>
      <w:r>
        <w:rPr>
          <w:color w:val="000000"/>
          <w:spacing w:val="-3"/>
        </w:rPr>
        <w:t> </w:t>
      </w:r>
      <w:r>
        <w:rPr>
          <w:color w:val="000000"/>
        </w:rPr>
        <w:t>available</w:t>
      </w:r>
      <w:r>
        <w:rPr>
          <w:color w:val="000000"/>
          <w:spacing w:val="-3"/>
        </w:rPr>
        <w:t> </w:t>
      </w:r>
      <w:r>
        <w:rPr>
          <w:color w:val="000000"/>
        </w:rPr>
        <w:t>Fact</w:t>
      </w:r>
      <w:r>
        <w:rPr>
          <w:color w:val="000000"/>
          <w:spacing w:val="-3"/>
        </w:rPr>
        <w:t> </w:t>
      </w:r>
      <w:r>
        <w:rPr>
          <w:color w:val="000000"/>
        </w:rPr>
        <w:t>Sheet </w:t>
      </w:r>
      <w:r>
        <w:rPr>
          <w:color w:val="000000"/>
          <w:spacing w:val="-2"/>
        </w:rPr>
        <w:t>templates.</w:t>
      </w:r>
    </w:p>
    <w:p>
      <w:pPr>
        <w:pStyle w:val="BodyText"/>
        <w:spacing w:before="10"/>
        <w:rPr>
          <w:rFonts w:ascii="TimesNewRomanPS-BoldItalicMT"/>
          <w:b/>
          <w:i/>
          <w:sz w:val="20"/>
        </w:rPr>
      </w:pPr>
    </w:p>
    <w:p>
      <w:pPr>
        <w:pStyle w:val="Heading4"/>
        <w:numPr>
          <w:ilvl w:val="0"/>
          <w:numId w:val="15"/>
        </w:numPr>
        <w:tabs>
          <w:tab w:pos="519" w:val="left" w:leader="none"/>
        </w:tabs>
        <w:spacing w:line="240" w:lineRule="auto" w:before="0" w:after="0"/>
        <w:ind w:left="519" w:right="0" w:hanging="359"/>
        <w:jc w:val="left"/>
      </w:pPr>
      <w:bookmarkStart w:name="M. INSTRUCTIONS FOR USE/ PROPOSED LABELI" w:id="123"/>
      <w:bookmarkEnd w:id="123"/>
      <w:r>
        <w:rPr>
          <w:b w:val="0"/>
        </w:rPr>
      </w:r>
      <w:r>
        <w:rPr/>
        <w:t>INSTRUCTIONS</w:t>
      </w:r>
      <w:r>
        <w:rPr>
          <w:spacing w:val="-8"/>
        </w:rPr>
        <w:t> </w:t>
      </w:r>
      <w:r>
        <w:rPr/>
        <w:t>FOR</w:t>
      </w:r>
      <w:r>
        <w:rPr>
          <w:spacing w:val="-5"/>
        </w:rPr>
        <w:t> </w:t>
      </w:r>
      <w:r>
        <w:rPr/>
        <w:t>USE/</w:t>
      </w:r>
      <w:r>
        <w:rPr>
          <w:spacing w:val="-4"/>
        </w:rPr>
        <w:t> </w:t>
      </w:r>
      <w:r>
        <w:rPr/>
        <w:t>PROPOSED</w:t>
      </w:r>
      <w:r>
        <w:rPr>
          <w:spacing w:val="-5"/>
        </w:rPr>
        <w:t> </w:t>
      </w:r>
      <w:r>
        <w:rPr/>
        <w:t>LABELING/PACKAGE</w:t>
      </w:r>
      <w:r>
        <w:rPr>
          <w:spacing w:val="-4"/>
        </w:rPr>
        <w:t> </w:t>
      </w:r>
      <w:r>
        <w:rPr>
          <w:spacing w:val="-2"/>
        </w:rPr>
        <w:t>INSERT:</w:t>
      </w:r>
    </w:p>
    <w:p>
      <w:pPr>
        <w:pStyle w:val="Heading6"/>
        <w:spacing w:before="120"/>
        <w:ind w:left="520"/>
      </w:pPr>
      <w:r>
        <w:rPr>
          <w:color w:val="000000"/>
          <w:shd w:fill="FFFF00" w:color="auto" w:val="clear"/>
        </w:rPr>
        <w:t>[In</w:t>
      </w:r>
      <w:r>
        <w:rPr>
          <w:color w:val="000000"/>
          <w:spacing w:val="-3"/>
          <w:shd w:fill="FFFF00" w:color="auto" w:val="clear"/>
        </w:rPr>
        <w:t> </w:t>
      </w:r>
      <w:r>
        <w:rPr>
          <w:color w:val="000000"/>
          <w:shd w:fill="FFFF00" w:color="auto" w:val="clear"/>
        </w:rPr>
        <w:t>lieu</w:t>
      </w:r>
      <w:r>
        <w:rPr>
          <w:color w:val="000000"/>
          <w:spacing w:val="-2"/>
          <w:shd w:fill="FFFF00" w:color="auto" w:val="clear"/>
        </w:rPr>
        <w:t> </w:t>
      </w:r>
      <w:r>
        <w:rPr>
          <w:color w:val="000000"/>
          <w:shd w:fill="FFFF00" w:color="auto" w:val="clear"/>
        </w:rPr>
        <w:t>of</w:t>
      </w:r>
      <w:r>
        <w:rPr>
          <w:color w:val="000000"/>
          <w:spacing w:val="-1"/>
          <w:shd w:fill="FFFF00" w:color="auto" w:val="clear"/>
        </w:rPr>
        <w:t> </w:t>
      </w:r>
      <w:r>
        <w:rPr>
          <w:color w:val="000000"/>
          <w:shd w:fill="FFFF00" w:color="auto" w:val="clear"/>
        </w:rPr>
        <w:t>a</w:t>
      </w:r>
      <w:r>
        <w:rPr>
          <w:color w:val="000000"/>
          <w:spacing w:val="-3"/>
          <w:shd w:fill="FFFF00" w:color="auto" w:val="clear"/>
        </w:rPr>
        <w:t> </w:t>
      </w:r>
      <w:r>
        <w:rPr>
          <w:color w:val="000000"/>
          <w:shd w:fill="FFFF00" w:color="auto" w:val="clear"/>
        </w:rPr>
        <w:t>package</w:t>
      </w:r>
      <w:r>
        <w:rPr>
          <w:color w:val="000000"/>
          <w:spacing w:val="-1"/>
          <w:shd w:fill="FFFF00" w:color="auto" w:val="clear"/>
        </w:rPr>
        <w:t> </w:t>
      </w:r>
      <w:r>
        <w:rPr>
          <w:color w:val="000000"/>
          <w:shd w:fill="FFFF00" w:color="auto" w:val="clear"/>
        </w:rPr>
        <w:t>insert</w:t>
      </w:r>
      <w:r>
        <w:rPr>
          <w:color w:val="000000"/>
          <w:spacing w:val="-1"/>
          <w:shd w:fill="FFFF00" w:color="auto" w:val="clear"/>
        </w:rPr>
        <w:t> </w:t>
      </w:r>
      <w:r>
        <w:rPr>
          <w:color w:val="000000"/>
          <w:shd w:fill="FFFF00" w:color="auto" w:val="clear"/>
        </w:rPr>
        <w:t>or</w:t>
      </w:r>
      <w:r>
        <w:rPr>
          <w:color w:val="000000"/>
          <w:spacing w:val="-2"/>
          <w:shd w:fill="FFFF00" w:color="auto" w:val="clear"/>
        </w:rPr>
        <w:t> </w:t>
      </w:r>
      <w:r>
        <w:rPr>
          <w:color w:val="000000"/>
          <w:shd w:fill="FFFF00" w:color="auto" w:val="clear"/>
        </w:rPr>
        <w:t>labeling,</w:t>
      </w:r>
      <w:r>
        <w:rPr>
          <w:color w:val="000000"/>
          <w:spacing w:val="-1"/>
          <w:shd w:fill="FFFF00" w:color="auto" w:val="clear"/>
        </w:rPr>
        <w:t> </w:t>
      </w:r>
      <w:r>
        <w:rPr>
          <w:color w:val="000000"/>
          <w:shd w:fill="FFFF00" w:color="auto" w:val="clear"/>
        </w:rPr>
        <w:t>please</w:t>
      </w:r>
      <w:r>
        <w:rPr>
          <w:color w:val="000000"/>
          <w:spacing w:val="-1"/>
          <w:shd w:fill="FFFF00" w:color="auto" w:val="clear"/>
        </w:rPr>
        <w:t> </w:t>
      </w:r>
      <w:r>
        <w:rPr>
          <w:color w:val="000000"/>
          <w:shd w:fill="FFFF00" w:color="auto" w:val="clear"/>
        </w:rPr>
        <w:t>include</w:t>
      </w:r>
      <w:r>
        <w:rPr>
          <w:color w:val="000000"/>
          <w:spacing w:val="-1"/>
          <w:shd w:fill="FFFF00" w:color="auto" w:val="clear"/>
        </w:rPr>
        <w:t> </w:t>
      </w:r>
      <w:r>
        <w:rPr>
          <w:color w:val="000000"/>
          <w:shd w:fill="FFFF00" w:color="auto" w:val="clear"/>
        </w:rPr>
        <w:t>your</w:t>
      </w:r>
      <w:r>
        <w:rPr>
          <w:color w:val="000000"/>
          <w:spacing w:val="-2"/>
          <w:shd w:fill="FFFF00" w:color="auto" w:val="clear"/>
        </w:rPr>
        <w:t> </w:t>
      </w:r>
      <w:r>
        <w:rPr>
          <w:color w:val="000000"/>
          <w:shd w:fill="FFFF00" w:color="auto" w:val="clear"/>
        </w:rPr>
        <w:t>Laboratory</w:t>
      </w:r>
      <w:r>
        <w:rPr>
          <w:color w:val="000000"/>
          <w:spacing w:val="-2"/>
          <w:shd w:fill="FFFF00" w:color="auto" w:val="clear"/>
        </w:rPr>
        <w:t> SOP/protocol.]</w:t>
      </w:r>
    </w:p>
    <w:p>
      <w:pPr>
        <w:spacing w:after="0"/>
        <w:sectPr>
          <w:pgSz w:w="12240" w:h="15840"/>
          <w:pgMar w:header="731" w:footer="785" w:top="1360" w:bottom="980" w:left="1280" w:right="1200"/>
        </w:sectPr>
      </w:pPr>
    </w:p>
    <w:p>
      <w:pPr>
        <w:pStyle w:val="Heading4"/>
        <w:numPr>
          <w:ilvl w:val="0"/>
          <w:numId w:val="15"/>
        </w:numPr>
        <w:tabs>
          <w:tab w:pos="519" w:val="left" w:leader="none"/>
        </w:tabs>
        <w:spacing w:line="240" w:lineRule="auto" w:before="80" w:after="0"/>
        <w:ind w:left="519" w:right="0" w:hanging="359"/>
        <w:jc w:val="left"/>
      </w:pPr>
      <w:bookmarkStart w:name="N. RECORD KEEPING AND REPORTING INFORMAT" w:id="124"/>
      <w:bookmarkEnd w:id="124"/>
      <w:r>
        <w:rPr>
          <w:b w:val="0"/>
        </w:rPr>
      </w:r>
      <w:r>
        <w:rPr/>
        <w:t>RECORD</w:t>
      </w:r>
      <w:r>
        <w:rPr>
          <w:spacing w:val="-6"/>
        </w:rPr>
        <w:t> </w:t>
      </w:r>
      <w:r>
        <w:rPr/>
        <w:t>KEEPING</w:t>
      </w:r>
      <w:r>
        <w:rPr>
          <w:spacing w:val="-3"/>
        </w:rPr>
        <w:t> </w:t>
      </w:r>
      <w:r>
        <w:rPr/>
        <w:t>AND</w:t>
      </w:r>
      <w:r>
        <w:rPr>
          <w:spacing w:val="-3"/>
        </w:rPr>
        <w:t> </w:t>
      </w:r>
      <w:r>
        <w:rPr/>
        <w:t>REPORTING</w:t>
      </w:r>
      <w:r>
        <w:rPr>
          <w:spacing w:val="-3"/>
        </w:rPr>
        <w:t> </w:t>
      </w:r>
      <w:r>
        <w:rPr/>
        <w:t>INFORMATION</w:t>
      </w:r>
      <w:r>
        <w:rPr>
          <w:spacing w:val="-4"/>
        </w:rPr>
        <w:t> </w:t>
      </w:r>
      <w:r>
        <w:rPr/>
        <w:t>TO</w:t>
      </w:r>
      <w:r>
        <w:rPr>
          <w:spacing w:val="-3"/>
        </w:rPr>
        <w:t> </w:t>
      </w:r>
      <w:r>
        <w:rPr>
          <w:spacing w:val="-4"/>
        </w:rPr>
        <w:t>FDA:</w:t>
      </w:r>
    </w:p>
    <w:p>
      <w:pPr>
        <w:pStyle w:val="BodyText"/>
        <w:spacing w:before="120"/>
        <w:ind w:left="520" w:right="278"/>
      </w:pPr>
      <w:r>
        <w:rPr/>
        <w:t>The laboratory will track adverse events and report to FDA under 21 CFR Part 803. A website is available to report on adverse events, and this website is referenced in the Fact Sheet for Health Care providers. The laboratory will maintain will information on the performance</w:t>
      </w:r>
      <w:r>
        <w:rPr>
          <w:spacing w:val="-3"/>
        </w:rPr>
        <w:t> </w:t>
      </w:r>
      <w:r>
        <w:rPr/>
        <w:t>of</w:t>
      </w:r>
      <w:r>
        <w:rPr>
          <w:spacing w:val="-4"/>
        </w:rPr>
        <w:t> </w:t>
      </w:r>
      <w:r>
        <w:rPr/>
        <w:t>the</w:t>
      </w:r>
      <w:r>
        <w:rPr>
          <w:spacing w:val="-3"/>
        </w:rPr>
        <w:t> </w:t>
      </w:r>
      <w:r>
        <w:rPr/>
        <w:t>test,</w:t>
      </w:r>
      <w:r>
        <w:rPr>
          <w:spacing w:val="-5"/>
        </w:rPr>
        <w:t> </w:t>
      </w:r>
      <w:r>
        <w:rPr/>
        <w:t>and</w:t>
      </w:r>
      <w:r>
        <w:rPr>
          <w:spacing w:val="-3"/>
        </w:rPr>
        <w:t> </w:t>
      </w:r>
      <w:r>
        <w:rPr/>
        <w:t>report</w:t>
      </w:r>
      <w:r>
        <w:rPr>
          <w:spacing w:val="-3"/>
        </w:rPr>
        <w:t> </w:t>
      </w:r>
      <w:r>
        <w:rPr/>
        <w:t>to</w:t>
      </w:r>
      <w:r>
        <w:rPr>
          <w:spacing w:val="-5"/>
        </w:rPr>
        <w:t> </w:t>
      </w:r>
      <w:r>
        <w:rPr/>
        <w:t>FDA</w:t>
      </w:r>
      <w:r>
        <w:rPr>
          <w:spacing w:val="-4"/>
        </w:rPr>
        <w:t> </w:t>
      </w:r>
      <w:r>
        <w:rPr/>
        <w:t>any</w:t>
      </w:r>
      <w:r>
        <w:rPr>
          <w:spacing w:val="-3"/>
        </w:rPr>
        <w:t> </w:t>
      </w:r>
      <w:r>
        <w:rPr/>
        <w:t>suspected</w:t>
      </w:r>
      <w:r>
        <w:rPr>
          <w:spacing w:val="-5"/>
        </w:rPr>
        <w:t> </w:t>
      </w:r>
      <w:r>
        <w:rPr/>
        <w:t>change</w:t>
      </w:r>
      <w:r>
        <w:rPr>
          <w:spacing w:val="-3"/>
        </w:rPr>
        <w:t> </w:t>
      </w:r>
      <w:r>
        <w:rPr/>
        <w:t>in</w:t>
      </w:r>
      <w:r>
        <w:rPr>
          <w:spacing w:val="-3"/>
        </w:rPr>
        <w:t> </w:t>
      </w:r>
      <w:r>
        <w:rPr/>
        <w:t>performance</w:t>
      </w:r>
      <w:r>
        <w:rPr>
          <w:spacing w:val="-3"/>
        </w:rPr>
        <w:t> </w:t>
      </w:r>
      <w:r>
        <w:rPr/>
        <w:t>of</w:t>
      </w:r>
      <w:r>
        <w:rPr>
          <w:spacing w:val="-4"/>
        </w:rPr>
        <w:t> </w:t>
      </w:r>
      <w:r>
        <w:rPr/>
        <w:t>which they become aware. The laboratory will maintain records associated with this EUA and ensure these records are maintained until notified by FDA. Such records will be made available to FDA for inspection upon request.</w:t>
      </w:r>
    </w:p>
    <w:sectPr>
      <w:pgSz w:w="12240" w:h="15840"/>
      <w:pgMar w:header="731" w:footer="785" w:top="1360" w:bottom="980" w:left="1280" w:right="120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TimesNewRomanPS-BoldItalicMT">
    <w:altName w:val="TimesNewRomanPS-BoldItalicMT"/>
    <w:charset w:val="0"/>
    <w:family w:val="roman"/>
    <w:pitch w:val="variable"/>
  </w:font>
  <w:font w:name="Arial">
    <w:altName w:val="Arial"/>
    <w:charset w:val="0"/>
    <w:family w:val="swiss"/>
    <w:pitch w:val="variable"/>
  </w:font>
  <w:font w:name="Arial-BoldItalicMT">
    <w:altName w:val="Arial-BoldItalicMT"/>
    <w:charset w:val="0"/>
    <w:family w:val="swiss"/>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6610432">
              <wp:simplePos x="0" y="0"/>
              <wp:positionH relativeFrom="page">
                <wp:posOffset>6667500</wp:posOffset>
              </wp:positionH>
              <wp:positionV relativeFrom="page">
                <wp:posOffset>9419928</wp:posOffset>
              </wp:positionV>
              <wp:extent cx="241300" cy="19431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241300" cy="194310"/>
                      </a:xfrm>
                      <a:prstGeom prst="rect">
                        <a:avLst/>
                      </a:prstGeom>
                    </wps:spPr>
                    <wps:txbx>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wps:txbx>
                    <wps:bodyPr wrap="square" lIns="0" tIns="0" rIns="0" bIns="0" rtlCol="0">
                      <a:noAutofit/>
                    </wps:bodyPr>
                  </wps:wsp>
                </a:graphicData>
              </a:graphic>
            </wp:anchor>
          </w:drawing>
        </mc:Choice>
        <mc:Fallback>
          <w:pict>
            <v:shape style="position:absolute;margin-left:525pt;margin-top:741.726624pt;width:19pt;height:15.3pt;mso-position-horizontal-relative:page;mso-position-vertical-relative:page;z-index:-16706048" type="#_x0000_t202" id="docshape2" filled="false" stroked="false">
              <v:textbox inset="0,0,0,0">
                <w:txbxContent>
                  <w:p>
                    <w:pPr>
                      <w:pStyle w:val="BodyText"/>
                      <w:spacing w:before="10"/>
                      <w:ind w:left="60"/>
                    </w:pPr>
                    <w:r>
                      <w:rPr>
                        <w:spacing w:val="-5"/>
                      </w:rPr>
                      <w:fldChar w:fldCharType="begin"/>
                    </w:r>
                    <w:r>
                      <w:rPr>
                        <w:spacing w:val="-5"/>
                      </w:rPr>
                      <w:instrText> PAGE </w:instrText>
                    </w:r>
                    <w:r>
                      <w:rPr>
                        <w:spacing w:val="-5"/>
                      </w:rPr>
                      <w:fldChar w:fldCharType="separate"/>
                    </w:r>
                    <w:r>
                      <w:rPr>
                        <w:spacing w:val="-5"/>
                      </w:rPr>
                      <w:t>10</w:t>
                    </w:r>
                    <w:r>
                      <w:rPr>
                        <w:spacing w:val="-5"/>
                      </w:rPr>
                      <w:fldChar w:fldCharType="end"/>
                    </w:r>
                  </w:p>
                </w:txbxContent>
              </v:textbox>
              <w10:wrap type="none"/>
            </v:shape>
          </w:pict>
        </mc:Fallback>
      </mc:AlternateContent>
    </w:r>
  </w:p>
</w:ftr>
</file>

<file path=word/header1.xml><?xml version="1.0" encoding="utf-8"?>
<w:hd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mc:AlternateContent>
        <mc:Choice Requires="wps">
          <w:drawing>
            <wp:anchor distT="0" distB="0" distL="0" distR="0" allowOverlap="1" layoutInCell="1" locked="0" behindDoc="1" simplePos="0" relativeHeight="486609920">
              <wp:simplePos x="0" y="0"/>
              <wp:positionH relativeFrom="page">
                <wp:posOffset>2594864</wp:posOffset>
              </wp:positionH>
              <wp:positionV relativeFrom="page">
                <wp:posOffset>451188</wp:posOffset>
              </wp:positionV>
              <wp:extent cx="2583815" cy="19431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2583815" cy="194310"/>
                      </a:xfrm>
                      <a:prstGeom prst="rect">
                        <a:avLst/>
                      </a:prstGeom>
                    </wps:spPr>
                    <wps:txbx>
                      <w:txbxContent>
                        <w:p>
                          <w:pPr>
                            <w:spacing w:before="10"/>
                            <w:ind w:left="20" w:right="0" w:firstLine="0"/>
                            <w:jc w:val="left"/>
                            <w:rPr>
                              <w:rFonts w:ascii="TimesNewRomanPS-BoldItalicMT"/>
                              <w:b/>
                              <w:i/>
                              <w:sz w:val="24"/>
                            </w:rPr>
                          </w:pPr>
                          <w:r>
                            <w:rPr>
                              <w:rFonts w:ascii="TimesNewRomanPS-BoldItalicMT"/>
                              <w:b/>
                              <w:i/>
                              <w:sz w:val="24"/>
                            </w:rPr>
                            <w:t>Contains</w:t>
                          </w:r>
                          <w:r>
                            <w:rPr>
                              <w:rFonts w:ascii="TimesNewRomanPS-BoldItalicMT"/>
                              <w:b/>
                              <w:i/>
                              <w:spacing w:val="-4"/>
                              <w:sz w:val="24"/>
                            </w:rPr>
                            <w:t> </w:t>
                          </w:r>
                          <w:r>
                            <w:rPr>
                              <w:rFonts w:ascii="TimesNewRomanPS-BoldItalicMT"/>
                              <w:b/>
                              <w:i/>
                              <w:sz w:val="24"/>
                            </w:rPr>
                            <w:t>Nonbinding</w:t>
                          </w:r>
                          <w:r>
                            <w:rPr>
                              <w:rFonts w:ascii="TimesNewRomanPS-BoldItalicMT"/>
                              <w:b/>
                              <w:i/>
                              <w:spacing w:val="-3"/>
                              <w:sz w:val="24"/>
                            </w:rPr>
                            <w:t> </w:t>
                          </w:r>
                          <w:r>
                            <w:rPr>
                              <w:rFonts w:ascii="TimesNewRomanPS-BoldItalicMT"/>
                              <w:b/>
                              <w:i/>
                              <w:spacing w:val="-2"/>
                              <w:sz w:val="24"/>
                            </w:rPr>
                            <w:t>Recommendations</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04.320007pt;margin-top:35.526642pt;width:203.45pt;height:15.3pt;mso-position-horizontal-relative:page;mso-position-vertical-relative:page;z-index:-16706560" type="#_x0000_t202" id="docshape1" filled="false" stroked="false">
              <v:textbox inset="0,0,0,0">
                <w:txbxContent>
                  <w:p>
                    <w:pPr>
                      <w:spacing w:before="10"/>
                      <w:ind w:left="20" w:right="0" w:firstLine="0"/>
                      <w:jc w:val="left"/>
                      <w:rPr>
                        <w:rFonts w:ascii="TimesNewRomanPS-BoldItalicMT"/>
                        <w:b/>
                        <w:i/>
                        <w:sz w:val="24"/>
                      </w:rPr>
                    </w:pPr>
                    <w:r>
                      <w:rPr>
                        <w:rFonts w:ascii="TimesNewRomanPS-BoldItalicMT"/>
                        <w:b/>
                        <w:i/>
                        <w:sz w:val="24"/>
                      </w:rPr>
                      <w:t>Contains</w:t>
                    </w:r>
                    <w:r>
                      <w:rPr>
                        <w:rFonts w:ascii="TimesNewRomanPS-BoldItalicMT"/>
                        <w:b/>
                        <w:i/>
                        <w:spacing w:val="-4"/>
                        <w:sz w:val="24"/>
                      </w:rPr>
                      <w:t> </w:t>
                    </w:r>
                    <w:r>
                      <w:rPr>
                        <w:rFonts w:ascii="TimesNewRomanPS-BoldItalicMT"/>
                        <w:b/>
                        <w:i/>
                        <w:sz w:val="24"/>
                      </w:rPr>
                      <w:t>Nonbinding</w:t>
                    </w:r>
                    <w:r>
                      <w:rPr>
                        <w:rFonts w:ascii="TimesNewRomanPS-BoldItalicMT"/>
                        <w:b/>
                        <w:i/>
                        <w:spacing w:val="-3"/>
                        <w:sz w:val="24"/>
                      </w:rPr>
                      <w:t> </w:t>
                    </w:r>
                    <w:r>
                      <w:rPr>
                        <w:rFonts w:ascii="TimesNewRomanPS-BoldItalicMT"/>
                        <w:b/>
                        <w:i/>
                        <w:spacing w:val="-2"/>
                        <w:sz w:val="24"/>
                      </w:rPr>
                      <w:t>Recommendations</w:t>
                    </w:r>
                  </w:p>
                </w:txbxContent>
              </v:textbox>
              <w10:wrap type="none"/>
            </v:shape>
          </w:pict>
        </mc:Fallback>
      </mc:AlternateConten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4">
    <w:multiLevelType w:val="hybridMultilevel"/>
    <w:lvl w:ilvl="0">
      <w:start w:val="1"/>
      <w:numFmt w:val="upperLetter"/>
      <w:lvlText w:val="%1."/>
      <w:lvlJc w:val="left"/>
      <w:pPr>
        <w:ind w:left="520" w:hanging="360"/>
        <w:jc w:val="left"/>
      </w:pPr>
      <w:rPr>
        <w:rFonts w:hint="default" w:ascii="Times New Roman" w:hAnsi="Times New Roman" w:eastAsia="Times New Roman" w:cs="Times New Roman"/>
        <w:b/>
        <w:bCs/>
        <w:i w:val="0"/>
        <w:iCs w:val="0"/>
        <w:spacing w:val="-1"/>
        <w:w w:val="100"/>
        <w:sz w:val="24"/>
        <w:szCs w:val="24"/>
        <w:lang w:val="en-US" w:eastAsia="en-US" w:bidi="ar-SA"/>
      </w:rPr>
    </w:lvl>
    <w:lvl w:ilvl="1">
      <w:start w:val="1"/>
      <w:numFmt w:val="decimal"/>
      <w:lvlText w:val="%2)"/>
      <w:lvlJc w:val="left"/>
      <w:pPr>
        <w:ind w:left="880" w:hanging="360"/>
        <w:jc w:val="left"/>
      </w:pPr>
      <w:rPr>
        <w:rFonts w:hint="default"/>
        <w:spacing w:val="0"/>
        <w:w w:val="100"/>
        <w:lang w:val="en-US" w:eastAsia="en-US" w:bidi="ar-SA"/>
      </w:rPr>
    </w:lvl>
    <w:lvl w:ilvl="2">
      <w:start w:val="1"/>
      <w:numFmt w:val="lowerLetter"/>
      <w:lvlText w:val="%3)"/>
      <w:lvlJc w:val="left"/>
      <w:pPr>
        <w:ind w:left="1240" w:hanging="360"/>
        <w:jc w:val="left"/>
      </w:pPr>
      <w:rPr>
        <w:rFonts w:hint="default" w:ascii="Times New Roman" w:hAnsi="Times New Roman" w:eastAsia="Times New Roman" w:cs="Times New Roman"/>
        <w:b w:val="0"/>
        <w:bCs w:val="0"/>
        <w:i/>
        <w:iCs/>
        <w:spacing w:val="0"/>
        <w:w w:val="100"/>
        <w:sz w:val="24"/>
        <w:szCs w:val="24"/>
        <w:lang w:val="en-US" w:eastAsia="en-US" w:bidi="ar-SA"/>
      </w:rPr>
    </w:lvl>
    <w:lvl w:ilvl="3">
      <w:start w:val="0"/>
      <w:numFmt w:val="bullet"/>
      <w:lvlText w:val="•"/>
      <w:lvlJc w:val="left"/>
      <w:pPr>
        <w:ind w:left="2305" w:hanging="360"/>
      </w:pPr>
      <w:rPr>
        <w:rFonts w:hint="default"/>
        <w:lang w:val="en-US" w:eastAsia="en-US" w:bidi="ar-SA"/>
      </w:rPr>
    </w:lvl>
    <w:lvl w:ilvl="4">
      <w:start w:val="0"/>
      <w:numFmt w:val="bullet"/>
      <w:lvlText w:val="•"/>
      <w:lvlJc w:val="left"/>
      <w:pPr>
        <w:ind w:left="3370" w:hanging="360"/>
      </w:pPr>
      <w:rPr>
        <w:rFonts w:hint="default"/>
        <w:lang w:val="en-US" w:eastAsia="en-US" w:bidi="ar-SA"/>
      </w:rPr>
    </w:lvl>
    <w:lvl w:ilvl="5">
      <w:start w:val="0"/>
      <w:numFmt w:val="bullet"/>
      <w:lvlText w:val="•"/>
      <w:lvlJc w:val="left"/>
      <w:pPr>
        <w:ind w:left="4435" w:hanging="360"/>
      </w:pPr>
      <w:rPr>
        <w:rFonts w:hint="default"/>
        <w:lang w:val="en-US" w:eastAsia="en-US" w:bidi="ar-SA"/>
      </w:rPr>
    </w:lvl>
    <w:lvl w:ilvl="6">
      <w:start w:val="0"/>
      <w:numFmt w:val="bullet"/>
      <w:lvlText w:val="•"/>
      <w:lvlJc w:val="left"/>
      <w:pPr>
        <w:ind w:left="5500" w:hanging="360"/>
      </w:pPr>
      <w:rPr>
        <w:rFonts w:hint="default"/>
        <w:lang w:val="en-US" w:eastAsia="en-US" w:bidi="ar-SA"/>
      </w:rPr>
    </w:lvl>
    <w:lvl w:ilvl="7">
      <w:start w:val="0"/>
      <w:numFmt w:val="bullet"/>
      <w:lvlText w:val="•"/>
      <w:lvlJc w:val="left"/>
      <w:pPr>
        <w:ind w:left="6565" w:hanging="360"/>
      </w:pPr>
      <w:rPr>
        <w:rFonts w:hint="default"/>
        <w:lang w:val="en-US" w:eastAsia="en-US" w:bidi="ar-SA"/>
      </w:rPr>
    </w:lvl>
    <w:lvl w:ilvl="8">
      <w:start w:val="0"/>
      <w:numFmt w:val="bullet"/>
      <w:lvlText w:val="•"/>
      <w:lvlJc w:val="left"/>
      <w:pPr>
        <w:ind w:left="7630" w:hanging="360"/>
      </w:pPr>
      <w:rPr>
        <w:rFonts w:hint="default"/>
        <w:lang w:val="en-US" w:eastAsia="en-US" w:bidi="ar-SA"/>
      </w:rPr>
    </w:lvl>
  </w:abstractNum>
  <w:abstractNum w:abstractNumId="13">
    <w:multiLevelType w:val="hybridMultilevel"/>
    <w:lvl w:ilvl="0">
      <w:start w:val="0"/>
      <w:numFmt w:val="bullet"/>
      <w:lvlText w:val="•"/>
      <w:lvlJc w:val="left"/>
      <w:pPr>
        <w:ind w:left="520" w:hanging="360"/>
      </w:pPr>
      <w:rPr>
        <w:rFonts w:hint="default" w:ascii="Arial" w:hAnsi="Arial" w:eastAsia="Arial" w:cs="Arial"/>
        <w:b w:val="0"/>
        <w:bCs w:val="0"/>
        <w:i w:val="0"/>
        <w:iCs w:val="0"/>
        <w:spacing w:val="0"/>
        <w:w w:val="131"/>
        <w:sz w:val="24"/>
        <w:szCs w:val="24"/>
        <w:lang w:val="en-US" w:eastAsia="en-US" w:bidi="ar-SA"/>
      </w:rPr>
    </w:lvl>
    <w:lvl w:ilvl="1">
      <w:start w:val="0"/>
      <w:numFmt w:val="bullet"/>
      <w:lvlText w:val="•"/>
      <w:lvlJc w:val="left"/>
      <w:pPr>
        <w:ind w:left="1444" w:hanging="360"/>
      </w:pPr>
      <w:rPr>
        <w:rFonts w:hint="default"/>
        <w:lang w:val="en-US" w:eastAsia="en-US" w:bidi="ar-SA"/>
      </w:rPr>
    </w:lvl>
    <w:lvl w:ilvl="2">
      <w:start w:val="0"/>
      <w:numFmt w:val="bullet"/>
      <w:lvlText w:val="•"/>
      <w:lvlJc w:val="left"/>
      <w:pPr>
        <w:ind w:left="2368" w:hanging="360"/>
      </w:pPr>
      <w:rPr>
        <w:rFonts w:hint="default"/>
        <w:lang w:val="en-US" w:eastAsia="en-US" w:bidi="ar-SA"/>
      </w:rPr>
    </w:lvl>
    <w:lvl w:ilvl="3">
      <w:start w:val="0"/>
      <w:numFmt w:val="bullet"/>
      <w:lvlText w:val="•"/>
      <w:lvlJc w:val="left"/>
      <w:pPr>
        <w:ind w:left="3292" w:hanging="360"/>
      </w:pPr>
      <w:rPr>
        <w:rFonts w:hint="default"/>
        <w:lang w:val="en-US" w:eastAsia="en-US" w:bidi="ar-SA"/>
      </w:rPr>
    </w:lvl>
    <w:lvl w:ilvl="4">
      <w:start w:val="0"/>
      <w:numFmt w:val="bullet"/>
      <w:lvlText w:val="•"/>
      <w:lvlJc w:val="left"/>
      <w:pPr>
        <w:ind w:left="4216" w:hanging="360"/>
      </w:pPr>
      <w:rPr>
        <w:rFonts w:hint="default"/>
        <w:lang w:val="en-US" w:eastAsia="en-US" w:bidi="ar-SA"/>
      </w:rPr>
    </w:lvl>
    <w:lvl w:ilvl="5">
      <w:start w:val="0"/>
      <w:numFmt w:val="bullet"/>
      <w:lvlText w:val="•"/>
      <w:lvlJc w:val="left"/>
      <w:pPr>
        <w:ind w:left="5140" w:hanging="360"/>
      </w:pPr>
      <w:rPr>
        <w:rFonts w:hint="default"/>
        <w:lang w:val="en-US" w:eastAsia="en-US" w:bidi="ar-SA"/>
      </w:rPr>
    </w:lvl>
    <w:lvl w:ilvl="6">
      <w:start w:val="0"/>
      <w:numFmt w:val="bullet"/>
      <w:lvlText w:val="•"/>
      <w:lvlJc w:val="left"/>
      <w:pPr>
        <w:ind w:left="6064" w:hanging="360"/>
      </w:pPr>
      <w:rPr>
        <w:rFonts w:hint="default"/>
        <w:lang w:val="en-US" w:eastAsia="en-US" w:bidi="ar-SA"/>
      </w:rPr>
    </w:lvl>
    <w:lvl w:ilvl="7">
      <w:start w:val="0"/>
      <w:numFmt w:val="bullet"/>
      <w:lvlText w:val="•"/>
      <w:lvlJc w:val="left"/>
      <w:pPr>
        <w:ind w:left="6988" w:hanging="360"/>
      </w:pPr>
      <w:rPr>
        <w:rFonts w:hint="default"/>
        <w:lang w:val="en-US" w:eastAsia="en-US" w:bidi="ar-SA"/>
      </w:rPr>
    </w:lvl>
    <w:lvl w:ilvl="8">
      <w:start w:val="0"/>
      <w:numFmt w:val="bullet"/>
      <w:lvlText w:val="•"/>
      <w:lvlJc w:val="left"/>
      <w:pPr>
        <w:ind w:left="7912" w:hanging="360"/>
      </w:pPr>
      <w:rPr>
        <w:rFonts w:hint="default"/>
        <w:lang w:val="en-US" w:eastAsia="en-US" w:bidi="ar-SA"/>
      </w:rPr>
    </w:lvl>
  </w:abstractNum>
  <w:abstractNum w:abstractNumId="12">
    <w:multiLevelType w:val="hybridMultilevel"/>
    <w:lvl w:ilvl="0">
      <w:start w:val="1"/>
      <w:numFmt w:val="upperLetter"/>
      <w:lvlText w:val="%1."/>
      <w:lvlJc w:val="left"/>
      <w:pPr>
        <w:ind w:left="520" w:hanging="360"/>
        <w:jc w:val="left"/>
      </w:pPr>
      <w:rPr>
        <w:rFonts w:hint="default" w:ascii="Times New Roman" w:hAnsi="Times New Roman" w:eastAsia="Times New Roman" w:cs="Times New Roman"/>
        <w:b/>
        <w:bCs/>
        <w:i w:val="0"/>
        <w:iCs w:val="0"/>
        <w:spacing w:val="-1"/>
        <w:w w:val="100"/>
        <w:sz w:val="24"/>
        <w:szCs w:val="24"/>
        <w:lang w:val="en-US" w:eastAsia="en-US" w:bidi="ar-SA"/>
      </w:rPr>
    </w:lvl>
    <w:lvl w:ilvl="1">
      <w:start w:val="1"/>
      <w:numFmt w:val="decimal"/>
      <w:lvlText w:val="%2)"/>
      <w:lvlJc w:val="left"/>
      <w:pPr>
        <w:ind w:left="880" w:hanging="360"/>
        <w:jc w:val="left"/>
      </w:pPr>
      <w:rPr>
        <w:rFonts w:hint="default" w:ascii="TimesNewRomanPS-BoldItalicMT" w:hAnsi="TimesNewRomanPS-BoldItalicMT" w:eastAsia="TimesNewRomanPS-BoldItalicMT" w:cs="TimesNewRomanPS-BoldItalicMT"/>
        <w:b/>
        <w:bCs/>
        <w:i/>
        <w:iCs/>
        <w:spacing w:val="0"/>
        <w:w w:val="100"/>
        <w:sz w:val="24"/>
        <w:szCs w:val="24"/>
        <w:lang w:val="en-US" w:eastAsia="en-US" w:bidi="ar-SA"/>
      </w:rPr>
    </w:lvl>
    <w:lvl w:ilvl="2">
      <w:start w:val="1"/>
      <w:numFmt w:val="lowerLetter"/>
      <w:lvlText w:val="%3)"/>
      <w:lvlJc w:val="left"/>
      <w:pPr>
        <w:ind w:left="1240" w:hanging="360"/>
        <w:jc w:val="left"/>
      </w:pPr>
      <w:rPr>
        <w:rFonts w:hint="default"/>
        <w:spacing w:val="0"/>
        <w:w w:val="100"/>
        <w:lang w:val="en-US" w:eastAsia="en-US" w:bidi="ar-SA"/>
      </w:rPr>
    </w:lvl>
    <w:lvl w:ilvl="3">
      <w:start w:val="0"/>
      <w:numFmt w:val="bullet"/>
      <w:lvlText w:val="•"/>
      <w:lvlJc w:val="left"/>
      <w:pPr>
        <w:ind w:left="1520" w:hanging="360"/>
      </w:pPr>
      <w:rPr>
        <w:rFonts w:hint="default"/>
        <w:lang w:val="en-US" w:eastAsia="en-US" w:bidi="ar-SA"/>
      </w:rPr>
    </w:lvl>
    <w:lvl w:ilvl="4">
      <w:start w:val="0"/>
      <w:numFmt w:val="bullet"/>
      <w:lvlText w:val="•"/>
      <w:lvlJc w:val="left"/>
      <w:pPr>
        <w:ind w:left="2697" w:hanging="360"/>
      </w:pPr>
      <w:rPr>
        <w:rFonts w:hint="default"/>
        <w:lang w:val="en-US" w:eastAsia="en-US" w:bidi="ar-SA"/>
      </w:rPr>
    </w:lvl>
    <w:lvl w:ilvl="5">
      <w:start w:val="0"/>
      <w:numFmt w:val="bullet"/>
      <w:lvlText w:val="•"/>
      <w:lvlJc w:val="left"/>
      <w:pPr>
        <w:ind w:left="3874" w:hanging="360"/>
      </w:pPr>
      <w:rPr>
        <w:rFonts w:hint="default"/>
        <w:lang w:val="en-US" w:eastAsia="en-US" w:bidi="ar-SA"/>
      </w:rPr>
    </w:lvl>
    <w:lvl w:ilvl="6">
      <w:start w:val="0"/>
      <w:numFmt w:val="bullet"/>
      <w:lvlText w:val="•"/>
      <w:lvlJc w:val="left"/>
      <w:pPr>
        <w:ind w:left="5051" w:hanging="360"/>
      </w:pPr>
      <w:rPr>
        <w:rFonts w:hint="default"/>
        <w:lang w:val="en-US" w:eastAsia="en-US" w:bidi="ar-SA"/>
      </w:rPr>
    </w:lvl>
    <w:lvl w:ilvl="7">
      <w:start w:val="0"/>
      <w:numFmt w:val="bullet"/>
      <w:lvlText w:val="•"/>
      <w:lvlJc w:val="left"/>
      <w:pPr>
        <w:ind w:left="6228" w:hanging="360"/>
      </w:pPr>
      <w:rPr>
        <w:rFonts w:hint="default"/>
        <w:lang w:val="en-US" w:eastAsia="en-US" w:bidi="ar-SA"/>
      </w:rPr>
    </w:lvl>
    <w:lvl w:ilvl="8">
      <w:start w:val="0"/>
      <w:numFmt w:val="bullet"/>
      <w:lvlText w:val="•"/>
      <w:lvlJc w:val="left"/>
      <w:pPr>
        <w:ind w:left="7405" w:hanging="360"/>
      </w:pPr>
      <w:rPr>
        <w:rFonts w:hint="default"/>
        <w:lang w:val="en-US" w:eastAsia="en-US" w:bidi="ar-SA"/>
      </w:rPr>
    </w:lvl>
  </w:abstractNum>
  <w:abstractNum w:abstractNumId="11">
    <w:multiLevelType w:val="hybridMultilevel"/>
    <w:lvl w:ilvl="0">
      <w:start w:val="0"/>
      <w:numFmt w:val="bullet"/>
      <w:lvlText w:val="•"/>
      <w:lvlJc w:val="left"/>
      <w:pPr>
        <w:ind w:left="520" w:hanging="360"/>
      </w:pPr>
      <w:rPr>
        <w:rFonts w:hint="default" w:ascii="Arial" w:hAnsi="Arial" w:eastAsia="Arial" w:cs="Arial"/>
        <w:b w:val="0"/>
        <w:bCs w:val="0"/>
        <w:i w:val="0"/>
        <w:iCs w:val="0"/>
        <w:spacing w:val="0"/>
        <w:w w:val="131"/>
        <w:sz w:val="24"/>
        <w:szCs w:val="24"/>
        <w:lang w:val="en-US" w:eastAsia="en-US" w:bidi="ar-SA"/>
      </w:rPr>
    </w:lvl>
    <w:lvl w:ilvl="1">
      <w:start w:val="0"/>
      <w:numFmt w:val="bullet"/>
      <w:lvlText w:val="•"/>
      <w:lvlJc w:val="left"/>
      <w:pPr>
        <w:ind w:left="1444" w:hanging="360"/>
      </w:pPr>
      <w:rPr>
        <w:rFonts w:hint="default"/>
        <w:lang w:val="en-US" w:eastAsia="en-US" w:bidi="ar-SA"/>
      </w:rPr>
    </w:lvl>
    <w:lvl w:ilvl="2">
      <w:start w:val="0"/>
      <w:numFmt w:val="bullet"/>
      <w:lvlText w:val="•"/>
      <w:lvlJc w:val="left"/>
      <w:pPr>
        <w:ind w:left="2368" w:hanging="360"/>
      </w:pPr>
      <w:rPr>
        <w:rFonts w:hint="default"/>
        <w:lang w:val="en-US" w:eastAsia="en-US" w:bidi="ar-SA"/>
      </w:rPr>
    </w:lvl>
    <w:lvl w:ilvl="3">
      <w:start w:val="0"/>
      <w:numFmt w:val="bullet"/>
      <w:lvlText w:val="•"/>
      <w:lvlJc w:val="left"/>
      <w:pPr>
        <w:ind w:left="3292" w:hanging="360"/>
      </w:pPr>
      <w:rPr>
        <w:rFonts w:hint="default"/>
        <w:lang w:val="en-US" w:eastAsia="en-US" w:bidi="ar-SA"/>
      </w:rPr>
    </w:lvl>
    <w:lvl w:ilvl="4">
      <w:start w:val="0"/>
      <w:numFmt w:val="bullet"/>
      <w:lvlText w:val="•"/>
      <w:lvlJc w:val="left"/>
      <w:pPr>
        <w:ind w:left="4216" w:hanging="360"/>
      </w:pPr>
      <w:rPr>
        <w:rFonts w:hint="default"/>
        <w:lang w:val="en-US" w:eastAsia="en-US" w:bidi="ar-SA"/>
      </w:rPr>
    </w:lvl>
    <w:lvl w:ilvl="5">
      <w:start w:val="0"/>
      <w:numFmt w:val="bullet"/>
      <w:lvlText w:val="•"/>
      <w:lvlJc w:val="left"/>
      <w:pPr>
        <w:ind w:left="5140" w:hanging="360"/>
      </w:pPr>
      <w:rPr>
        <w:rFonts w:hint="default"/>
        <w:lang w:val="en-US" w:eastAsia="en-US" w:bidi="ar-SA"/>
      </w:rPr>
    </w:lvl>
    <w:lvl w:ilvl="6">
      <w:start w:val="0"/>
      <w:numFmt w:val="bullet"/>
      <w:lvlText w:val="•"/>
      <w:lvlJc w:val="left"/>
      <w:pPr>
        <w:ind w:left="6064" w:hanging="360"/>
      </w:pPr>
      <w:rPr>
        <w:rFonts w:hint="default"/>
        <w:lang w:val="en-US" w:eastAsia="en-US" w:bidi="ar-SA"/>
      </w:rPr>
    </w:lvl>
    <w:lvl w:ilvl="7">
      <w:start w:val="0"/>
      <w:numFmt w:val="bullet"/>
      <w:lvlText w:val="•"/>
      <w:lvlJc w:val="left"/>
      <w:pPr>
        <w:ind w:left="6988" w:hanging="360"/>
      </w:pPr>
      <w:rPr>
        <w:rFonts w:hint="default"/>
        <w:lang w:val="en-US" w:eastAsia="en-US" w:bidi="ar-SA"/>
      </w:rPr>
    </w:lvl>
    <w:lvl w:ilvl="8">
      <w:start w:val="0"/>
      <w:numFmt w:val="bullet"/>
      <w:lvlText w:val="•"/>
      <w:lvlJc w:val="left"/>
      <w:pPr>
        <w:ind w:left="7912" w:hanging="360"/>
      </w:pPr>
      <w:rPr>
        <w:rFonts w:hint="default"/>
        <w:lang w:val="en-US" w:eastAsia="en-US" w:bidi="ar-SA"/>
      </w:rPr>
    </w:lvl>
  </w:abstractNum>
  <w:abstractNum w:abstractNumId="10">
    <w:multiLevelType w:val="hybridMultilevel"/>
    <w:lvl w:ilvl="0">
      <w:start w:val="0"/>
      <w:numFmt w:val="bullet"/>
      <w:lvlText w:val="•"/>
      <w:lvlJc w:val="left"/>
      <w:pPr>
        <w:ind w:left="1960" w:hanging="360"/>
      </w:pPr>
      <w:rPr>
        <w:rFonts w:hint="default" w:ascii="Arial" w:hAnsi="Arial" w:eastAsia="Arial" w:cs="Arial"/>
        <w:b w:val="0"/>
        <w:bCs w:val="0"/>
        <w:i w:val="0"/>
        <w:iCs w:val="0"/>
        <w:spacing w:val="0"/>
        <w:w w:val="131"/>
        <w:sz w:val="24"/>
        <w:szCs w:val="24"/>
        <w:lang w:val="en-US" w:eastAsia="en-US" w:bidi="ar-SA"/>
      </w:rPr>
    </w:lvl>
    <w:lvl w:ilvl="1">
      <w:start w:val="0"/>
      <w:numFmt w:val="bullet"/>
      <w:lvlText w:val="•"/>
      <w:lvlJc w:val="left"/>
      <w:pPr>
        <w:ind w:left="2740" w:hanging="360"/>
      </w:pPr>
      <w:rPr>
        <w:rFonts w:hint="default"/>
        <w:lang w:val="en-US" w:eastAsia="en-US" w:bidi="ar-SA"/>
      </w:rPr>
    </w:lvl>
    <w:lvl w:ilvl="2">
      <w:start w:val="0"/>
      <w:numFmt w:val="bullet"/>
      <w:lvlText w:val="•"/>
      <w:lvlJc w:val="left"/>
      <w:pPr>
        <w:ind w:left="3520" w:hanging="360"/>
      </w:pPr>
      <w:rPr>
        <w:rFonts w:hint="default"/>
        <w:lang w:val="en-US" w:eastAsia="en-US" w:bidi="ar-SA"/>
      </w:rPr>
    </w:lvl>
    <w:lvl w:ilvl="3">
      <w:start w:val="0"/>
      <w:numFmt w:val="bullet"/>
      <w:lvlText w:val="•"/>
      <w:lvlJc w:val="left"/>
      <w:pPr>
        <w:ind w:left="4300" w:hanging="360"/>
      </w:pPr>
      <w:rPr>
        <w:rFonts w:hint="default"/>
        <w:lang w:val="en-US" w:eastAsia="en-US" w:bidi="ar-SA"/>
      </w:rPr>
    </w:lvl>
    <w:lvl w:ilvl="4">
      <w:start w:val="0"/>
      <w:numFmt w:val="bullet"/>
      <w:lvlText w:val="•"/>
      <w:lvlJc w:val="left"/>
      <w:pPr>
        <w:ind w:left="5080" w:hanging="360"/>
      </w:pPr>
      <w:rPr>
        <w:rFonts w:hint="default"/>
        <w:lang w:val="en-US" w:eastAsia="en-US" w:bidi="ar-SA"/>
      </w:rPr>
    </w:lvl>
    <w:lvl w:ilvl="5">
      <w:start w:val="0"/>
      <w:numFmt w:val="bullet"/>
      <w:lvlText w:val="•"/>
      <w:lvlJc w:val="left"/>
      <w:pPr>
        <w:ind w:left="5860" w:hanging="360"/>
      </w:pPr>
      <w:rPr>
        <w:rFonts w:hint="default"/>
        <w:lang w:val="en-US" w:eastAsia="en-US" w:bidi="ar-SA"/>
      </w:rPr>
    </w:lvl>
    <w:lvl w:ilvl="6">
      <w:start w:val="0"/>
      <w:numFmt w:val="bullet"/>
      <w:lvlText w:val="•"/>
      <w:lvlJc w:val="left"/>
      <w:pPr>
        <w:ind w:left="6640" w:hanging="360"/>
      </w:pPr>
      <w:rPr>
        <w:rFonts w:hint="default"/>
        <w:lang w:val="en-US" w:eastAsia="en-US" w:bidi="ar-SA"/>
      </w:rPr>
    </w:lvl>
    <w:lvl w:ilvl="7">
      <w:start w:val="0"/>
      <w:numFmt w:val="bullet"/>
      <w:lvlText w:val="•"/>
      <w:lvlJc w:val="left"/>
      <w:pPr>
        <w:ind w:left="7420" w:hanging="360"/>
      </w:pPr>
      <w:rPr>
        <w:rFonts w:hint="default"/>
        <w:lang w:val="en-US" w:eastAsia="en-US" w:bidi="ar-SA"/>
      </w:rPr>
    </w:lvl>
    <w:lvl w:ilvl="8">
      <w:start w:val="0"/>
      <w:numFmt w:val="bullet"/>
      <w:lvlText w:val="•"/>
      <w:lvlJc w:val="left"/>
      <w:pPr>
        <w:ind w:left="8200" w:hanging="360"/>
      </w:pPr>
      <w:rPr>
        <w:rFonts w:hint="default"/>
        <w:lang w:val="en-US" w:eastAsia="en-US" w:bidi="ar-SA"/>
      </w:rPr>
    </w:lvl>
  </w:abstractNum>
  <w:abstractNum w:abstractNumId="9">
    <w:multiLevelType w:val="hybridMultilevel"/>
    <w:lvl w:ilvl="0">
      <w:start w:val="0"/>
      <w:numFmt w:val="bullet"/>
      <w:lvlText w:val="•"/>
      <w:lvlJc w:val="left"/>
      <w:pPr>
        <w:ind w:left="1960" w:hanging="360"/>
      </w:pPr>
      <w:rPr>
        <w:rFonts w:hint="default" w:ascii="Arial" w:hAnsi="Arial" w:eastAsia="Arial" w:cs="Arial"/>
        <w:b w:val="0"/>
        <w:bCs w:val="0"/>
        <w:i w:val="0"/>
        <w:iCs w:val="0"/>
        <w:spacing w:val="0"/>
        <w:w w:val="131"/>
        <w:sz w:val="24"/>
        <w:szCs w:val="24"/>
        <w:lang w:val="en-US" w:eastAsia="en-US" w:bidi="ar-SA"/>
      </w:rPr>
    </w:lvl>
    <w:lvl w:ilvl="1">
      <w:start w:val="0"/>
      <w:numFmt w:val="bullet"/>
      <w:lvlText w:val="•"/>
      <w:lvlJc w:val="left"/>
      <w:pPr>
        <w:ind w:left="2740" w:hanging="360"/>
      </w:pPr>
      <w:rPr>
        <w:rFonts w:hint="default"/>
        <w:lang w:val="en-US" w:eastAsia="en-US" w:bidi="ar-SA"/>
      </w:rPr>
    </w:lvl>
    <w:lvl w:ilvl="2">
      <w:start w:val="0"/>
      <w:numFmt w:val="bullet"/>
      <w:lvlText w:val="•"/>
      <w:lvlJc w:val="left"/>
      <w:pPr>
        <w:ind w:left="3520" w:hanging="360"/>
      </w:pPr>
      <w:rPr>
        <w:rFonts w:hint="default"/>
        <w:lang w:val="en-US" w:eastAsia="en-US" w:bidi="ar-SA"/>
      </w:rPr>
    </w:lvl>
    <w:lvl w:ilvl="3">
      <w:start w:val="0"/>
      <w:numFmt w:val="bullet"/>
      <w:lvlText w:val="•"/>
      <w:lvlJc w:val="left"/>
      <w:pPr>
        <w:ind w:left="4300" w:hanging="360"/>
      </w:pPr>
      <w:rPr>
        <w:rFonts w:hint="default"/>
        <w:lang w:val="en-US" w:eastAsia="en-US" w:bidi="ar-SA"/>
      </w:rPr>
    </w:lvl>
    <w:lvl w:ilvl="4">
      <w:start w:val="0"/>
      <w:numFmt w:val="bullet"/>
      <w:lvlText w:val="•"/>
      <w:lvlJc w:val="left"/>
      <w:pPr>
        <w:ind w:left="5080" w:hanging="360"/>
      </w:pPr>
      <w:rPr>
        <w:rFonts w:hint="default"/>
        <w:lang w:val="en-US" w:eastAsia="en-US" w:bidi="ar-SA"/>
      </w:rPr>
    </w:lvl>
    <w:lvl w:ilvl="5">
      <w:start w:val="0"/>
      <w:numFmt w:val="bullet"/>
      <w:lvlText w:val="•"/>
      <w:lvlJc w:val="left"/>
      <w:pPr>
        <w:ind w:left="5860" w:hanging="360"/>
      </w:pPr>
      <w:rPr>
        <w:rFonts w:hint="default"/>
        <w:lang w:val="en-US" w:eastAsia="en-US" w:bidi="ar-SA"/>
      </w:rPr>
    </w:lvl>
    <w:lvl w:ilvl="6">
      <w:start w:val="0"/>
      <w:numFmt w:val="bullet"/>
      <w:lvlText w:val="•"/>
      <w:lvlJc w:val="left"/>
      <w:pPr>
        <w:ind w:left="6640" w:hanging="360"/>
      </w:pPr>
      <w:rPr>
        <w:rFonts w:hint="default"/>
        <w:lang w:val="en-US" w:eastAsia="en-US" w:bidi="ar-SA"/>
      </w:rPr>
    </w:lvl>
    <w:lvl w:ilvl="7">
      <w:start w:val="0"/>
      <w:numFmt w:val="bullet"/>
      <w:lvlText w:val="•"/>
      <w:lvlJc w:val="left"/>
      <w:pPr>
        <w:ind w:left="7420" w:hanging="360"/>
      </w:pPr>
      <w:rPr>
        <w:rFonts w:hint="default"/>
        <w:lang w:val="en-US" w:eastAsia="en-US" w:bidi="ar-SA"/>
      </w:rPr>
    </w:lvl>
    <w:lvl w:ilvl="8">
      <w:start w:val="0"/>
      <w:numFmt w:val="bullet"/>
      <w:lvlText w:val="•"/>
      <w:lvlJc w:val="left"/>
      <w:pPr>
        <w:ind w:left="8200" w:hanging="360"/>
      </w:pPr>
      <w:rPr>
        <w:rFonts w:hint="default"/>
        <w:lang w:val="en-US" w:eastAsia="en-US" w:bidi="ar-SA"/>
      </w:rPr>
    </w:lvl>
  </w:abstractNum>
  <w:abstractNum w:abstractNumId="8">
    <w:multiLevelType w:val="hybridMultilevel"/>
    <w:lvl w:ilvl="0">
      <w:start w:val="1"/>
      <w:numFmt w:val="decimal"/>
      <w:lvlText w:val="(%1)"/>
      <w:lvlJc w:val="left"/>
      <w:pPr>
        <w:ind w:left="2147" w:hanging="548"/>
        <w:jc w:val="left"/>
      </w:pPr>
      <w:rPr>
        <w:rFonts w:hint="default" w:ascii="Times New Roman" w:hAnsi="Times New Roman" w:eastAsia="Times New Roman" w:cs="Times New Roman"/>
        <w:b/>
        <w:bCs/>
        <w:i w:val="0"/>
        <w:iCs w:val="0"/>
        <w:spacing w:val="0"/>
        <w:w w:val="99"/>
        <w:sz w:val="28"/>
        <w:szCs w:val="28"/>
        <w:lang w:val="en-US" w:eastAsia="en-US" w:bidi="ar-SA"/>
      </w:rPr>
    </w:lvl>
    <w:lvl w:ilvl="1">
      <w:start w:val="0"/>
      <w:numFmt w:val="bullet"/>
      <w:lvlText w:val="•"/>
      <w:lvlJc w:val="left"/>
      <w:pPr>
        <w:ind w:left="2902" w:hanging="548"/>
      </w:pPr>
      <w:rPr>
        <w:rFonts w:hint="default"/>
        <w:lang w:val="en-US" w:eastAsia="en-US" w:bidi="ar-SA"/>
      </w:rPr>
    </w:lvl>
    <w:lvl w:ilvl="2">
      <w:start w:val="0"/>
      <w:numFmt w:val="bullet"/>
      <w:lvlText w:val="•"/>
      <w:lvlJc w:val="left"/>
      <w:pPr>
        <w:ind w:left="3664" w:hanging="548"/>
      </w:pPr>
      <w:rPr>
        <w:rFonts w:hint="default"/>
        <w:lang w:val="en-US" w:eastAsia="en-US" w:bidi="ar-SA"/>
      </w:rPr>
    </w:lvl>
    <w:lvl w:ilvl="3">
      <w:start w:val="0"/>
      <w:numFmt w:val="bullet"/>
      <w:lvlText w:val="•"/>
      <w:lvlJc w:val="left"/>
      <w:pPr>
        <w:ind w:left="4426" w:hanging="548"/>
      </w:pPr>
      <w:rPr>
        <w:rFonts w:hint="default"/>
        <w:lang w:val="en-US" w:eastAsia="en-US" w:bidi="ar-SA"/>
      </w:rPr>
    </w:lvl>
    <w:lvl w:ilvl="4">
      <w:start w:val="0"/>
      <w:numFmt w:val="bullet"/>
      <w:lvlText w:val="•"/>
      <w:lvlJc w:val="left"/>
      <w:pPr>
        <w:ind w:left="5188" w:hanging="548"/>
      </w:pPr>
      <w:rPr>
        <w:rFonts w:hint="default"/>
        <w:lang w:val="en-US" w:eastAsia="en-US" w:bidi="ar-SA"/>
      </w:rPr>
    </w:lvl>
    <w:lvl w:ilvl="5">
      <w:start w:val="0"/>
      <w:numFmt w:val="bullet"/>
      <w:lvlText w:val="•"/>
      <w:lvlJc w:val="left"/>
      <w:pPr>
        <w:ind w:left="5950" w:hanging="548"/>
      </w:pPr>
      <w:rPr>
        <w:rFonts w:hint="default"/>
        <w:lang w:val="en-US" w:eastAsia="en-US" w:bidi="ar-SA"/>
      </w:rPr>
    </w:lvl>
    <w:lvl w:ilvl="6">
      <w:start w:val="0"/>
      <w:numFmt w:val="bullet"/>
      <w:lvlText w:val="•"/>
      <w:lvlJc w:val="left"/>
      <w:pPr>
        <w:ind w:left="6712" w:hanging="548"/>
      </w:pPr>
      <w:rPr>
        <w:rFonts w:hint="default"/>
        <w:lang w:val="en-US" w:eastAsia="en-US" w:bidi="ar-SA"/>
      </w:rPr>
    </w:lvl>
    <w:lvl w:ilvl="7">
      <w:start w:val="0"/>
      <w:numFmt w:val="bullet"/>
      <w:lvlText w:val="•"/>
      <w:lvlJc w:val="left"/>
      <w:pPr>
        <w:ind w:left="7474" w:hanging="548"/>
      </w:pPr>
      <w:rPr>
        <w:rFonts w:hint="default"/>
        <w:lang w:val="en-US" w:eastAsia="en-US" w:bidi="ar-SA"/>
      </w:rPr>
    </w:lvl>
    <w:lvl w:ilvl="8">
      <w:start w:val="0"/>
      <w:numFmt w:val="bullet"/>
      <w:lvlText w:val="•"/>
      <w:lvlJc w:val="left"/>
      <w:pPr>
        <w:ind w:left="8236" w:hanging="548"/>
      </w:pPr>
      <w:rPr>
        <w:rFonts w:hint="default"/>
        <w:lang w:val="en-US" w:eastAsia="en-US" w:bidi="ar-SA"/>
      </w:rPr>
    </w:lvl>
  </w:abstractNum>
  <w:abstractNum w:abstractNumId="7">
    <w:multiLevelType w:val="hybridMultilevel"/>
    <w:lvl w:ilvl="0">
      <w:start w:val="0"/>
      <w:numFmt w:val="bullet"/>
      <w:lvlText w:val="•"/>
      <w:lvlJc w:val="left"/>
      <w:pPr>
        <w:ind w:left="880" w:hanging="360"/>
      </w:pPr>
      <w:rPr>
        <w:rFonts w:hint="default" w:ascii="Arial" w:hAnsi="Arial" w:eastAsia="Arial" w:cs="Arial"/>
        <w:b w:val="0"/>
        <w:bCs w:val="0"/>
        <w:i w:val="0"/>
        <w:iCs w:val="0"/>
        <w:spacing w:val="0"/>
        <w:w w:val="131"/>
        <w:sz w:val="24"/>
        <w:szCs w:val="24"/>
        <w:lang w:val="en-US" w:eastAsia="en-US" w:bidi="ar-SA"/>
      </w:rPr>
    </w:lvl>
    <w:lvl w:ilvl="1">
      <w:start w:val="0"/>
      <w:numFmt w:val="bullet"/>
      <w:lvlText w:val="•"/>
      <w:lvlJc w:val="left"/>
      <w:pPr>
        <w:ind w:left="1768" w:hanging="360"/>
      </w:pPr>
      <w:rPr>
        <w:rFonts w:hint="default"/>
        <w:lang w:val="en-US" w:eastAsia="en-US" w:bidi="ar-SA"/>
      </w:rPr>
    </w:lvl>
    <w:lvl w:ilvl="2">
      <w:start w:val="0"/>
      <w:numFmt w:val="bullet"/>
      <w:lvlText w:val="•"/>
      <w:lvlJc w:val="left"/>
      <w:pPr>
        <w:ind w:left="2656" w:hanging="360"/>
      </w:pPr>
      <w:rPr>
        <w:rFonts w:hint="default"/>
        <w:lang w:val="en-US" w:eastAsia="en-US" w:bidi="ar-SA"/>
      </w:rPr>
    </w:lvl>
    <w:lvl w:ilvl="3">
      <w:start w:val="0"/>
      <w:numFmt w:val="bullet"/>
      <w:lvlText w:val="•"/>
      <w:lvlJc w:val="left"/>
      <w:pPr>
        <w:ind w:left="3544" w:hanging="360"/>
      </w:pPr>
      <w:rPr>
        <w:rFonts w:hint="default"/>
        <w:lang w:val="en-US" w:eastAsia="en-US" w:bidi="ar-SA"/>
      </w:rPr>
    </w:lvl>
    <w:lvl w:ilvl="4">
      <w:start w:val="0"/>
      <w:numFmt w:val="bullet"/>
      <w:lvlText w:val="•"/>
      <w:lvlJc w:val="left"/>
      <w:pPr>
        <w:ind w:left="4432" w:hanging="360"/>
      </w:pPr>
      <w:rPr>
        <w:rFonts w:hint="default"/>
        <w:lang w:val="en-US" w:eastAsia="en-US" w:bidi="ar-SA"/>
      </w:rPr>
    </w:lvl>
    <w:lvl w:ilvl="5">
      <w:start w:val="0"/>
      <w:numFmt w:val="bullet"/>
      <w:lvlText w:val="•"/>
      <w:lvlJc w:val="left"/>
      <w:pPr>
        <w:ind w:left="5320" w:hanging="360"/>
      </w:pPr>
      <w:rPr>
        <w:rFonts w:hint="default"/>
        <w:lang w:val="en-US" w:eastAsia="en-US" w:bidi="ar-SA"/>
      </w:rPr>
    </w:lvl>
    <w:lvl w:ilvl="6">
      <w:start w:val="0"/>
      <w:numFmt w:val="bullet"/>
      <w:lvlText w:val="•"/>
      <w:lvlJc w:val="left"/>
      <w:pPr>
        <w:ind w:left="6208" w:hanging="360"/>
      </w:pPr>
      <w:rPr>
        <w:rFonts w:hint="default"/>
        <w:lang w:val="en-US" w:eastAsia="en-US" w:bidi="ar-SA"/>
      </w:rPr>
    </w:lvl>
    <w:lvl w:ilvl="7">
      <w:start w:val="0"/>
      <w:numFmt w:val="bullet"/>
      <w:lvlText w:val="•"/>
      <w:lvlJc w:val="left"/>
      <w:pPr>
        <w:ind w:left="7096" w:hanging="360"/>
      </w:pPr>
      <w:rPr>
        <w:rFonts w:hint="default"/>
        <w:lang w:val="en-US" w:eastAsia="en-US" w:bidi="ar-SA"/>
      </w:rPr>
    </w:lvl>
    <w:lvl w:ilvl="8">
      <w:start w:val="0"/>
      <w:numFmt w:val="bullet"/>
      <w:lvlText w:val="•"/>
      <w:lvlJc w:val="left"/>
      <w:pPr>
        <w:ind w:left="7984" w:hanging="360"/>
      </w:pPr>
      <w:rPr>
        <w:rFonts w:hint="default"/>
        <w:lang w:val="en-US" w:eastAsia="en-US" w:bidi="ar-SA"/>
      </w:rPr>
    </w:lvl>
  </w:abstractNum>
  <w:abstractNum w:abstractNumId="6">
    <w:multiLevelType w:val="hybridMultilevel"/>
    <w:lvl w:ilvl="0">
      <w:start w:val="1"/>
      <w:numFmt w:val="lowerLetter"/>
      <w:lvlText w:val="%1."/>
      <w:lvlJc w:val="left"/>
      <w:pPr>
        <w:ind w:left="880" w:hanging="3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1768" w:hanging="360"/>
      </w:pPr>
      <w:rPr>
        <w:rFonts w:hint="default"/>
        <w:lang w:val="en-US" w:eastAsia="en-US" w:bidi="ar-SA"/>
      </w:rPr>
    </w:lvl>
    <w:lvl w:ilvl="2">
      <w:start w:val="0"/>
      <w:numFmt w:val="bullet"/>
      <w:lvlText w:val="•"/>
      <w:lvlJc w:val="left"/>
      <w:pPr>
        <w:ind w:left="2656" w:hanging="360"/>
      </w:pPr>
      <w:rPr>
        <w:rFonts w:hint="default"/>
        <w:lang w:val="en-US" w:eastAsia="en-US" w:bidi="ar-SA"/>
      </w:rPr>
    </w:lvl>
    <w:lvl w:ilvl="3">
      <w:start w:val="0"/>
      <w:numFmt w:val="bullet"/>
      <w:lvlText w:val="•"/>
      <w:lvlJc w:val="left"/>
      <w:pPr>
        <w:ind w:left="3544" w:hanging="360"/>
      </w:pPr>
      <w:rPr>
        <w:rFonts w:hint="default"/>
        <w:lang w:val="en-US" w:eastAsia="en-US" w:bidi="ar-SA"/>
      </w:rPr>
    </w:lvl>
    <w:lvl w:ilvl="4">
      <w:start w:val="0"/>
      <w:numFmt w:val="bullet"/>
      <w:lvlText w:val="•"/>
      <w:lvlJc w:val="left"/>
      <w:pPr>
        <w:ind w:left="4432" w:hanging="360"/>
      </w:pPr>
      <w:rPr>
        <w:rFonts w:hint="default"/>
        <w:lang w:val="en-US" w:eastAsia="en-US" w:bidi="ar-SA"/>
      </w:rPr>
    </w:lvl>
    <w:lvl w:ilvl="5">
      <w:start w:val="0"/>
      <w:numFmt w:val="bullet"/>
      <w:lvlText w:val="•"/>
      <w:lvlJc w:val="left"/>
      <w:pPr>
        <w:ind w:left="5320" w:hanging="360"/>
      </w:pPr>
      <w:rPr>
        <w:rFonts w:hint="default"/>
        <w:lang w:val="en-US" w:eastAsia="en-US" w:bidi="ar-SA"/>
      </w:rPr>
    </w:lvl>
    <w:lvl w:ilvl="6">
      <w:start w:val="0"/>
      <w:numFmt w:val="bullet"/>
      <w:lvlText w:val="•"/>
      <w:lvlJc w:val="left"/>
      <w:pPr>
        <w:ind w:left="6208" w:hanging="360"/>
      </w:pPr>
      <w:rPr>
        <w:rFonts w:hint="default"/>
        <w:lang w:val="en-US" w:eastAsia="en-US" w:bidi="ar-SA"/>
      </w:rPr>
    </w:lvl>
    <w:lvl w:ilvl="7">
      <w:start w:val="0"/>
      <w:numFmt w:val="bullet"/>
      <w:lvlText w:val="•"/>
      <w:lvlJc w:val="left"/>
      <w:pPr>
        <w:ind w:left="7096" w:hanging="360"/>
      </w:pPr>
      <w:rPr>
        <w:rFonts w:hint="default"/>
        <w:lang w:val="en-US" w:eastAsia="en-US" w:bidi="ar-SA"/>
      </w:rPr>
    </w:lvl>
    <w:lvl w:ilvl="8">
      <w:start w:val="0"/>
      <w:numFmt w:val="bullet"/>
      <w:lvlText w:val="•"/>
      <w:lvlJc w:val="left"/>
      <w:pPr>
        <w:ind w:left="7984" w:hanging="360"/>
      </w:pPr>
      <w:rPr>
        <w:rFonts w:hint="default"/>
        <w:lang w:val="en-US" w:eastAsia="en-US" w:bidi="ar-SA"/>
      </w:rPr>
    </w:lvl>
  </w:abstractNum>
  <w:abstractNum w:abstractNumId="5">
    <w:multiLevelType w:val="hybridMultilevel"/>
    <w:lvl w:ilvl="0">
      <w:start w:val="1"/>
      <w:numFmt w:val="upperRoman"/>
      <w:lvlText w:val="%1."/>
      <w:lvlJc w:val="left"/>
      <w:pPr>
        <w:ind w:left="880" w:hanging="720"/>
        <w:jc w:val="left"/>
      </w:pPr>
      <w:rPr>
        <w:rFonts w:hint="default" w:ascii="Times New Roman" w:hAnsi="Times New Roman" w:eastAsia="Times New Roman" w:cs="Times New Roman"/>
        <w:b/>
        <w:bCs/>
        <w:i w:val="0"/>
        <w:iCs w:val="0"/>
        <w:spacing w:val="0"/>
        <w:w w:val="100"/>
        <w:sz w:val="36"/>
        <w:szCs w:val="36"/>
        <w:lang w:val="en-US" w:eastAsia="en-US" w:bidi="ar-SA"/>
      </w:rPr>
    </w:lvl>
    <w:lvl w:ilvl="1">
      <w:start w:val="1"/>
      <w:numFmt w:val="upperLetter"/>
      <w:lvlText w:val="%2."/>
      <w:lvlJc w:val="left"/>
      <w:pPr>
        <w:ind w:left="879" w:hanging="720"/>
        <w:jc w:val="left"/>
      </w:pPr>
      <w:rPr>
        <w:rFonts w:hint="default" w:ascii="Times New Roman" w:hAnsi="Times New Roman" w:eastAsia="Times New Roman" w:cs="Times New Roman"/>
        <w:b/>
        <w:bCs/>
        <w:i w:val="0"/>
        <w:iCs w:val="0"/>
        <w:spacing w:val="0"/>
        <w:w w:val="100"/>
        <w:sz w:val="32"/>
        <w:szCs w:val="32"/>
        <w:lang w:val="en-US" w:eastAsia="en-US" w:bidi="ar-SA"/>
      </w:rPr>
    </w:lvl>
    <w:lvl w:ilvl="2">
      <w:start w:val="1"/>
      <w:numFmt w:val="decimal"/>
      <w:lvlText w:val="%3."/>
      <w:lvlJc w:val="left"/>
      <w:pPr>
        <w:ind w:left="2319" w:hanging="720"/>
        <w:jc w:val="left"/>
      </w:pPr>
      <w:rPr>
        <w:rFonts w:hint="default" w:ascii="Times New Roman" w:hAnsi="Times New Roman" w:eastAsia="Times New Roman" w:cs="Times New Roman"/>
        <w:b/>
        <w:bCs/>
        <w:i w:val="0"/>
        <w:iCs w:val="0"/>
        <w:spacing w:val="0"/>
        <w:w w:val="100"/>
        <w:sz w:val="32"/>
        <w:szCs w:val="32"/>
        <w:lang w:val="en-US" w:eastAsia="en-US" w:bidi="ar-SA"/>
      </w:rPr>
    </w:lvl>
    <w:lvl w:ilvl="3">
      <w:start w:val="0"/>
      <w:numFmt w:val="bullet"/>
      <w:lvlText w:val="•"/>
      <w:lvlJc w:val="left"/>
      <w:pPr>
        <w:ind w:left="3250" w:hanging="720"/>
      </w:pPr>
      <w:rPr>
        <w:rFonts w:hint="default"/>
        <w:lang w:val="en-US" w:eastAsia="en-US" w:bidi="ar-SA"/>
      </w:rPr>
    </w:lvl>
    <w:lvl w:ilvl="4">
      <w:start w:val="0"/>
      <w:numFmt w:val="bullet"/>
      <w:lvlText w:val="•"/>
      <w:lvlJc w:val="left"/>
      <w:pPr>
        <w:ind w:left="4180" w:hanging="720"/>
      </w:pPr>
      <w:rPr>
        <w:rFonts w:hint="default"/>
        <w:lang w:val="en-US" w:eastAsia="en-US" w:bidi="ar-SA"/>
      </w:rPr>
    </w:lvl>
    <w:lvl w:ilvl="5">
      <w:start w:val="0"/>
      <w:numFmt w:val="bullet"/>
      <w:lvlText w:val="•"/>
      <w:lvlJc w:val="left"/>
      <w:pPr>
        <w:ind w:left="5110" w:hanging="720"/>
      </w:pPr>
      <w:rPr>
        <w:rFonts w:hint="default"/>
        <w:lang w:val="en-US" w:eastAsia="en-US" w:bidi="ar-SA"/>
      </w:rPr>
    </w:lvl>
    <w:lvl w:ilvl="6">
      <w:start w:val="0"/>
      <w:numFmt w:val="bullet"/>
      <w:lvlText w:val="•"/>
      <w:lvlJc w:val="left"/>
      <w:pPr>
        <w:ind w:left="6040" w:hanging="720"/>
      </w:pPr>
      <w:rPr>
        <w:rFonts w:hint="default"/>
        <w:lang w:val="en-US" w:eastAsia="en-US" w:bidi="ar-SA"/>
      </w:rPr>
    </w:lvl>
    <w:lvl w:ilvl="7">
      <w:start w:val="0"/>
      <w:numFmt w:val="bullet"/>
      <w:lvlText w:val="•"/>
      <w:lvlJc w:val="left"/>
      <w:pPr>
        <w:ind w:left="6970" w:hanging="720"/>
      </w:pPr>
      <w:rPr>
        <w:rFonts w:hint="default"/>
        <w:lang w:val="en-US" w:eastAsia="en-US" w:bidi="ar-SA"/>
      </w:rPr>
    </w:lvl>
    <w:lvl w:ilvl="8">
      <w:start w:val="0"/>
      <w:numFmt w:val="bullet"/>
      <w:lvlText w:val="•"/>
      <w:lvlJc w:val="left"/>
      <w:pPr>
        <w:ind w:left="7900" w:hanging="720"/>
      </w:pPr>
      <w:rPr>
        <w:rFonts w:hint="default"/>
        <w:lang w:val="en-US" w:eastAsia="en-US" w:bidi="ar-SA"/>
      </w:rPr>
    </w:lvl>
  </w:abstractNum>
  <w:abstractNum w:abstractNumId="4">
    <w:multiLevelType w:val="hybridMultilevel"/>
    <w:lvl w:ilvl="0">
      <w:start w:val="1"/>
      <w:numFmt w:val="decimal"/>
      <w:lvlText w:val="(%1)"/>
      <w:lvlJc w:val="left"/>
      <w:pPr>
        <w:ind w:left="1260" w:hanging="621"/>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2110" w:hanging="621"/>
      </w:pPr>
      <w:rPr>
        <w:rFonts w:hint="default"/>
        <w:lang w:val="en-US" w:eastAsia="en-US" w:bidi="ar-SA"/>
      </w:rPr>
    </w:lvl>
    <w:lvl w:ilvl="2">
      <w:start w:val="0"/>
      <w:numFmt w:val="bullet"/>
      <w:lvlText w:val="•"/>
      <w:lvlJc w:val="left"/>
      <w:pPr>
        <w:ind w:left="2960" w:hanging="621"/>
      </w:pPr>
      <w:rPr>
        <w:rFonts w:hint="default"/>
        <w:lang w:val="en-US" w:eastAsia="en-US" w:bidi="ar-SA"/>
      </w:rPr>
    </w:lvl>
    <w:lvl w:ilvl="3">
      <w:start w:val="0"/>
      <w:numFmt w:val="bullet"/>
      <w:lvlText w:val="•"/>
      <w:lvlJc w:val="left"/>
      <w:pPr>
        <w:ind w:left="3810" w:hanging="621"/>
      </w:pPr>
      <w:rPr>
        <w:rFonts w:hint="default"/>
        <w:lang w:val="en-US" w:eastAsia="en-US" w:bidi="ar-SA"/>
      </w:rPr>
    </w:lvl>
    <w:lvl w:ilvl="4">
      <w:start w:val="0"/>
      <w:numFmt w:val="bullet"/>
      <w:lvlText w:val="•"/>
      <w:lvlJc w:val="left"/>
      <w:pPr>
        <w:ind w:left="4660" w:hanging="621"/>
      </w:pPr>
      <w:rPr>
        <w:rFonts w:hint="default"/>
        <w:lang w:val="en-US" w:eastAsia="en-US" w:bidi="ar-SA"/>
      </w:rPr>
    </w:lvl>
    <w:lvl w:ilvl="5">
      <w:start w:val="0"/>
      <w:numFmt w:val="bullet"/>
      <w:lvlText w:val="•"/>
      <w:lvlJc w:val="left"/>
      <w:pPr>
        <w:ind w:left="5510" w:hanging="621"/>
      </w:pPr>
      <w:rPr>
        <w:rFonts w:hint="default"/>
        <w:lang w:val="en-US" w:eastAsia="en-US" w:bidi="ar-SA"/>
      </w:rPr>
    </w:lvl>
    <w:lvl w:ilvl="6">
      <w:start w:val="0"/>
      <w:numFmt w:val="bullet"/>
      <w:lvlText w:val="•"/>
      <w:lvlJc w:val="left"/>
      <w:pPr>
        <w:ind w:left="6360" w:hanging="621"/>
      </w:pPr>
      <w:rPr>
        <w:rFonts w:hint="default"/>
        <w:lang w:val="en-US" w:eastAsia="en-US" w:bidi="ar-SA"/>
      </w:rPr>
    </w:lvl>
    <w:lvl w:ilvl="7">
      <w:start w:val="0"/>
      <w:numFmt w:val="bullet"/>
      <w:lvlText w:val="•"/>
      <w:lvlJc w:val="left"/>
      <w:pPr>
        <w:ind w:left="7210" w:hanging="621"/>
      </w:pPr>
      <w:rPr>
        <w:rFonts w:hint="default"/>
        <w:lang w:val="en-US" w:eastAsia="en-US" w:bidi="ar-SA"/>
      </w:rPr>
    </w:lvl>
    <w:lvl w:ilvl="8">
      <w:start w:val="0"/>
      <w:numFmt w:val="bullet"/>
      <w:lvlText w:val="•"/>
      <w:lvlJc w:val="left"/>
      <w:pPr>
        <w:ind w:left="8060" w:hanging="621"/>
      </w:pPr>
      <w:rPr>
        <w:rFonts w:hint="default"/>
        <w:lang w:val="en-US" w:eastAsia="en-US" w:bidi="ar-SA"/>
      </w:rPr>
    </w:lvl>
  </w:abstractNum>
  <w:abstractNum w:abstractNumId="3">
    <w:multiLevelType w:val="hybridMultilevel"/>
    <w:lvl w:ilvl="0">
      <w:start w:val="4"/>
      <w:numFmt w:val="decimal"/>
      <w:lvlText w:val="%1."/>
      <w:lvlJc w:val="left"/>
      <w:pPr>
        <w:ind w:left="1039" w:hanging="64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1912" w:hanging="640"/>
      </w:pPr>
      <w:rPr>
        <w:rFonts w:hint="default"/>
        <w:lang w:val="en-US" w:eastAsia="en-US" w:bidi="ar-SA"/>
      </w:rPr>
    </w:lvl>
    <w:lvl w:ilvl="2">
      <w:start w:val="0"/>
      <w:numFmt w:val="bullet"/>
      <w:lvlText w:val="•"/>
      <w:lvlJc w:val="left"/>
      <w:pPr>
        <w:ind w:left="2784" w:hanging="640"/>
      </w:pPr>
      <w:rPr>
        <w:rFonts w:hint="default"/>
        <w:lang w:val="en-US" w:eastAsia="en-US" w:bidi="ar-SA"/>
      </w:rPr>
    </w:lvl>
    <w:lvl w:ilvl="3">
      <w:start w:val="0"/>
      <w:numFmt w:val="bullet"/>
      <w:lvlText w:val="•"/>
      <w:lvlJc w:val="left"/>
      <w:pPr>
        <w:ind w:left="3656" w:hanging="640"/>
      </w:pPr>
      <w:rPr>
        <w:rFonts w:hint="default"/>
        <w:lang w:val="en-US" w:eastAsia="en-US" w:bidi="ar-SA"/>
      </w:rPr>
    </w:lvl>
    <w:lvl w:ilvl="4">
      <w:start w:val="0"/>
      <w:numFmt w:val="bullet"/>
      <w:lvlText w:val="•"/>
      <w:lvlJc w:val="left"/>
      <w:pPr>
        <w:ind w:left="4528" w:hanging="640"/>
      </w:pPr>
      <w:rPr>
        <w:rFonts w:hint="default"/>
        <w:lang w:val="en-US" w:eastAsia="en-US" w:bidi="ar-SA"/>
      </w:rPr>
    </w:lvl>
    <w:lvl w:ilvl="5">
      <w:start w:val="0"/>
      <w:numFmt w:val="bullet"/>
      <w:lvlText w:val="•"/>
      <w:lvlJc w:val="left"/>
      <w:pPr>
        <w:ind w:left="5400" w:hanging="640"/>
      </w:pPr>
      <w:rPr>
        <w:rFonts w:hint="default"/>
        <w:lang w:val="en-US" w:eastAsia="en-US" w:bidi="ar-SA"/>
      </w:rPr>
    </w:lvl>
    <w:lvl w:ilvl="6">
      <w:start w:val="0"/>
      <w:numFmt w:val="bullet"/>
      <w:lvlText w:val="•"/>
      <w:lvlJc w:val="left"/>
      <w:pPr>
        <w:ind w:left="6272" w:hanging="640"/>
      </w:pPr>
      <w:rPr>
        <w:rFonts w:hint="default"/>
        <w:lang w:val="en-US" w:eastAsia="en-US" w:bidi="ar-SA"/>
      </w:rPr>
    </w:lvl>
    <w:lvl w:ilvl="7">
      <w:start w:val="0"/>
      <w:numFmt w:val="bullet"/>
      <w:lvlText w:val="•"/>
      <w:lvlJc w:val="left"/>
      <w:pPr>
        <w:ind w:left="7144" w:hanging="640"/>
      </w:pPr>
      <w:rPr>
        <w:rFonts w:hint="default"/>
        <w:lang w:val="en-US" w:eastAsia="en-US" w:bidi="ar-SA"/>
      </w:rPr>
    </w:lvl>
    <w:lvl w:ilvl="8">
      <w:start w:val="0"/>
      <w:numFmt w:val="bullet"/>
      <w:lvlText w:val="•"/>
      <w:lvlJc w:val="left"/>
      <w:pPr>
        <w:ind w:left="8016" w:hanging="640"/>
      </w:pPr>
      <w:rPr>
        <w:rFonts w:hint="default"/>
        <w:lang w:val="en-US" w:eastAsia="en-US" w:bidi="ar-SA"/>
      </w:rPr>
    </w:lvl>
  </w:abstractNum>
  <w:abstractNum w:abstractNumId="2">
    <w:multiLevelType w:val="hybridMultilevel"/>
    <w:lvl w:ilvl="0">
      <w:start w:val="4"/>
      <w:numFmt w:val="decimal"/>
      <w:lvlText w:val="%1."/>
      <w:lvlJc w:val="left"/>
      <w:pPr>
        <w:ind w:left="1039" w:hanging="64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1912" w:hanging="640"/>
      </w:pPr>
      <w:rPr>
        <w:rFonts w:hint="default"/>
        <w:lang w:val="en-US" w:eastAsia="en-US" w:bidi="ar-SA"/>
      </w:rPr>
    </w:lvl>
    <w:lvl w:ilvl="2">
      <w:start w:val="0"/>
      <w:numFmt w:val="bullet"/>
      <w:lvlText w:val="•"/>
      <w:lvlJc w:val="left"/>
      <w:pPr>
        <w:ind w:left="2784" w:hanging="640"/>
      </w:pPr>
      <w:rPr>
        <w:rFonts w:hint="default"/>
        <w:lang w:val="en-US" w:eastAsia="en-US" w:bidi="ar-SA"/>
      </w:rPr>
    </w:lvl>
    <w:lvl w:ilvl="3">
      <w:start w:val="0"/>
      <w:numFmt w:val="bullet"/>
      <w:lvlText w:val="•"/>
      <w:lvlJc w:val="left"/>
      <w:pPr>
        <w:ind w:left="3656" w:hanging="640"/>
      </w:pPr>
      <w:rPr>
        <w:rFonts w:hint="default"/>
        <w:lang w:val="en-US" w:eastAsia="en-US" w:bidi="ar-SA"/>
      </w:rPr>
    </w:lvl>
    <w:lvl w:ilvl="4">
      <w:start w:val="0"/>
      <w:numFmt w:val="bullet"/>
      <w:lvlText w:val="•"/>
      <w:lvlJc w:val="left"/>
      <w:pPr>
        <w:ind w:left="4528" w:hanging="640"/>
      </w:pPr>
      <w:rPr>
        <w:rFonts w:hint="default"/>
        <w:lang w:val="en-US" w:eastAsia="en-US" w:bidi="ar-SA"/>
      </w:rPr>
    </w:lvl>
    <w:lvl w:ilvl="5">
      <w:start w:val="0"/>
      <w:numFmt w:val="bullet"/>
      <w:lvlText w:val="•"/>
      <w:lvlJc w:val="left"/>
      <w:pPr>
        <w:ind w:left="5400" w:hanging="640"/>
      </w:pPr>
      <w:rPr>
        <w:rFonts w:hint="default"/>
        <w:lang w:val="en-US" w:eastAsia="en-US" w:bidi="ar-SA"/>
      </w:rPr>
    </w:lvl>
    <w:lvl w:ilvl="6">
      <w:start w:val="0"/>
      <w:numFmt w:val="bullet"/>
      <w:lvlText w:val="•"/>
      <w:lvlJc w:val="left"/>
      <w:pPr>
        <w:ind w:left="6272" w:hanging="640"/>
      </w:pPr>
      <w:rPr>
        <w:rFonts w:hint="default"/>
        <w:lang w:val="en-US" w:eastAsia="en-US" w:bidi="ar-SA"/>
      </w:rPr>
    </w:lvl>
    <w:lvl w:ilvl="7">
      <w:start w:val="0"/>
      <w:numFmt w:val="bullet"/>
      <w:lvlText w:val="•"/>
      <w:lvlJc w:val="left"/>
      <w:pPr>
        <w:ind w:left="7144" w:hanging="640"/>
      </w:pPr>
      <w:rPr>
        <w:rFonts w:hint="default"/>
        <w:lang w:val="en-US" w:eastAsia="en-US" w:bidi="ar-SA"/>
      </w:rPr>
    </w:lvl>
    <w:lvl w:ilvl="8">
      <w:start w:val="0"/>
      <w:numFmt w:val="bullet"/>
      <w:lvlText w:val="•"/>
      <w:lvlJc w:val="left"/>
      <w:pPr>
        <w:ind w:left="8016" w:hanging="640"/>
      </w:pPr>
      <w:rPr>
        <w:rFonts w:hint="default"/>
        <w:lang w:val="en-US" w:eastAsia="en-US" w:bidi="ar-SA"/>
      </w:rPr>
    </w:lvl>
  </w:abstractNum>
  <w:abstractNum w:abstractNumId="1">
    <w:multiLevelType w:val="hybridMultilevel"/>
    <w:lvl w:ilvl="0">
      <w:start w:val="4"/>
      <w:numFmt w:val="decimal"/>
      <w:lvlText w:val="%1."/>
      <w:lvlJc w:val="left"/>
      <w:pPr>
        <w:ind w:left="1039" w:hanging="64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0"/>
      <w:numFmt w:val="bullet"/>
      <w:lvlText w:val="•"/>
      <w:lvlJc w:val="left"/>
      <w:pPr>
        <w:ind w:left="1912" w:hanging="640"/>
      </w:pPr>
      <w:rPr>
        <w:rFonts w:hint="default"/>
        <w:lang w:val="en-US" w:eastAsia="en-US" w:bidi="ar-SA"/>
      </w:rPr>
    </w:lvl>
    <w:lvl w:ilvl="2">
      <w:start w:val="0"/>
      <w:numFmt w:val="bullet"/>
      <w:lvlText w:val="•"/>
      <w:lvlJc w:val="left"/>
      <w:pPr>
        <w:ind w:left="2784" w:hanging="640"/>
      </w:pPr>
      <w:rPr>
        <w:rFonts w:hint="default"/>
        <w:lang w:val="en-US" w:eastAsia="en-US" w:bidi="ar-SA"/>
      </w:rPr>
    </w:lvl>
    <w:lvl w:ilvl="3">
      <w:start w:val="0"/>
      <w:numFmt w:val="bullet"/>
      <w:lvlText w:val="•"/>
      <w:lvlJc w:val="left"/>
      <w:pPr>
        <w:ind w:left="3656" w:hanging="640"/>
      </w:pPr>
      <w:rPr>
        <w:rFonts w:hint="default"/>
        <w:lang w:val="en-US" w:eastAsia="en-US" w:bidi="ar-SA"/>
      </w:rPr>
    </w:lvl>
    <w:lvl w:ilvl="4">
      <w:start w:val="0"/>
      <w:numFmt w:val="bullet"/>
      <w:lvlText w:val="•"/>
      <w:lvlJc w:val="left"/>
      <w:pPr>
        <w:ind w:left="4528" w:hanging="640"/>
      </w:pPr>
      <w:rPr>
        <w:rFonts w:hint="default"/>
        <w:lang w:val="en-US" w:eastAsia="en-US" w:bidi="ar-SA"/>
      </w:rPr>
    </w:lvl>
    <w:lvl w:ilvl="5">
      <w:start w:val="0"/>
      <w:numFmt w:val="bullet"/>
      <w:lvlText w:val="•"/>
      <w:lvlJc w:val="left"/>
      <w:pPr>
        <w:ind w:left="5400" w:hanging="640"/>
      </w:pPr>
      <w:rPr>
        <w:rFonts w:hint="default"/>
        <w:lang w:val="en-US" w:eastAsia="en-US" w:bidi="ar-SA"/>
      </w:rPr>
    </w:lvl>
    <w:lvl w:ilvl="6">
      <w:start w:val="0"/>
      <w:numFmt w:val="bullet"/>
      <w:lvlText w:val="•"/>
      <w:lvlJc w:val="left"/>
      <w:pPr>
        <w:ind w:left="6272" w:hanging="640"/>
      </w:pPr>
      <w:rPr>
        <w:rFonts w:hint="default"/>
        <w:lang w:val="en-US" w:eastAsia="en-US" w:bidi="ar-SA"/>
      </w:rPr>
    </w:lvl>
    <w:lvl w:ilvl="7">
      <w:start w:val="0"/>
      <w:numFmt w:val="bullet"/>
      <w:lvlText w:val="•"/>
      <w:lvlJc w:val="left"/>
      <w:pPr>
        <w:ind w:left="7144" w:hanging="640"/>
      </w:pPr>
      <w:rPr>
        <w:rFonts w:hint="default"/>
        <w:lang w:val="en-US" w:eastAsia="en-US" w:bidi="ar-SA"/>
      </w:rPr>
    </w:lvl>
    <w:lvl w:ilvl="8">
      <w:start w:val="0"/>
      <w:numFmt w:val="bullet"/>
      <w:lvlText w:val="•"/>
      <w:lvlJc w:val="left"/>
      <w:pPr>
        <w:ind w:left="8016" w:hanging="640"/>
      </w:pPr>
      <w:rPr>
        <w:rFonts w:hint="default"/>
        <w:lang w:val="en-US" w:eastAsia="en-US" w:bidi="ar-SA"/>
      </w:rPr>
    </w:lvl>
  </w:abstractNum>
  <w:abstractNum w:abstractNumId="0">
    <w:multiLevelType w:val="hybridMultilevel"/>
    <w:lvl w:ilvl="0">
      <w:start w:val="1"/>
      <w:numFmt w:val="upperRoman"/>
      <w:lvlText w:val="%1."/>
      <w:lvlJc w:val="left"/>
      <w:pPr>
        <w:ind w:left="820" w:hanging="66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1">
      <w:start w:val="1"/>
      <w:numFmt w:val="upperLetter"/>
      <w:lvlText w:val="%2."/>
      <w:lvlJc w:val="left"/>
      <w:pPr>
        <w:ind w:left="400" w:hanging="640"/>
        <w:jc w:val="left"/>
      </w:pPr>
      <w:rPr>
        <w:rFonts w:hint="default" w:ascii="Times New Roman" w:hAnsi="Times New Roman" w:eastAsia="Times New Roman" w:cs="Times New Roman"/>
        <w:b w:val="0"/>
        <w:bCs w:val="0"/>
        <w:i w:val="0"/>
        <w:iCs w:val="0"/>
        <w:spacing w:val="-1"/>
        <w:w w:val="100"/>
        <w:sz w:val="24"/>
        <w:szCs w:val="24"/>
        <w:lang w:val="en-US" w:eastAsia="en-US" w:bidi="ar-SA"/>
      </w:rPr>
    </w:lvl>
    <w:lvl w:ilvl="2">
      <w:start w:val="1"/>
      <w:numFmt w:val="decimal"/>
      <w:lvlText w:val="%3."/>
      <w:lvlJc w:val="left"/>
      <w:pPr>
        <w:ind w:left="1039" w:hanging="640"/>
        <w:jc w:val="left"/>
      </w:pPr>
      <w:rPr>
        <w:rFonts w:hint="default" w:ascii="Times New Roman" w:hAnsi="Times New Roman" w:eastAsia="Times New Roman" w:cs="Times New Roman"/>
        <w:b w:val="0"/>
        <w:bCs w:val="0"/>
        <w:i w:val="0"/>
        <w:iCs w:val="0"/>
        <w:spacing w:val="0"/>
        <w:w w:val="100"/>
        <w:sz w:val="24"/>
        <w:szCs w:val="24"/>
        <w:lang w:val="en-US" w:eastAsia="en-US" w:bidi="ar-SA"/>
      </w:rPr>
    </w:lvl>
    <w:lvl w:ilvl="3">
      <w:start w:val="0"/>
      <w:numFmt w:val="bullet"/>
      <w:lvlText w:val="•"/>
      <w:lvlJc w:val="left"/>
      <w:pPr>
        <w:ind w:left="2130" w:hanging="640"/>
      </w:pPr>
      <w:rPr>
        <w:rFonts w:hint="default"/>
        <w:lang w:val="en-US" w:eastAsia="en-US" w:bidi="ar-SA"/>
      </w:rPr>
    </w:lvl>
    <w:lvl w:ilvl="4">
      <w:start w:val="0"/>
      <w:numFmt w:val="bullet"/>
      <w:lvlText w:val="•"/>
      <w:lvlJc w:val="left"/>
      <w:pPr>
        <w:ind w:left="3220" w:hanging="640"/>
      </w:pPr>
      <w:rPr>
        <w:rFonts w:hint="default"/>
        <w:lang w:val="en-US" w:eastAsia="en-US" w:bidi="ar-SA"/>
      </w:rPr>
    </w:lvl>
    <w:lvl w:ilvl="5">
      <w:start w:val="0"/>
      <w:numFmt w:val="bullet"/>
      <w:lvlText w:val="•"/>
      <w:lvlJc w:val="left"/>
      <w:pPr>
        <w:ind w:left="4310" w:hanging="640"/>
      </w:pPr>
      <w:rPr>
        <w:rFonts w:hint="default"/>
        <w:lang w:val="en-US" w:eastAsia="en-US" w:bidi="ar-SA"/>
      </w:rPr>
    </w:lvl>
    <w:lvl w:ilvl="6">
      <w:start w:val="0"/>
      <w:numFmt w:val="bullet"/>
      <w:lvlText w:val="•"/>
      <w:lvlJc w:val="left"/>
      <w:pPr>
        <w:ind w:left="5400" w:hanging="640"/>
      </w:pPr>
      <w:rPr>
        <w:rFonts w:hint="default"/>
        <w:lang w:val="en-US" w:eastAsia="en-US" w:bidi="ar-SA"/>
      </w:rPr>
    </w:lvl>
    <w:lvl w:ilvl="7">
      <w:start w:val="0"/>
      <w:numFmt w:val="bullet"/>
      <w:lvlText w:val="•"/>
      <w:lvlJc w:val="left"/>
      <w:pPr>
        <w:ind w:left="6490" w:hanging="640"/>
      </w:pPr>
      <w:rPr>
        <w:rFonts w:hint="default"/>
        <w:lang w:val="en-US" w:eastAsia="en-US" w:bidi="ar-SA"/>
      </w:rPr>
    </w:lvl>
    <w:lvl w:ilvl="8">
      <w:start w:val="0"/>
      <w:numFmt w:val="bullet"/>
      <w:lvlText w:val="•"/>
      <w:lvlJc w:val="left"/>
      <w:pPr>
        <w:ind w:left="7580" w:hanging="640"/>
      </w:pPr>
      <w:rPr>
        <w:rFonts w:hint="default"/>
        <w:lang w:val="en-US" w:eastAsia="en-US" w:bidi="ar-SA"/>
      </w:rPr>
    </w:lvl>
  </w:abstract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Times New Roman" w:hAnsi="Times New Roman" w:eastAsia="Times New Roman" w:cs="Times New Roman"/>
      <w:lang w:val="en-US" w:eastAsia="en-US" w:bidi="ar-SA"/>
    </w:rPr>
  </w:style>
  <w:style w:styleId="TOC1" w:type="paragraph">
    <w:name w:val="TOC 1"/>
    <w:basedOn w:val="Normal"/>
    <w:uiPriority w:val="1"/>
    <w:qFormat/>
    <w:pPr>
      <w:spacing w:before="100"/>
      <w:ind w:left="819" w:hanging="659"/>
    </w:pPr>
    <w:rPr>
      <w:rFonts w:ascii="Times New Roman" w:hAnsi="Times New Roman" w:eastAsia="Times New Roman" w:cs="Times New Roman"/>
      <w:sz w:val="24"/>
      <w:szCs w:val="24"/>
      <w:lang w:val="en-US" w:eastAsia="en-US" w:bidi="ar-SA"/>
    </w:rPr>
  </w:style>
  <w:style w:styleId="TOC2" w:type="paragraph">
    <w:name w:val="TOC 2"/>
    <w:basedOn w:val="Normal"/>
    <w:uiPriority w:val="1"/>
    <w:qFormat/>
    <w:pPr>
      <w:spacing w:before="99"/>
      <w:ind w:left="1039" w:hanging="639"/>
    </w:pPr>
    <w:rPr>
      <w:rFonts w:ascii="Times New Roman" w:hAnsi="Times New Roman" w:eastAsia="Times New Roman" w:cs="Times New Roman"/>
      <w:sz w:val="24"/>
      <w:szCs w:val="24"/>
      <w:lang w:val="en-US" w:eastAsia="en-US" w:bidi="ar-SA"/>
    </w:rPr>
  </w:style>
  <w:style w:styleId="TOC3" w:type="paragraph">
    <w:name w:val="TOC 3"/>
    <w:basedOn w:val="Normal"/>
    <w:uiPriority w:val="1"/>
    <w:qFormat/>
    <w:pPr>
      <w:spacing w:before="100"/>
      <w:ind w:left="1260" w:hanging="620"/>
    </w:pPr>
    <w:rPr>
      <w:rFonts w:ascii="Times New Roman" w:hAnsi="Times New Roman" w:eastAsia="Times New Roman" w:cs="Times New Roman"/>
      <w:sz w:val="24"/>
      <w:szCs w:val="24"/>
      <w:lang w:val="en-US" w:eastAsia="en-US" w:bidi="ar-SA"/>
    </w:rPr>
  </w:style>
  <w:style w:styleId="BodyText" w:type="paragraph">
    <w:name w:val="Body Text"/>
    <w:basedOn w:val="Normal"/>
    <w:uiPriority w:val="1"/>
    <w:qFormat/>
    <w:pPr/>
    <w:rPr>
      <w:rFonts w:ascii="Times New Roman" w:hAnsi="Times New Roman" w:eastAsia="Times New Roman" w:cs="Times New Roman"/>
      <w:sz w:val="24"/>
      <w:szCs w:val="24"/>
      <w:lang w:val="en-US" w:eastAsia="en-US" w:bidi="ar-SA"/>
    </w:rPr>
  </w:style>
  <w:style w:styleId="Heading1" w:type="paragraph">
    <w:name w:val="Heading 1"/>
    <w:basedOn w:val="Normal"/>
    <w:uiPriority w:val="1"/>
    <w:qFormat/>
    <w:pPr>
      <w:ind w:left="160"/>
      <w:outlineLvl w:val="1"/>
    </w:pPr>
    <w:rPr>
      <w:rFonts w:ascii="Times New Roman" w:hAnsi="Times New Roman" w:eastAsia="Times New Roman" w:cs="Times New Roman"/>
      <w:b/>
      <w:bCs/>
      <w:sz w:val="36"/>
      <w:szCs w:val="36"/>
      <w:lang w:val="en-US" w:eastAsia="en-US" w:bidi="ar-SA"/>
    </w:rPr>
  </w:style>
  <w:style w:styleId="Heading2" w:type="paragraph">
    <w:name w:val="Heading 2"/>
    <w:basedOn w:val="Normal"/>
    <w:uiPriority w:val="1"/>
    <w:qFormat/>
    <w:pPr>
      <w:ind w:left="2319" w:hanging="719"/>
      <w:outlineLvl w:val="2"/>
    </w:pPr>
    <w:rPr>
      <w:rFonts w:ascii="Times New Roman" w:hAnsi="Times New Roman" w:eastAsia="Times New Roman" w:cs="Times New Roman"/>
      <w:b/>
      <w:bCs/>
      <w:sz w:val="32"/>
      <w:szCs w:val="32"/>
      <w:lang w:val="en-US" w:eastAsia="en-US" w:bidi="ar-SA"/>
    </w:rPr>
  </w:style>
  <w:style w:styleId="Heading3" w:type="paragraph">
    <w:name w:val="Heading 3"/>
    <w:basedOn w:val="Normal"/>
    <w:uiPriority w:val="1"/>
    <w:qFormat/>
    <w:pPr>
      <w:ind w:left="2147" w:hanging="547"/>
      <w:outlineLvl w:val="3"/>
    </w:pPr>
    <w:rPr>
      <w:rFonts w:ascii="Times New Roman" w:hAnsi="Times New Roman" w:eastAsia="Times New Roman" w:cs="Times New Roman"/>
      <w:b/>
      <w:bCs/>
      <w:sz w:val="28"/>
      <w:szCs w:val="28"/>
      <w:lang w:val="en-US" w:eastAsia="en-US" w:bidi="ar-SA"/>
    </w:rPr>
  </w:style>
  <w:style w:styleId="Heading4" w:type="paragraph">
    <w:name w:val="Heading 4"/>
    <w:basedOn w:val="Normal"/>
    <w:uiPriority w:val="1"/>
    <w:qFormat/>
    <w:pPr>
      <w:ind w:left="519" w:hanging="359"/>
      <w:outlineLvl w:val="4"/>
    </w:pPr>
    <w:rPr>
      <w:rFonts w:ascii="Times New Roman" w:hAnsi="Times New Roman" w:eastAsia="Times New Roman" w:cs="Times New Roman"/>
      <w:b/>
      <w:bCs/>
      <w:sz w:val="24"/>
      <w:szCs w:val="24"/>
      <w:lang w:val="en-US" w:eastAsia="en-US" w:bidi="ar-SA"/>
    </w:rPr>
  </w:style>
  <w:style w:styleId="Heading5" w:type="paragraph">
    <w:name w:val="Heading 5"/>
    <w:basedOn w:val="Normal"/>
    <w:uiPriority w:val="1"/>
    <w:qFormat/>
    <w:pPr>
      <w:ind w:left="880"/>
      <w:outlineLvl w:val="5"/>
    </w:pPr>
    <w:rPr>
      <w:rFonts w:ascii="Times New Roman" w:hAnsi="Times New Roman" w:eastAsia="Times New Roman" w:cs="Times New Roman"/>
      <w:b/>
      <w:bCs/>
      <w:sz w:val="24"/>
      <w:szCs w:val="24"/>
      <w:lang w:val="en-US" w:eastAsia="en-US" w:bidi="ar-SA"/>
    </w:rPr>
  </w:style>
  <w:style w:styleId="Heading6" w:type="paragraph">
    <w:name w:val="Heading 6"/>
    <w:basedOn w:val="Normal"/>
    <w:uiPriority w:val="1"/>
    <w:qFormat/>
    <w:pPr>
      <w:spacing w:before="90"/>
      <w:ind w:left="880"/>
      <w:outlineLvl w:val="6"/>
    </w:pPr>
    <w:rPr>
      <w:rFonts w:ascii="TimesNewRomanPS-BoldItalicMT" w:hAnsi="TimesNewRomanPS-BoldItalicMT" w:eastAsia="TimesNewRomanPS-BoldItalicMT" w:cs="TimesNewRomanPS-BoldItalicMT"/>
      <w:b/>
      <w:bCs/>
      <w:i/>
      <w:iCs/>
      <w:sz w:val="24"/>
      <w:szCs w:val="24"/>
      <w:lang w:val="en-US" w:eastAsia="en-US" w:bidi="ar-SA"/>
    </w:rPr>
  </w:style>
  <w:style w:styleId="ListParagraph" w:type="paragraph">
    <w:name w:val="List Paragraph"/>
    <w:basedOn w:val="Normal"/>
    <w:uiPriority w:val="1"/>
    <w:qFormat/>
    <w:pPr>
      <w:ind w:left="879" w:hanging="359"/>
    </w:pPr>
    <w:rPr>
      <w:rFonts w:ascii="Times New Roman" w:hAnsi="Times New Roman" w:eastAsia="Times New Roman" w:cs="Times New Roman"/>
      <w:lang w:val="en-US" w:eastAsia="en-US" w:bidi="ar-SA"/>
    </w:rPr>
  </w:style>
  <w:style w:styleId="TableParagraph" w:type="paragraph">
    <w:name w:val="Table Paragraph"/>
    <w:basedOn w:val="Normal"/>
    <w:uiPriority w:val="1"/>
    <w:qFormat/>
    <w:pPr>
      <w:jc w:val="center"/>
    </w:pPr>
    <w:rPr>
      <w:rFonts w:ascii="Times New Roman" w:hAnsi="Times New Roman" w:eastAsia="Times New Roman" w:cs="Times New Roman"/>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hyperlink" Target="https://www.regulations.gov/" TargetMode="External"/><Relationship Id="rId8" Type="http://schemas.openxmlformats.org/officeDocument/2006/relationships/hyperlink" Target="https://www.fda.gov/emergency-preparedness-and-response/mcm-issues/covid-19-related-guidance-documents-industry-fda-staff-and-other-stakeholders" TargetMode="External"/><Relationship Id="rId9" Type="http://schemas.openxmlformats.org/officeDocument/2006/relationships/hyperlink" Target="https://www.fda.gov/regulatory-information/search-fda-guidance-documents" TargetMode="External"/><Relationship Id="rId10" Type="http://schemas.openxmlformats.org/officeDocument/2006/relationships/hyperlink" Target="mailto:CDRH-Guidance@fda.hhs.gov" TargetMode="External"/><Relationship Id="rId11" Type="http://schemas.openxmlformats.org/officeDocument/2006/relationships/hyperlink" Target="mailto:CDRH-EUA-Templates@fda.hhs.gov" TargetMode="External"/><Relationship Id="rId12" Type="http://schemas.openxmlformats.org/officeDocument/2006/relationships/hyperlink" Target="https://www.govinfo.gov/content/pkg/FR-2020-03-25/pdf/2020-06222.pdf" TargetMode="External"/><Relationship Id="rId13" Type="http://schemas.openxmlformats.org/officeDocument/2006/relationships/hyperlink" Target="https://www.phe.gov/emergency/news/healthactions/phe/Pages/2019-nCoV.aspx" TargetMode="External"/><Relationship Id="rId14" Type="http://schemas.openxmlformats.org/officeDocument/2006/relationships/hyperlink" Target="https://www.whitehouse.gov/presidential-actions/proclamation-declaring-national-emergency-concerning-novel-coronavirus-disease-covid-19-outbreak/" TargetMode="External"/><Relationship Id="rId15" Type="http://schemas.openxmlformats.org/officeDocument/2006/relationships/hyperlink" Target="https://www.fda.gov/media/134919/download" TargetMode="External"/><Relationship Id="rId16" Type="http://schemas.openxmlformats.org/officeDocument/2006/relationships/hyperlink" Target="https://www.fda.gov/regulatory-information/search-fda-guidance-documents/emergency-use-authorization-medical-products-and-related-authorities" TargetMode="External"/><Relationship Id="rId17" Type="http://schemas.openxmlformats.org/officeDocument/2006/relationships/hyperlink" Target="https://www.fda.gov/media/137470/download" TargetMode="External"/><Relationship Id="rId18" Type="http://schemas.openxmlformats.org/officeDocument/2006/relationships/hyperlink" Target="mailto:CDRH-EUA-Templates@FDA.HHS.GOV" TargetMode="External"/><Relationship Id="rId19" Type="http://schemas.openxmlformats.org/officeDocument/2006/relationships/hyperlink" Target="https://www.fda.gov/medical-devices/emergency-situations-medical-devices/emergency-use-authorizations#coronavirus2019" TargetMode="External"/><Relationship Id="rId20" Type="http://schemas.openxmlformats.org/officeDocument/2006/relationships/hyperlink" Target="https://www.fda.gov/medical-devices/emergency-situations-medical-devices/faqs-diagnostic-testing-sars-cov-2" TargetMode="External"/><Relationship Id="rId21" Type="http://schemas.openxmlformats.org/officeDocument/2006/relationships/hyperlink" Target="mailto:CDRH-EUA-templates@FDA.HHS.GOV" TargetMode="External"/><Relationship Id="rId22" Type="http://schemas.openxmlformats.org/officeDocument/2006/relationships/hyperlink" Target="https://www.fda.gov/media/97321/download" TargetMode="External"/><Relationship Id="rId23" Type="http://schemas.openxmlformats.org/officeDocument/2006/relationships/hyperlink" Target="http://www.cellex.us/" TargetMode="External"/><Relationship Id="rId24"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OCC - MB</dc:creator>
  <dcterms:created xsi:type="dcterms:W3CDTF">2025-12-17T17:14:33Z</dcterms:created>
  <dcterms:modified xsi:type="dcterms:W3CDTF">2025-12-17T17:14:33Z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0x0101003603763E5330DA4EB0ADE31ABF6EE6A9</vt:lpwstr>
  </property>
  <property fmtid="{D5CDD505-2E9C-101B-9397-08002B2CF9AE}" pid="3" name="Created">
    <vt:filetime>2020-05-04T00:00:00Z</vt:filetime>
  </property>
  <property fmtid="{D5CDD505-2E9C-101B-9397-08002B2CF9AE}" pid="4" name="Creator">
    <vt:lpwstr>Acrobat PDFMaker 17 for Word</vt:lpwstr>
  </property>
  <property fmtid="{D5CDD505-2E9C-101B-9397-08002B2CF9AE}" pid="5" name="LastSaved">
    <vt:filetime>2025-12-17T00:00:00Z</vt:filetime>
  </property>
  <property fmtid="{D5CDD505-2E9C-101B-9397-08002B2CF9AE}" pid="6" name="Producer">
    <vt:lpwstr>Adobe PDF Library 15.0</vt:lpwstr>
  </property>
  <property fmtid="{D5CDD505-2E9C-101B-9397-08002B2CF9AE}" pid="7" name="SourceModified">
    <vt:lpwstr>D:20200504135239</vt:lpwstr>
  </property>
  <property fmtid="{D5CDD505-2E9C-101B-9397-08002B2CF9AE}" pid="8" name="_dlc_DocIdItemGuid">
    <vt:lpwstr>df3deeee-6695-4c97-b66b-c6104654284f</vt:lpwstr>
  </property>
  <property fmtid="{D5CDD505-2E9C-101B-9397-08002B2CF9AE}" pid="9" name="_docset_NoMedatataSyncRequired">
    <vt:lpwstr>True</vt:lpwstr>
  </property>
</Properties>
</file>