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ind w:left="630" w:firstLine="0"/>
        <w:jc w:val="center"/>
        <w:rPr>
          <w:rFonts w:ascii="Enriqueta" w:cs="Enriqueta" w:eastAsia="Enriqueta" w:hAnsi="Enriqueta"/>
          <w:color w:val="666666"/>
          <w:sz w:val="20"/>
          <w:szCs w:val="20"/>
        </w:rPr>
      </w:pPr>
      <w:r w:rsidDel="00000000" w:rsidR="00000000" w:rsidRPr="00000000">
        <w:rPr>
          <w:rFonts w:ascii="Enriqueta" w:cs="Enriqueta" w:eastAsia="Enriqueta" w:hAnsi="Enriqueta"/>
          <w:color w:val="666666"/>
          <w:rtl w:val="0"/>
        </w:rPr>
        <w:t xml:space="preserve">A Public Benefit Corporation dedicated to open, mass COVID-19 screening </w:t>
      </w:r>
      <w:r w:rsidDel="00000000" w:rsidR="00000000" w:rsidRPr="00000000">
        <w:rPr>
          <w:rtl w:val="0"/>
        </w:rPr>
      </w:r>
    </w:p>
    <w:p w:rsidR="00000000" w:rsidDel="00000000" w:rsidP="00000000" w:rsidRDefault="00000000" w:rsidRPr="00000000" w14:paraId="00000002">
      <w:pPr>
        <w:pageBreakBefore w:val="0"/>
        <w:ind w:left="630" w:firstLine="0"/>
        <w:jc w:val="center"/>
        <w:rPr>
          <w:rFonts w:ascii="Roboto" w:cs="Roboto" w:eastAsia="Roboto" w:hAnsi="Roboto"/>
          <w:sz w:val="10"/>
          <w:szCs w:val="10"/>
        </w:rPr>
      </w:pPr>
      <w:r w:rsidDel="00000000" w:rsidR="00000000" w:rsidRPr="00000000">
        <w:rPr>
          <w:rtl w:val="0"/>
        </w:rPr>
      </w:r>
    </w:p>
    <w:p w:rsidR="00000000" w:rsidDel="00000000" w:rsidP="00000000" w:rsidRDefault="00000000" w:rsidRPr="00000000" w14:paraId="00000003">
      <w:pPr>
        <w:pStyle w:val="Heading1"/>
        <w:pageBreakBefore w:val="0"/>
        <w:rPr>
          <w:u w:val="single"/>
        </w:rPr>
      </w:pPr>
      <w:bookmarkStart w:colFirst="0" w:colLast="0" w:name="_j6w6em2wpvgt" w:id="0"/>
      <w:bookmarkEnd w:id="0"/>
      <w:r w:rsidDel="00000000" w:rsidR="00000000" w:rsidRPr="00000000">
        <w:rPr>
          <w:u w:val="single"/>
          <w:rtl w:val="0"/>
        </w:rPr>
        <w:t xml:space="preserve">Pre-EUA email 10/22 sent to CDRH</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FloodLAMP Biotechnologies is a Public Benefit Corporation with a mission to improve public health with scalable, low-cost infectious disease screening programs. Our near-term goal is to help end the COVID-19 crisis through widely accessible SARS-CoV-2 pooled screening. We are based in San Carlos, CA and are engaged in a number of collaborations with mission-driven individuals and organizations.</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FloodLAMP is developing an integrated screening program consisting of efficient on-site and at-home pooled sample collection, combined with an ultra-low-cost, low-barrier-to-entry RT-LAMP assay protocol. The assay uses a chemical inactivation (TCEP/EDTA) and a bead purification step to achieve high sensitivity required for pooling. Amplification is via RT-LAMP, with 2 versions of the kit under development: 1) fluorimetric for real-time measurement on qPCR instruments and 2) colorimetric for endpoint visual and camera based readout. Preliminary LoD studies using Zeptometrix inactivated virions spiked into anterior nares swab extract have determined an LoD of 2 copies/ul for the colorimetric assay. We've run thousands of samples to date.</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drawing>
          <wp:inline distB="114300" distT="114300" distL="114300" distR="114300">
            <wp:extent cx="4555457" cy="1109663"/>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555457" cy="1109663"/>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Our sample collection materials and procedures are configured to pool up to 10 samples. We plan to pool to even higher levels by pooling pools of 10 in the lab. As a part of the pre-EUA process, we would greatly appreciate your guidance on determining appropriate pool levels and LoD targets for higher-level pooling.</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Our screening program is designed for asymptomatic populations that participate in the program as a group, such as a school or employer. During the program’s initial phase, all participants will be tested individually or at small pool levels that are appropriate for the estimated prevalence. Immediately following the initial phase, participants that have tested negative will commence ongoing pooled screening, with no more than 3 days between tests and less than 24 hour turnaround (target less than 12 hours). Dedicated lab capacity will be committed to ensure screening continuity and rapid turnaround time.</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We understand that FloodLAMP's Screening Program and Test Kits comprise an ambitious plan. We are integrating several of the agency's priorities with the goal of unlocking mass, scalable screening for the U.S. </w:t>
      </w:r>
    </w:p>
    <w:p w:rsidR="00000000" w:rsidDel="00000000" w:rsidP="00000000" w:rsidRDefault="00000000" w:rsidRPr="00000000" w14:paraId="00000010">
      <w:pPr>
        <w:pageBreakBefore w:val="0"/>
        <w:rPr/>
      </w:pPr>
      <w:r w:rsidDel="00000000" w:rsidR="00000000" w:rsidRPr="00000000">
        <w:rPr>
          <w:rtl w:val="0"/>
        </w:rPr>
        <w:t xml:space="preserve">As a Public Benefit Corporation, we have explicitly committed to open protocols and the public good. We are already living that commitment through important collaborations and by publicly publishing our detailed protocols, workflow, and process videos. We will expand this material in support of our Test Kit IFU to facilitate rapid and reliable adoption of the FloodLAMP Screening Program at scale. </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We at FloodLAMP are inspired by the Yale team’s groundbreaking work on Saliva Direct - the first open protocol EUA. We plan to build upon their example of openness and accessibility as we seek authorization for the FloodLAMP IVD Test Kit.</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We would greatly appreciate feedback and guidance from the FDA in determining a validation plan for the 2 assay configurations, as well as multiple reagent and supplier combinations.</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We are using the following templates for our pre-EUA submission. We would greatly appreciate updated versions of these, if they are available.</w:t>
      </w:r>
    </w:p>
    <w:p w:rsidR="00000000" w:rsidDel="00000000" w:rsidP="00000000" w:rsidRDefault="00000000" w:rsidRPr="00000000" w14:paraId="00000017">
      <w:pPr>
        <w:pageBreakBefore w:val="0"/>
        <w:rPr/>
      </w:pPr>
      <w:r w:rsidDel="00000000" w:rsidR="00000000" w:rsidRPr="00000000">
        <w:rPr>
          <w:rtl w:val="0"/>
        </w:rPr>
        <w:t xml:space="preserve">July 28 Molecular Diagnostic Template for Commercial Manufacturers</w:t>
      </w:r>
    </w:p>
    <w:p w:rsidR="00000000" w:rsidDel="00000000" w:rsidP="00000000" w:rsidRDefault="00000000" w:rsidRPr="00000000" w14:paraId="00000018">
      <w:pPr>
        <w:pageBreakBefore w:val="0"/>
        <w:rPr/>
      </w:pPr>
      <w:r w:rsidDel="00000000" w:rsidR="00000000" w:rsidRPr="00000000">
        <w:rPr>
          <w:rtl w:val="0"/>
        </w:rPr>
        <w:t xml:space="preserve">July 28 Molecular Diagnostic Template for Laboratories</w:t>
      </w:r>
    </w:p>
    <w:p w:rsidR="00000000" w:rsidDel="00000000" w:rsidP="00000000" w:rsidRDefault="00000000" w:rsidRPr="00000000" w14:paraId="00000019">
      <w:pPr>
        <w:pageBreakBefore w:val="0"/>
        <w:rPr/>
      </w:pPr>
      <w:r w:rsidDel="00000000" w:rsidR="00000000" w:rsidRPr="00000000">
        <w:rPr>
          <w:rtl w:val="0"/>
        </w:rPr>
        <w:t xml:space="preserve">May 29 Home Specimen Collection Molecular Diagnostic </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rFonts w:ascii="Roboto" w:cs="Roboto" w:eastAsia="Roboto" w:hAnsi="Roboto"/>
          <w:sz w:val="20"/>
          <w:szCs w:val="20"/>
        </w:rPr>
      </w:pPr>
      <w:r w:rsidDel="00000000" w:rsidR="00000000" w:rsidRPr="00000000">
        <w:rPr>
          <w:rtl w:val="0"/>
        </w:rPr>
      </w:r>
    </w:p>
    <w:sectPr>
      <w:headerReference r:id="rId7" w:type="default"/>
      <w:headerReference r:id="rId8" w:type="first"/>
      <w:footerReference r:id="rId9" w:type="default"/>
      <w:footerReference r:id="rId10" w:type="first"/>
      <w:pgSz w:h="15840" w:w="12240" w:orient="portrait"/>
      <w:pgMar w:bottom="1080" w:top="1080" w:left="1080" w:right="1080" w:header="720"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ontserrat">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Montserrat Medium">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Enriqueta">
    <w:embedRegular w:fontKey="{00000000-0000-0000-0000-000000000000}" r:id="rId17" w:subsetted="0"/>
    <w:embedBold w:fontKey="{00000000-0000-0000-0000-000000000000}" r:id="rId1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pageBreakBefore w:val="0"/>
      <w:rPr>
        <w:rFonts w:ascii="Poppins" w:cs="Poppins" w:eastAsia="Poppins" w:hAnsi="Poppins"/>
        <w:b w:val="1"/>
        <w:sz w:val="18"/>
        <w:szCs w:val="18"/>
      </w:rPr>
    </w:pPr>
    <w:r w:rsidDel="00000000" w:rsidR="00000000" w:rsidRPr="00000000">
      <w:rPr>
        <w:rFonts w:ascii="Poppins" w:cs="Poppins" w:eastAsia="Poppins" w:hAnsi="Poppins"/>
        <w:sz w:val="18"/>
        <w:szCs w:val="18"/>
        <w:rtl w:val="0"/>
      </w:rPr>
      <w:t xml:space="preserve">floodlamp.bio </w:t>
      <w:tab/>
      <w:t xml:space="preserve">                FloodLAMP Biotechnologies, a Public Benefit Corporation           contact@floodlamp.bio</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pageBreakBefore w:val="0"/>
      <w:rPr>
        <w:rFonts w:ascii="Montserrat Medium" w:cs="Montserrat Medium" w:eastAsia="Montserrat Medium" w:hAnsi="Montserrat Medium"/>
        <w:sz w:val="18"/>
        <w:szCs w:val="18"/>
      </w:rPr>
    </w:pPr>
    <w:r w:rsidDel="00000000" w:rsidR="00000000" w:rsidRPr="00000000">
      <w:rPr>
        <w:rFonts w:ascii="Montserrat Medium" w:cs="Montserrat Medium" w:eastAsia="Montserrat Medium" w:hAnsi="Montserrat Medium"/>
        <w:sz w:val="18"/>
        <w:szCs w:val="18"/>
        <w:rtl w:val="0"/>
      </w:rPr>
      <w:t xml:space="preserve">floodlamp.bio </w:t>
      <w:tab/>
      <w:t xml:space="preserve">       FloodLAMP Biotechnologies, a Public Benefit Corporation           contact@floodlamp.bio</w:t>
    </w:r>
  </w:p>
  <w:p w:rsidR="00000000" w:rsidDel="00000000" w:rsidP="00000000" w:rsidRDefault="00000000" w:rsidRPr="00000000" w14:paraId="0000001F">
    <w:pPr>
      <w:pageBreakBefore w:val="0"/>
      <w:jc w:val="right"/>
      <w:rPr>
        <w:rFonts w:ascii="Montserrat Medium" w:cs="Montserrat Medium" w:eastAsia="Montserrat Medium" w:hAnsi="Montserrat Medium"/>
        <w:sz w:val="18"/>
        <w:szCs w:val="18"/>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pageBreakBefore w:val="0"/>
      <w:ind w:left="0" w:firstLine="0"/>
      <w:jc w:val="left"/>
      <w:rPr>
        <w:rFonts w:ascii="Poppins" w:cs="Poppins" w:eastAsia="Poppins" w:hAnsi="Poppins"/>
        <w:b w:val="1"/>
        <w:sz w:val="40"/>
        <w:szCs w:val="40"/>
      </w:rPr>
    </w:pPr>
    <w:r w:rsidDel="00000000" w:rsidR="00000000" w:rsidRPr="00000000">
      <w:rPr>
        <w:rFonts w:ascii="Montserrat" w:cs="Montserrat" w:eastAsia="Montserrat" w:hAnsi="Montserrat"/>
        <w:b w:val="1"/>
        <w:sz w:val="40"/>
        <w:szCs w:val="40"/>
        <w:rtl w:val="0"/>
      </w:rPr>
      <w:t xml:space="preserve">        </w:t>
    </w:r>
    <w:r w:rsidDel="00000000" w:rsidR="00000000" w:rsidRPr="00000000">
      <w:rPr>
        <w:rFonts w:ascii="Poppins" w:cs="Poppins" w:eastAsia="Poppins" w:hAnsi="Poppins"/>
        <w:b w:val="1"/>
        <w:sz w:val="40"/>
        <w:szCs w:val="40"/>
        <w:rtl w:val="0"/>
      </w:rPr>
      <w:t xml:space="preserve">              FloodLAMP Biotechnologies</w:t>
    </w:r>
    <w:r w:rsidDel="00000000" w:rsidR="00000000" w:rsidRPr="00000000">
      <w:drawing>
        <wp:anchor allowOverlap="1" behindDoc="0" distB="0" distT="0" distL="0" distR="0" hidden="0" layoutInCell="1" locked="0" relativeHeight="0" simplePos="0">
          <wp:simplePos x="0" y="0"/>
          <wp:positionH relativeFrom="column">
            <wp:posOffset>4991100</wp:posOffset>
          </wp:positionH>
          <wp:positionV relativeFrom="paragraph">
            <wp:posOffset>-247649</wp:posOffset>
          </wp:positionV>
          <wp:extent cx="690563" cy="603334"/>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690563" cy="603334"/>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pageBreakBefore w:val="0"/>
      <w:jc w:val="center"/>
      <w:rPr>
        <w:rFonts w:ascii="Poppins" w:cs="Poppins" w:eastAsia="Poppins" w:hAnsi="Poppins"/>
        <w:b w:val="1"/>
        <w:sz w:val="28"/>
        <w:szCs w:val="28"/>
      </w:rPr>
    </w:pPr>
    <w:r w:rsidDel="00000000" w:rsidR="00000000" w:rsidRPr="00000000">
      <w:rPr>
        <w:rFonts w:ascii="Poppins" w:cs="Poppins" w:eastAsia="Poppins" w:hAnsi="Poppins"/>
        <w:b w:val="1"/>
        <w:sz w:val="28"/>
        <w:szCs w:val="28"/>
        <w:rtl w:val="0"/>
      </w:rPr>
      <w:t xml:space="preserve">FloodLAMP Biotechnologies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pPr>
    <w:rPr>
      <w:b w:val="1"/>
      <w:sz w:val="28"/>
      <w:szCs w:val="28"/>
    </w:rPr>
  </w:style>
  <w:style w:type="paragraph" w:styleId="Heading2">
    <w:name w:val="heading 2"/>
    <w:basedOn w:val="Normal"/>
    <w:next w:val="Normal"/>
    <w:pPr>
      <w:keepNext w:val="1"/>
      <w:keepLines w:val="1"/>
      <w:pageBreakBefore w:val="0"/>
    </w:pPr>
    <w:rPr>
      <w:sz w:val="24"/>
      <w:szCs w:val="24"/>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0"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1" Type="http://schemas.openxmlformats.org/officeDocument/2006/relationships/font" Target="fonts/Montserrat-italic.ttf"/><Relationship Id="rId10" Type="http://schemas.openxmlformats.org/officeDocument/2006/relationships/font" Target="fonts/Montserrat-bold.ttf"/><Relationship Id="rId13" Type="http://schemas.openxmlformats.org/officeDocument/2006/relationships/font" Target="fonts/MontserratMedium-regular.ttf"/><Relationship Id="rId12" Type="http://schemas.openxmlformats.org/officeDocument/2006/relationships/font" Target="fonts/Montserrat-boldItalic.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Montserrat-regular.ttf"/><Relationship Id="rId15" Type="http://schemas.openxmlformats.org/officeDocument/2006/relationships/font" Target="fonts/MontserratMedium-italic.ttf"/><Relationship Id="rId14" Type="http://schemas.openxmlformats.org/officeDocument/2006/relationships/font" Target="fonts/MontserratMedium-bold.ttf"/><Relationship Id="rId17" Type="http://schemas.openxmlformats.org/officeDocument/2006/relationships/font" Target="fonts/Enriqueta-regular.ttf"/><Relationship Id="rId16" Type="http://schemas.openxmlformats.org/officeDocument/2006/relationships/font" Target="fonts/MontserratMedium-boldItalic.ttf"/><Relationship Id="rId5" Type="http://schemas.openxmlformats.org/officeDocument/2006/relationships/font" Target="fonts/Poppins-regular.ttf"/><Relationship Id="rId6" Type="http://schemas.openxmlformats.org/officeDocument/2006/relationships/font" Target="fonts/Poppins-bold.ttf"/><Relationship Id="rId18" Type="http://schemas.openxmlformats.org/officeDocument/2006/relationships/font" Target="fonts/Enriqueta-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