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rFonts w:ascii="Times New Roman" w:cs="Times New Roman" w:eastAsia="Times New Roman" w:hAnsi="Times New Roman"/>
          <w:b w:val="1"/>
          <w:color w:val="000000"/>
          <w:sz w:val="24"/>
          <w:szCs w:val="24"/>
        </w:rPr>
      </w:pPr>
      <w:bookmarkStart w:colFirst="0" w:colLast="0" w:name="_heading=h.ncplnugvn6wh" w:id="0"/>
      <w:bookmarkEnd w:id="0"/>
      <w:r w:rsidDel="00000000" w:rsidR="00000000" w:rsidRPr="00000000">
        <w:rPr>
          <w:rtl w:val="0"/>
        </w:rPr>
        <w:t xml:space="preserve">A. PURPOSE FOR SUBMISSION</w:t>
      </w:r>
      <w:r w:rsidDel="00000000" w:rsidR="00000000" w:rsidRPr="00000000">
        <w:rPr>
          <w:rtl w:val="0"/>
        </w:rPr>
      </w:r>
    </w:p>
    <w:p w:rsidR="00000000" w:rsidDel="00000000" w:rsidP="00000000" w:rsidRDefault="00000000" w:rsidRPr="00000000" w14:paraId="00000002">
      <w:pPr>
        <w:spacing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 xml:space="preserve">Emergency Use Authorization (EUA) request for distribution and/or use of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for the </w:t>
      </w:r>
      <w:r w:rsidDel="00000000" w:rsidR="00000000" w:rsidRPr="00000000">
        <w:rPr>
          <w:rFonts w:ascii="Times New Roman" w:cs="Times New Roman" w:eastAsia="Times New Roman" w:hAnsi="Times New Roman"/>
          <w:i w:val="1"/>
          <w:sz w:val="24"/>
          <w:szCs w:val="24"/>
          <w:rtl w:val="0"/>
        </w:rPr>
        <w:t xml:space="preserve">in vitro</w:t>
      </w:r>
      <w:r w:rsidDel="00000000" w:rsidR="00000000" w:rsidRPr="00000000">
        <w:rPr>
          <w:rFonts w:ascii="Times New Roman" w:cs="Times New Roman" w:eastAsia="Times New Roman" w:hAnsi="Times New Roman"/>
          <w:sz w:val="24"/>
          <w:szCs w:val="24"/>
          <w:rtl w:val="0"/>
        </w:rPr>
        <w:t xml:space="preserve"> qualitative detection of RNA from the SARS-CoV-2 in upper respiratory specimens including oropharyngeal and nasopharyngeal swabs, anterior nasal and mid-turbinate nasal swabs </w:t>
      </w:r>
      <w:r w:rsidDel="00000000" w:rsidR="00000000" w:rsidRPr="00000000">
        <w:rPr>
          <w:rFonts w:ascii="Times New Roman" w:cs="Times New Roman" w:eastAsia="Times New Roman" w:hAnsi="Times New Roman"/>
          <w:b w:val="1"/>
          <w:sz w:val="24"/>
          <w:szCs w:val="24"/>
          <w:highlight w:val="yellow"/>
          <w:rtl w:val="0"/>
        </w:rPr>
        <w:t xml:space="preserve">from individuals suspected of COVID-19 by their healthcare provider and from individuals without symptoms or other epidemiological reasons to suspect COVID-19 infection, when tested at a weekly interval with no more than 9 days between tests</w:t>
      </w:r>
      <w:r w:rsidDel="00000000" w:rsidR="00000000" w:rsidRPr="00000000">
        <w:rPr>
          <w:rFonts w:ascii="Times New Roman" w:cs="Times New Roman" w:eastAsia="Times New Roman" w:hAnsi="Times New Roman"/>
          <w:b w:val="1"/>
          <w:i w:val="1"/>
          <w:sz w:val="24"/>
          <w:szCs w:val="24"/>
          <w:highlight w:val="yellow"/>
          <w:rtl w:val="0"/>
        </w:rPr>
        <w:t xml:space="preserve"> </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Additional testing and confirmation procedures should be performed in consultation with public health and/or other authorities to whom reporting is required. Test results should be reported in accordance with local, state, and federal regulations.</w:t>
      </w: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red"/>
          <w:rtl w:val="0"/>
        </w:rPr>
        <w:t xml:space="preserve">  </w:t>
      </w:r>
      <w:r w:rsidDel="00000000" w:rsidR="00000000" w:rsidRPr="00000000">
        <w:rPr>
          <w:rtl w:val="0"/>
        </w:rPr>
      </w:r>
    </w:p>
    <w:p w:rsidR="00000000" w:rsidDel="00000000" w:rsidP="00000000" w:rsidRDefault="00000000" w:rsidRPr="00000000" w14:paraId="00000004">
      <w:pPr>
        <w:pStyle w:val="Heading1"/>
        <w:rPr/>
      </w:pPr>
      <w:bookmarkStart w:colFirst="0" w:colLast="0" w:name="_heading=h.tfwfi8ozm4dp" w:id="1"/>
      <w:bookmarkEnd w:id="1"/>
      <w:r w:rsidDel="00000000" w:rsidR="00000000" w:rsidRPr="00000000">
        <w:rPr>
          <w:rtl w:val="0"/>
        </w:rPr>
        <w:t xml:space="preserve">B. MEASURAND</w:t>
      </w:r>
    </w:p>
    <w:p w:rsidR="00000000" w:rsidDel="00000000" w:rsidP="00000000" w:rsidRDefault="00000000" w:rsidRPr="00000000" w14:paraId="000000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Specific nucleic acid sequences from the genome of the SARS-CoV-2, targeted by</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primers from the ORF1ab, N &amp; E regions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of the virus. Primer names and sequences are listed in Table 1.</w:t>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Style w:val="Heading3"/>
        <w:rPr>
          <w:b w:val="1"/>
          <w:color w:val="000000"/>
        </w:rPr>
      </w:pPr>
      <w:bookmarkStart w:colFirst="0" w:colLast="0" w:name="_heading=h.t4t283m87oo1" w:id="2"/>
      <w:bookmarkEnd w:id="2"/>
      <w:r w:rsidDel="00000000" w:rsidR="00000000" w:rsidRPr="00000000">
        <w:rPr>
          <w:rtl w:val="0"/>
        </w:rPr>
        <w:t xml:space="preserve">Table 1: Primer names and sequences</w:t>
      </w:r>
      <w:r w:rsidDel="00000000" w:rsidR="00000000" w:rsidRPr="00000000">
        <w:rPr>
          <w:rtl w:val="0"/>
        </w:rPr>
      </w:r>
    </w:p>
    <w:tbl>
      <w:tblPr>
        <w:tblStyle w:val="Table1"/>
        <w:tblW w:w="10155.0" w:type="dxa"/>
        <w:jc w:val="left"/>
        <w:tblInd w:w="28.799999999999997"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30"/>
        <w:gridCol w:w="7125"/>
        <w:tblGridChange w:id="0">
          <w:tblGrid>
            <w:gridCol w:w="3030"/>
            <w:gridCol w:w="7125"/>
          </w:tblGrid>
        </w:tblGridChange>
      </w:tblGrid>
      <w:tr>
        <w:tc>
          <w:tcPr>
            <w:shd w:fill="d9d9d9"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Primer Name</w:t>
            </w:r>
          </w:p>
        </w:tc>
        <w:tc>
          <w:tcPr>
            <w:shd w:fill="d9d9d9"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09">
            <w:pPr>
              <w:widowControl w:val="0"/>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Sequence (5’-3’)</w:t>
            </w:r>
          </w:p>
        </w:tc>
      </w:tr>
      <w:tr>
        <w:trPr>
          <w:trHeight w:val="364.98046875" w:hRule="atLeast"/>
        </w:trP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0A">
            <w:pPr>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ORF1ab gene (AS1e)</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0B">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trHeight w:val="315" w:hRule="atLeast"/>
        </w:trP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0C">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Orf1ab_FIP</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0D">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TCAGCACACAAAGCCAAAAATTTATTTTTCTGTGCAAAGGAAATTAAGGAG</w:t>
            </w:r>
          </w:p>
        </w:tc>
      </w:tr>
      <w:tr>
        <w:trPr>
          <w:trHeight w:val="334.98046875" w:hRule="atLeast"/>
        </w:trP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0E">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Orf1ab_BIP</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0F">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TATTGGTGGAGCTAAACTTAAAGCCTTTTCTGTACAATCCCTTTGAGTG</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0">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Orf1ab_F3</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1">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CGGTGGACAAATTGTCAC</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2">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Orf1ab_B3</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3">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CTTCTCTGGATTTAACACACTT</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4">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Orf1ab_LF</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5">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TTACAAGCTTAAAGAATGTCTGAACACT</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6">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Orf1ab_LB</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7">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TTGAATTTAGGTGAAACATTTGTCACG</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8">
            <w:pPr>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N Gene (N2)</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N2_FIP</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TTCCGAAGAACGCTGAAGCGGAACTGATTACAAACATTGGCC</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N2_BIP</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CGCATTGGCATGGAAGTCACAATTTGATGGCACCTGTGTA</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N2_F3</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ACCAGGAACTAATCAGACAAG</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N2_B3</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GACTTGATCTTTGAAATTTGGATCT</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N2_LF</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GGGGGCAAATTGTGCAATTTG</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N2_LB</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CTTCGGGAACGTGGTTGACC</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6">
            <w:pPr>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E Gene (E1)</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7">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8">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E1_FIP</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9">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ACCACGAAAGCAAGAAAAAGAAGTTCGTTTCGGAAGAGACAG</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A">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E1_BIP</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B">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TTGCTAGTTACACTAGCCATCCTTAGGTTTTACAAGACTCACGT</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C">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E1_F3</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D">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TGAGTACGAACTTATGTACTCAT</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E">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E1_B3</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F">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TTCAGATTTTTAACACGAGAGT</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0">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E1_LF</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1">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CGCTATTAACTATTAACG</w:t>
            </w:r>
          </w:p>
        </w:tc>
      </w:tr>
      <w:tr>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2">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E1_LB</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3">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GCGCTTCGATTGTGTGCGT</w:t>
            </w:r>
          </w:p>
        </w:tc>
      </w:tr>
    </w:tbl>
    <w:p w:rsidR="00000000" w:rsidDel="00000000" w:rsidP="00000000" w:rsidRDefault="00000000" w:rsidRPr="00000000" w14:paraId="0000003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pStyle w:val="Heading1"/>
        <w:rPr>
          <w:rFonts w:ascii="Open Sans" w:cs="Open Sans" w:eastAsia="Open Sans" w:hAnsi="Open Sans"/>
          <w:highlight w:val="yellow"/>
        </w:rPr>
      </w:pPr>
      <w:bookmarkStart w:colFirst="0" w:colLast="0" w:name="_heading=h.5jec4u2omaws" w:id="3"/>
      <w:bookmarkEnd w:id="3"/>
      <w:r w:rsidDel="00000000" w:rsidR="00000000" w:rsidRPr="00000000">
        <w:rPr>
          <w:rtl w:val="0"/>
        </w:rPr>
        <w:t xml:space="preserve">C. APPLICANT</w:t>
      </w:r>
      <w:r w:rsidDel="00000000" w:rsidR="00000000" w:rsidRPr="00000000">
        <w:rPr>
          <w:rtl w:val="0"/>
        </w:rPr>
      </w:r>
    </w:p>
    <w:p w:rsidR="00000000" w:rsidDel="00000000" w:rsidP="00000000" w:rsidRDefault="00000000" w:rsidRPr="00000000" w14:paraId="00000036">
      <w:pPr>
        <w:keepLines w:val="1"/>
        <w:widowControl w:val="0"/>
        <w:spacing w:line="240" w:lineRule="auto"/>
        <w:jc w:val="both"/>
        <w:rPr>
          <w:rFonts w:ascii="Times New Roman" w:cs="Times New Roman" w:eastAsia="Times New Roman" w:hAnsi="Times New Roman"/>
          <w:b w:val="1"/>
          <w:i w:val="1"/>
          <w:color w:val="000000"/>
          <w:sz w:val="26"/>
          <w:szCs w:val="26"/>
        </w:rPr>
      </w:pPr>
      <w:r w:rsidDel="00000000" w:rsidR="00000000" w:rsidRPr="00000000">
        <w:rPr>
          <w:rFonts w:ascii="Times New Roman" w:cs="Times New Roman" w:eastAsia="Times New Roman" w:hAnsi="Times New Roman"/>
          <w:sz w:val="24"/>
          <w:szCs w:val="24"/>
          <w:rtl w:val="0"/>
        </w:rPr>
        <w:t xml:space="preserve">FloodLAMP Biotechnologies, a DE Public Benefit Corporation</w:t>
      </w:r>
      <w:r w:rsidDel="00000000" w:rsidR="00000000" w:rsidRPr="00000000">
        <w:rPr>
          <w:rtl w:val="0"/>
        </w:rPr>
      </w:r>
    </w:p>
    <w:p w:rsidR="00000000" w:rsidDel="00000000" w:rsidP="00000000" w:rsidRDefault="00000000" w:rsidRPr="00000000" w14:paraId="00000037">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Mailing Address:</w:t>
      </w:r>
    </w:p>
    <w:p w:rsidR="00000000" w:rsidDel="00000000" w:rsidP="00000000" w:rsidRDefault="00000000" w:rsidRPr="00000000" w14:paraId="00000038">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4860 Alpine Rd.</w:t>
      </w:r>
    </w:p>
    <w:p w:rsidR="00000000" w:rsidDel="00000000" w:rsidP="00000000" w:rsidRDefault="00000000" w:rsidRPr="00000000" w14:paraId="00000039">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Portola Valley, CA 94028</w:t>
      </w:r>
    </w:p>
    <w:p w:rsidR="00000000" w:rsidDel="00000000" w:rsidP="00000000" w:rsidRDefault="00000000" w:rsidRPr="00000000" w14:paraId="0000003A">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Laboratory Address:</w:t>
      </w:r>
    </w:p>
    <w:p w:rsidR="00000000" w:rsidDel="00000000" w:rsidP="00000000" w:rsidRDefault="00000000" w:rsidRPr="00000000" w14:paraId="0000003C">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FloodLAMP at MBC Biolabs</w:t>
      </w:r>
    </w:p>
    <w:p w:rsidR="00000000" w:rsidDel="00000000" w:rsidP="00000000" w:rsidRDefault="00000000" w:rsidRPr="00000000" w14:paraId="0000003D">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930 Brittan Ave San Carlos, CA 94070</w:t>
      </w:r>
    </w:p>
    <w:p w:rsidR="00000000" w:rsidDel="00000000" w:rsidP="00000000" w:rsidRDefault="00000000" w:rsidRPr="00000000" w14:paraId="0000003E">
      <w:pPr>
        <w:spacing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4"/>
          <w:szCs w:val="24"/>
          <w:rtl w:val="0"/>
        </w:rPr>
        <w:t xml:space="preserve">San Carlos, CA 94070</w:t>
        <w:tab/>
      </w:r>
      <w:r w:rsidDel="00000000" w:rsidR="00000000" w:rsidRPr="00000000">
        <w:rPr>
          <w:rtl w:val="0"/>
        </w:rPr>
      </w:r>
    </w:p>
    <w:p w:rsidR="00000000" w:rsidDel="00000000" w:rsidP="00000000" w:rsidRDefault="00000000" w:rsidRPr="00000000" w14:paraId="0000003F">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Randall J. True</w:t>
      </w:r>
    </w:p>
    <w:p w:rsidR="00000000" w:rsidDel="00000000" w:rsidP="00000000" w:rsidRDefault="00000000" w:rsidRPr="00000000" w14:paraId="00000041">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Founder and CEO</w:t>
      </w:r>
    </w:p>
    <w:p w:rsidR="00000000" w:rsidDel="00000000" w:rsidP="00000000" w:rsidRDefault="00000000" w:rsidRPr="00000000" w14:paraId="00000042">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(415) 269-2974</w:t>
      </w:r>
    </w:p>
    <w:p w:rsidR="00000000" w:rsidDel="00000000" w:rsidP="00000000" w:rsidRDefault="00000000" w:rsidRPr="00000000" w14:paraId="00000043">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randy@floodlamp.bio</w:t>
      </w:r>
    </w:p>
    <w:p w:rsidR="00000000" w:rsidDel="00000000" w:rsidP="00000000" w:rsidRDefault="00000000" w:rsidRPr="00000000" w14:paraId="00000044">
      <w:pPr>
        <w:keepLines w:val="1"/>
        <w:widowControl w:val="0"/>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pStyle w:val="Heading1"/>
        <w:rPr/>
      </w:pPr>
      <w:bookmarkStart w:colFirst="0" w:colLast="0" w:name="_heading=h.ocyumdcbt5zp" w:id="4"/>
      <w:bookmarkEnd w:id="4"/>
      <w:r w:rsidDel="00000000" w:rsidR="00000000" w:rsidRPr="00000000">
        <w:rPr>
          <w:rtl w:val="0"/>
        </w:rPr>
        <w:t xml:space="preserve">D. PROPRIETARY AND ESTABLISHED NAMES</w:t>
      </w:r>
    </w:p>
    <w:p w:rsidR="00000000" w:rsidDel="00000000" w:rsidP="00000000" w:rsidRDefault="00000000" w:rsidRPr="00000000" w14:paraId="000000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Proprietary Name -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tl w:val="0"/>
        </w:rPr>
      </w:r>
    </w:p>
    <w:p w:rsidR="00000000" w:rsidDel="00000000" w:rsidP="00000000" w:rsidRDefault="00000000" w:rsidRPr="00000000" w14:paraId="00000047">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Established Name -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tl w:val="0"/>
        </w:rPr>
      </w:r>
    </w:p>
    <w:p w:rsidR="00000000" w:rsidDel="00000000" w:rsidP="00000000" w:rsidRDefault="00000000" w:rsidRPr="00000000" w14:paraId="00000048">
      <w:pPr>
        <w:pStyle w:val="Heading1"/>
        <w:keepNext w:val="1"/>
        <w:spacing w:after="60" w:before="240" w:line="240" w:lineRule="auto"/>
        <w:rPr/>
      </w:pPr>
      <w:bookmarkStart w:colFirst="0" w:colLast="0" w:name="_heading=h.ad8dgwy8rkgz" w:id="5"/>
      <w:bookmarkEnd w:id="5"/>
      <w:r w:rsidDel="00000000" w:rsidR="00000000" w:rsidRPr="00000000">
        <w:rPr>
          <w:rtl w:val="0"/>
        </w:rPr>
      </w:r>
    </w:p>
    <w:p w:rsidR="00000000" w:rsidDel="00000000" w:rsidP="00000000" w:rsidRDefault="00000000" w:rsidRPr="00000000" w14:paraId="00000049">
      <w:pPr>
        <w:pStyle w:val="Heading1"/>
        <w:rPr/>
      </w:pPr>
      <w:bookmarkStart w:colFirst="0" w:colLast="0" w:name="_heading=h.2zjdm9xhjfri" w:id="6"/>
      <w:bookmarkEnd w:id="6"/>
      <w:r w:rsidDel="00000000" w:rsidR="00000000" w:rsidRPr="00000000">
        <w:rPr>
          <w:rtl w:val="0"/>
        </w:rPr>
        <w:t xml:space="preserve">E. REGULATORY INFORMATION</w:t>
      </w:r>
    </w:p>
    <w:p w:rsidR="00000000" w:rsidDel="00000000" w:rsidP="00000000" w:rsidRDefault="00000000" w:rsidRPr="00000000" w14:paraId="0000004A">
      <w:pPr>
        <w:keepNext w:val="1"/>
        <w:spacing w:after="60" w:before="240"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Approval/Clearance Status:</w:t>
      </w:r>
    </w:p>
    <w:p w:rsidR="00000000" w:rsidDel="00000000" w:rsidP="00000000" w:rsidRDefault="00000000" w:rsidRPr="00000000" w14:paraId="0000004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is not cleared, CLIA waived, approved, or subject to an approved investigational device exemption.</w:t>
      </w:r>
    </w:p>
    <w:p w:rsidR="00000000" w:rsidDel="00000000" w:rsidP="00000000" w:rsidRDefault="00000000" w:rsidRPr="00000000" w14:paraId="0000004C">
      <w:pPr>
        <w:keepNext w:val="1"/>
        <w:keepLines w:val="0"/>
        <w:widowControl w:val="1"/>
        <w:pBdr>
          <w:top w:space="0" w:sz="0" w:val="nil"/>
          <w:left w:space="0" w:sz="0" w:val="nil"/>
          <w:bottom w:space="0" w:sz="0" w:val="nil"/>
          <w:right w:space="0" w:sz="0" w:val="nil"/>
          <w:between w:space="0" w:sz="0" w:val="nil"/>
        </w:pBdr>
        <w:shd w:fill="auto" w:val="clear"/>
        <w:spacing w:after="60" w:before="240" w:line="240" w:lineRule="auto"/>
        <w:ind w:left="0" w:right="0" w:firstLine="0"/>
        <w:jc w:val="left"/>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Product Code: </w:t>
      </w:r>
    </w:p>
    <w:p w:rsidR="00000000" w:rsidDel="00000000" w:rsidP="00000000" w:rsidRDefault="00000000" w:rsidRPr="00000000" w14:paraId="0000004D">
      <w:pPr>
        <w:keepNext w:val="1"/>
        <w:keepLines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QJR</w:t>
      </w:r>
    </w:p>
    <w:p w:rsidR="00000000" w:rsidDel="00000000" w:rsidP="00000000" w:rsidRDefault="00000000" w:rsidRPr="00000000" w14:paraId="0000004E">
      <w:pPr>
        <w:pStyle w:val="Heading1"/>
        <w:keepNext w:val="1"/>
        <w:spacing w:after="60" w:before="240" w:line="240" w:lineRule="auto"/>
        <w:rPr/>
      </w:pPr>
      <w:bookmarkStart w:colFirst="0" w:colLast="0" w:name="_heading=h.qcmnmrz5m3qc" w:id="7"/>
      <w:bookmarkEnd w:id="7"/>
      <w:r w:rsidDel="00000000" w:rsidR="00000000" w:rsidRPr="00000000">
        <w:rPr>
          <w:rtl w:val="0"/>
        </w:rPr>
      </w:r>
    </w:p>
    <w:p w:rsidR="00000000" w:rsidDel="00000000" w:rsidP="00000000" w:rsidRDefault="00000000" w:rsidRPr="00000000" w14:paraId="0000004F">
      <w:pPr>
        <w:pStyle w:val="Heading1"/>
        <w:rPr/>
      </w:pPr>
      <w:bookmarkStart w:colFirst="0" w:colLast="0" w:name="_heading=h.lyab5dyilzeb" w:id="8"/>
      <w:bookmarkEnd w:id="8"/>
      <w:r w:rsidDel="00000000" w:rsidR="00000000" w:rsidRPr="00000000">
        <w:rPr>
          <w:rtl w:val="0"/>
        </w:rPr>
        <w:t xml:space="preserve">F. PROPOSED INTENDED USE</w:t>
      </w:r>
    </w:p>
    <w:p w:rsidR="00000000" w:rsidDel="00000000" w:rsidP="00000000" w:rsidRDefault="00000000" w:rsidRPr="00000000" w14:paraId="00000050">
      <w:pPr>
        <w:pStyle w:val="Heading2"/>
        <w:rPr>
          <w:rFonts w:ascii="Times New Roman" w:cs="Times New Roman" w:eastAsia="Times New Roman" w:hAnsi="Times New Roman"/>
          <w:b w:val="1"/>
          <w:i w:val="1"/>
          <w:color w:val="000000"/>
          <w:sz w:val="24"/>
          <w:szCs w:val="24"/>
          <w:u w:val="single"/>
        </w:rPr>
      </w:pPr>
      <w:bookmarkStart w:colFirst="0" w:colLast="0" w:name="_heading=h.mytkkno6irkg" w:id="9"/>
      <w:bookmarkEnd w:id="9"/>
      <w:r w:rsidDel="00000000" w:rsidR="00000000" w:rsidRPr="00000000">
        <w:rPr>
          <w:u w:val="none"/>
          <w:rtl w:val="0"/>
        </w:rPr>
        <w:t xml:space="preserve">1)  </w:t>
      </w:r>
      <w:r w:rsidDel="00000000" w:rsidR="00000000" w:rsidRPr="00000000">
        <w:rPr>
          <w:rtl w:val="0"/>
        </w:rPr>
        <w:t xml:space="preserve">Intended Use:</w:t>
      </w:r>
      <w:r w:rsidDel="00000000" w:rsidR="00000000" w:rsidRPr="00000000">
        <w:rPr>
          <w:rtl w:val="0"/>
        </w:rPr>
      </w:r>
    </w:p>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is a reverse transcriptase loop-mediated isothermal amplification (RT-LAMP) assay intended for the qualitative detection of RNA from SARS-CoV-2 in upper respiratory specimens including nasopharyngeal swabs, anterior nasal and mid-turbinate nasal swabs </w:t>
      </w:r>
      <w:r w:rsidDel="00000000" w:rsidR="00000000" w:rsidRPr="00000000">
        <w:rPr>
          <w:rFonts w:ascii="Times New Roman" w:cs="Times New Roman" w:eastAsia="Times New Roman" w:hAnsi="Times New Roman"/>
          <w:b w:val="1"/>
          <w:sz w:val="24"/>
          <w:szCs w:val="24"/>
          <w:highlight w:val="yellow"/>
          <w:rtl w:val="0"/>
        </w:rPr>
        <w:t xml:space="preserve">from individuals suspected of COVID-19 by their healthcare provider and from individuals without symptoms or other epidemiological reasons to suspect COVID-19 infection, when tested at a weekly interval with no more than 9 days between tests.</w:t>
      </w:r>
      <w:r w:rsidDel="00000000" w:rsidR="00000000" w:rsidRPr="00000000">
        <w:rPr>
          <w:rFonts w:ascii="Times New Roman" w:cs="Times New Roman" w:eastAsia="Times New Roman" w:hAnsi="Times New Roman"/>
          <w:sz w:val="24"/>
          <w:szCs w:val="24"/>
          <w:rtl w:val="0"/>
        </w:rPr>
        <w:t xml:space="preserve"> Testing is limited to </w:t>
      </w:r>
      <w:r w:rsidDel="00000000" w:rsidR="00000000" w:rsidRPr="00000000">
        <w:rPr>
          <w:rFonts w:ascii="Times New Roman" w:cs="Times New Roman" w:eastAsia="Times New Roman" w:hAnsi="Times New Roman"/>
          <w:b w:val="1"/>
          <w:sz w:val="24"/>
          <w:szCs w:val="24"/>
          <w:highlight w:val="yellow"/>
          <w:rtl w:val="0"/>
        </w:rPr>
        <w:t xml:space="preserve">laboratories certified under the Clinical Laboratory Improvement Amendments of 1988 (CLIA), 42 U.S.C. §263a, to perform high complexity tests, or by similarly qualified non-U.S. laboratories.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sz w:val="24"/>
          <w:szCs w:val="24"/>
        </w:rPr>
      </w:pPr>
      <w:bookmarkStart w:colFirst="0" w:colLast="0" w:name="_heading=h.1fob9te" w:id="10"/>
      <w:bookmarkEnd w:id="10"/>
      <w:r w:rsidDel="00000000" w:rsidR="00000000" w:rsidRPr="00000000">
        <w:rPr>
          <w:rFonts w:ascii="Times New Roman" w:cs="Times New Roman" w:eastAsia="Times New Roman" w:hAnsi="Times New Roman"/>
          <w:sz w:val="24"/>
          <w:szCs w:val="24"/>
          <w:rtl w:val="0"/>
        </w:rPr>
        <w:t xml:space="preserve">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rsidR="00000000" w:rsidDel="00000000" w:rsidP="00000000" w:rsidRDefault="00000000" w:rsidRPr="00000000" w14:paraId="00000054">
      <w:pPr>
        <w:rPr>
          <w:rFonts w:ascii="Times New Roman" w:cs="Times New Roman" w:eastAsia="Times New Roman" w:hAnsi="Times New Roman"/>
          <w:sz w:val="24"/>
          <w:szCs w:val="24"/>
        </w:rPr>
      </w:pPr>
      <w:bookmarkStart w:colFirst="0" w:colLast="0" w:name="_heading=h.fd9b1eoyud4i" w:id="11"/>
      <w:bookmarkEnd w:id="11"/>
      <w:r w:rsidDel="00000000" w:rsidR="00000000" w:rsidRPr="00000000">
        <w:rPr>
          <w:rtl w:val="0"/>
        </w:rPr>
      </w:r>
    </w:p>
    <w:p w:rsidR="00000000" w:rsidDel="00000000" w:rsidP="00000000" w:rsidRDefault="00000000" w:rsidRPr="00000000" w14:paraId="00000055">
      <w:pPr>
        <w:rPr>
          <w:rFonts w:ascii="Times New Roman" w:cs="Times New Roman" w:eastAsia="Times New Roman" w:hAnsi="Times New Roman"/>
          <w:sz w:val="24"/>
          <w:szCs w:val="24"/>
        </w:rPr>
      </w:pPr>
      <w:bookmarkStart w:colFirst="0" w:colLast="0" w:name="_heading=h.ybkd34ze35u0" w:id="12"/>
      <w:bookmarkEnd w:id="12"/>
      <w:r w:rsidDel="00000000" w:rsidR="00000000" w:rsidRPr="00000000">
        <w:rPr>
          <w:rFonts w:ascii="Times New Roman" w:cs="Times New Roman" w:eastAsia="Times New Roman" w:hAnsi="Times New Roman"/>
          <w:sz w:val="24"/>
          <w:szCs w:val="24"/>
          <w:rtl w:val="0"/>
        </w:rPr>
        <w:t xml:space="preserve">Negative results do not preclude SARS-CoV-2 infection and should not be used as the sole basis</w:t>
      </w:r>
    </w:p>
    <w:p w:rsidR="00000000" w:rsidDel="00000000" w:rsidP="00000000" w:rsidRDefault="00000000" w:rsidRPr="00000000" w14:paraId="00000056">
      <w:pPr>
        <w:rPr>
          <w:rFonts w:ascii="Times New Roman" w:cs="Times New Roman" w:eastAsia="Times New Roman" w:hAnsi="Times New Roman"/>
          <w:sz w:val="24"/>
          <w:szCs w:val="24"/>
        </w:rPr>
      </w:pPr>
      <w:bookmarkStart w:colFirst="0" w:colLast="0" w:name="_heading=h.hyet70l62g5q" w:id="13"/>
      <w:bookmarkEnd w:id="13"/>
      <w:r w:rsidDel="00000000" w:rsidR="00000000" w:rsidRPr="00000000">
        <w:rPr>
          <w:rFonts w:ascii="Times New Roman" w:cs="Times New Roman" w:eastAsia="Times New Roman" w:hAnsi="Times New Roman"/>
          <w:sz w:val="24"/>
          <w:szCs w:val="24"/>
          <w:rtl w:val="0"/>
        </w:rPr>
        <w:t xml:space="preserve">for patient management decisions. Negative results must be combined with clinical observations,</w:t>
      </w:r>
    </w:p>
    <w:p w:rsidR="00000000" w:rsidDel="00000000" w:rsidP="00000000" w:rsidRDefault="00000000" w:rsidRPr="00000000" w14:paraId="00000057">
      <w:pPr>
        <w:rPr>
          <w:rFonts w:ascii="Times New Roman" w:cs="Times New Roman" w:eastAsia="Times New Roman" w:hAnsi="Times New Roman"/>
          <w:sz w:val="24"/>
          <w:szCs w:val="24"/>
        </w:rPr>
      </w:pPr>
      <w:bookmarkStart w:colFirst="0" w:colLast="0" w:name="_heading=h.uxm9pldv0bho" w:id="14"/>
      <w:bookmarkEnd w:id="14"/>
      <w:r w:rsidDel="00000000" w:rsidR="00000000" w:rsidRPr="00000000">
        <w:rPr>
          <w:rFonts w:ascii="Times New Roman" w:cs="Times New Roman" w:eastAsia="Times New Roman" w:hAnsi="Times New Roman"/>
          <w:sz w:val="24"/>
          <w:szCs w:val="24"/>
          <w:rtl w:val="0"/>
        </w:rPr>
        <w:t xml:space="preserve">patient history, and epidemiological information.</w:t>
      </w:r>
    </w:p>
    <w:p w:rsidR="00000000" w:rsidDel="00000000" w:rsidP="00000000" w:rsidRDefault="00000000" w:rsidRPr="00000000" w14:paraId="0000005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jc w:val="both"/>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is intended for use by </w:t>
      </w:r>
      <w:r w:rsidDel="00000000" w:rsidR="00000000" w:rsidRPr="00000000">
        <w:rPr>
          <w:rFonts w:ascii="Times New Roman" w:cs="Times New Roman" w:eastAsia="Times New Roman" w:hAnsi="Times New Roman"/>
          <w:b w:val="1"/>
          <w:sz w:val="24"/>
          <w:szCs w:val="24"/>
          <w:highlight w:val="yellow"/>
          <w:rtl w:val="0"/>
        </w:rPr>
        <w:t xml:space="preserve">qualified and trained clinical laboratory personnel specifically instructed and trained in the techniques of </w:t>
      </w:r>
      <w:r w:rsidDel="00000000" w:rsidR="00000000" w:rsidRPr="00000000">
        <w:rPr>
          <w:rFonts w:ascii="Times New Roman" w:cs="Times New Roman" w:eastAsia="Times New Roman" w:hAnsi="Times New Roman"/>
          <w:b w:val="1"/>
          <w:i w:val="1"/>
          <w:sz w:val="24"/>
          <w:szCs w:val="24"/>
          <w:highlight w:val="yellow"/>
          <w:rtl w:val="0"/>
        </w:rPr>
        <w:t xml:space="preserve">in vitro</w:t>
      </w:r>
      <w:r w:rsidDel="00000000" w:rsidR="00000000" w:rsidRPr="00000000">
        <w:rPr>
          <w:rFonts w:ascii="Times New Roman" w:cs="Times New Roman" w:eastAsia="Times New Roman" w:hAnsi="Times New Roman"/>
          <w:b w:val="1"/>
          <w:sz w:val="24"/>
          <w:szCs w:val="24"/>
          <w:highlight w:val="yellow"/>
          <w:rtl w:val="0"/>
        </w:rPr>
        <w:t xml:space="preserve"> diagnostic procedures</w:t>
      </w:r>
      <w:r w:rsidDel="00000000" w:rsidR="00000000" w:rsidRPr="00000000">
        <w:rPr>
          <w:rFonts w:ascii="Times New Roman" w:cs="Times New Roman" w:eastAsia="Times New Roman" w:hAnsi="Times New Roman"/>
          <w:sz w:val="24"/>
          <w:szCs w:val="24"/>
          <w:rtl w:val="0"/>
        </w:rPr>
        <w:t xml:space="preserve">.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is only for use under the Food and Drug Administration’s Emergency Use Authorization.</w:t>
      </w:r>
      <w:r w:rsidDel="00000000" w:rsidR="00000000" w:rsidRPr="00000000">
        <w:rPr>
          <w:rtl w:val="0"/>
        </w:rPr>
      </w:r>
    </w:p>
    <w:sdt>
      <w:sdtPr>
        <w:tag w:val="goog_rdk_0"/>
      </w:sdtPr>
      <w:sdtContent>
        <w:p w:rsidR="00000000" w:rsidDel="00000000" w:rsidP="00000000" w:rsidRDefault="00000000" w:rsidRPr="00000000" w14:paraId="0000005A">
          <w:pPr>
            <w:pStyle w:val="Heading2"/>
            <w:keepNext w:val="1"/>
            <w:spacing w:after="60" w:before="240" w:lineRule="auto"/>
            <w:rPr/>
          </w:pPr>
          <w:bookmarkStart w:colFirst="0" w:colLast="0" w:name="_heading=h.wp6quvv1h3qj" w:id="15"/>
          <w:bookmarkEnd w:id="15"/>
          <w:r w:rsidDel="00000000" w:rsidR="00000000" w:rsidRPr="00000000">
            <w:rPr>
              <w:u w:val="none"/>
              <w:rtl w:val="0"/>
            </w:rPr>
            <w:t xml:space="preserve">2)   </w:t>
          </w:r>
          <w:r w:rsidDel="00000000" w:rsidR="00000000" w:rsidRPr="00000000">
            <w:rPr>
              <w:u w:val="single"/>
              <w:rtl w:val="0"/>
            </w:rPr>
            <w:t xml:space="preserve">Special Conditions for Use Statements:</w:t>
          </w:r>
          <w:r w:rsidDel="00000000" w:rsidR="00000000" w:rsidRPr="00000000">
            <w:rPr>
              <w:rtl w:val="0"/>
            </w:rPr>
          </w:r>
        </w:p>
      </w:sdtContent>
    </w:sdt>
    <w:p w:rsidR="00000000" w:rsidDel="00000000" w:rsidP="00000000" w:rsidRDefault="00000000" w:rsidRPr="00000000" w14:paraId="000000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Emergency Use Authorization (EUA) only </w:t>
      </w:r>
    </w:p>
    <w:p w:rsidR="00000000" w:rsidDel="00000000" w:rsidP="00000000" w:rsidRDefault="00000000" w:rsidRPr="00000000" w14:paraId="0000005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prescription use only</w:t>
      </w:r>
    </w:p>
    <w:p w:rsidR="00000000" w:rsidDel="00000000" w:rsidP="00000000" w:rsidRDefault="00000000" w:rsidRPr="00000000" w14:paraId="000000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w:t>
      </w:r>
      <w:r w:rsidDel="00000000" w:rsidR="00000000" w:rsidRPr="00000000">
        <w:rPr>
          <w:rFonts w:ascii="Times New Roman" w:cs="Times New Roman" w:eastAsia="Times New Roman" w:hAnsi="Times New Roman"/>
          <w:i w:val="1"/>
          <w:sz w:val="24"/>
          <w:szCs w:val="24"/>
          <w:rtl w:val="0"/>
        </w:rPr>
        <w:t xml:space="preserve">in vitro</w:t>
      </w:r>
      <w:r w:rsidDel="00000000" w:rsidR="00000000" w:rsidRPr="00000000">
        <w:rPr>
          <w:rFonts w:ascii="Times New Roman" w:cs="Times New Roman" w:eastAsia="Times New Roman" w:hAnsi="Times New Roman"/>
          <w:sz w:val="24"/>
          <w:szCs w:val="24"/>
          <w:rtl w:val="0"/>
        </w:rPr>
        <w:t xml:space="preserve"> diagnostic use only</w:t>
      </w:r>
    </w:p>
    <w:sdt>
      <w:sdtPr>
        <w:tag w:val="goog_rdk_1"/>
      </w:sdtPr>
      <w:sdtContent>
        <w:p w:rsidR="00000000" w:rsidDel="00000000" w:rsidP="00000000" w:rsidRDefault="00000000" w:rsidRPr="00000000" w14:paraId="0000005E">
          <w:pPr>
            <w:pStyle w:val="Heading2"/>
            <w:keepNext w:val="1"/>
            <w:spacing w:after="60" w:before="240" w:lineRule="auto"/>
            <w:rPr>
              <w:u w:val="single"/>
            </w:rPr>
          </w:pPr>
          <w:bookmarkStart w:colFirst="0" w:colLast="0" w:name="_heading=h.3znysh7" w:id="16"/>
          <w:bookmarkEnd w:id="16"/>
          <w:r w:rsidDel="00000000" w:rsidR="00000000" w:rsidRPr="00000000">
            <w:rPr>
              <w:u w:val="none"/>
              <w:rtl w:val="0"/>
            </w:rPr>
            <w:t xml:space="preserve">3)   </w:t>
          </w:r>
          <w:r w:rsidDel="00000000" w:rsidR="00000000" w:rsidRPr="00000000">
            <w:rPr>
              <w:u w:val="single"/>
              <w:rtl w:val="0"/>
            </w:rPr>
            <w:t xml:space="preserve">Special Instrument Requirements:</w:t>
          </w:r>
        </w:p>
      </w:sdtContent>
    </w:sdt>
    <w:p w:rsidR="00000000" w:rsidDel="00000000" w:rsidP="00000000" w:rsidRDefault="00000000" w:rsidRPr="00000000" w14:paraId="0000005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PCR COVID-19 Test</w:t>
      </w:r>
      <w:r w:rsidDel="00000000" w:rsidR="00000000" w:rsidRPr="00000000">
        <w:rPr>
          <w:rFonts w:ascii="Times New Roman" w:cs="Times New Roman" w:eastAsia="Times New Roman" w:hAnsi="Times New Roman"/>
          <w:sz w:val="24"/>
          <w:szCs w:val="24"/>
          <w:rtl w:val="0"/>
        </w:rPr>
        <w:t xml:space="preserve"> test is to be used with the </w:t>
      </w:r>
      <w:r w:rsidDel="00000000" w:rsidR="00000000" w:rsidRPr="00000000">
        <w:rPr>
          <w:rFonts w:ascii="Times New Roman" w:cs="Times New Roman" w:eastAsia="Times New Roman" w:hAnsi="Times New Roman"/>
          <w:sz w:val="24"/>
          <w:szCs w:val="24"/>
          <w:highlight w:val="yellow"/>
          <w:rtl w:val="0"/>
        </w:rPr>
        <w:t xml:space="preserve">RT-PCR instruments listed in Table 2</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6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pStyle w:val="Heading3"/>
        <w:spacing w:before="0" w:lineRule="auto"/>
        <w:rPr>
          <w:rFonts w:ascii="Times New Roman" w:cs="Times New Roman" w:eastAsia="Times New Roman" w:hAnsi="Times New Roman"/>
        </w:rPr>
      </w:pPr>
      <w:bookmarkStart w:colFirst="0" w:colLast="0" w:name="_heading=h.4330bwteryxa" w:id="17"/>
      <w:bookmarkEnd w:id="17"/>
      <w:r w:rsidDel="00000000" w:rsidR="00000000" w:rsidRPr="00000000">
        <w:rPr>
          <w:rFonts w:ascii="Times New Roman" w:cs="Times New Roman" w:eastAsia="Times New Roman" w:hAnsi="Times New Roman"/>
          <w:rtl w:val="0"/>
        </w:rPr>
        <w:t xml:space="preserve">Table 2. RT-PCR Instruments validated for test</w:t>
      </w:r>
    </w:p>
    <w:tbl>
      <w:tblPr>
        <w:tblStyle w:val="Table2"/>
        <w:tblW w:w="910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25"/>
        <w:gridCol w:w="6480"/>
        <w:tblGridChange w:id="0">
          <w:tblGrid>
            <w:gridCol w:w="2625"/>
            <w:gridCol w:w="6480"/>
          </w:tblGrid>
        </w:tblGridChange>
      </w:tblGrid>
      <w:tr>
        <w:trPr>
          <w:trHeight w:val="440" w:hRule="atLeast"/>
        </w:trPr>
        <w:tc>
          <w:tcPr>
            <w:shd w:fill="d9d9d9" w:val="clear"/>
            <w:tcMar>
              <w:top w:w="100.0" w:type="dxa"/>
              <w:left w:w="100.0" w:type="dxa"/>
              <w:bottom w:w="100.0" w:type="dxa"/>
              <w:right w:w="100.0" w:type="dxa"/>
            </w:tcMar>
            <w:vAlign w:val="top"/>
          </w:tcPr>
          <w:p w:rsidR="00000000" w:rsidDel="00000000" w:rsidP="00000000" w:rsidRDefault="00000000" w:rsidRPr="00000000" w14:paraId="00000062">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Manufacturer</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63">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Instrument</w:t>
            </w:r>
          </w:p>
        </w:tc>
      </w:tr>
      <w:tr>
        <w:trPr>
          <w:trHeight w:val="500.976562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ThermoFisher Scientific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Applied Biosystems QuantStudio 7 Pro</w:t>
            </w:r>
          </w:p>
        </w:tc>
      </w:tr>
      <w:tr>
        <w:trPr>
          <w:trHeight w:val="4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Bio-Rad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CFX96 Touch Real-Time PCR Detection System</w:t>
            </w:r>
          </w:p>
        </w:tc>
      </w:tr>
    </w:tbl>
    <w:p w:rsidR="00000000" w:rsidDel="00000000" w:rsidP="00000000" w:rsidRDefault="00000000" w:rsidRPr="00000000" w14:paraId="0000006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Designated laboratories will receive an FDA accepted instrument qualification protocol included as part of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IFU and will be directed to execute the protocol prior to testing clinical samples. Designated laboratories must follow the authorized IFU, which includes the instrument qualification protocol, as per the letter of authorization.</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pStyle w:val="Heading1"/>
        <w:rPr/>
      </w:pPr>
      <w:bookmarkStart w:colFirst="0" w:colLast="0" w:name="_heading=h.u6dxnjmr62i" w:id="18"/>
      <w:bookmarkEnd w:id="18"/>
      <w:r w:rsidDel="00000000" w:rsidR="00000000" w:rsidRPr="00000000">
        <w:rPr>
          <w:rtl w:val="0"/>
        </w:rPr>
        <w:t xml:space="preserve">G. DEVICE DESCRIPTION AND TEST PRINCIPLE</w:t>
      </w:r>
    </w:p>
    <w:p w:rsidR="00000000" w:rsidDel="00000000" w:rsidP="00000000" w:rsidRDefault="00000000" w:rsidRPr="00000000" w14:paraId="0000006C">
      <w:pPr>
        <w:pStyle w:val="Heading2"/>
        <w:keepNext w:val="1"/>
        <w:spacing w:after="60" w:before="240" w:line="240" w:lineRule="auto"/>
        <w:ind w:left="0" w:firstLine="0"/>
        <w:rPr/>
      </w:pPr>
      <w:bookmarkStart w:colFirst="0" w:colLast="0" w:name="_heading=h.azf8ho1uac22" w:id="19"/>
      <w:bookmarkEnd w:id="19"/>
      <w:r w:rsidDel="00000000" w:rsidR="00000000" w:rsidRPr="00000000">
        <w:rPr>
          <w:u w:val="none"/>
          <w:rtl w:val="0"/>
        </w:rPr>
        <w:t xml:space="preserve">1)   </w:t>
      </w:r>
      <w:r w:rsidDel="00000000" w:rsidR="00000000" w:rsidRPr="00000000">
        <w:rPr>
          <w:rtl w:val="0"/>
        </w:rPr>
        <w:t xml:space="preserve">Product Overview/Test Principle:</w:t>
      </w:r>
      <w:r w:rsidDel="00000000" w:rsidR="00000000" w:rsidRPr="00000000">
        <w:rPr>
          <w:rtl w:val="0"/>
        </w:rPr>
      </w:r>
    </w:p>
    <w:p w:rsidR="00000000" w:rsidDel="00000000" w:rsidP="00000000" w:rsidRDefault="00000000" w:rsidRPr="00000000" w14:paraId="0000006D">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 </w:t>
      </w:r>
      <w:r w:rsidDel="00000000" w:rsidR="00000000" w:rsidRPr="00000000">
        <w:rPr>
          <w:rFonts w:ascii="Times New Roman" w:cs="Times New Roman" w:eastAsia="Times New Roman" w:hAnsi="Times New Roman"/>
          <w:b w:val="1"/>
          <w:sz w:val="24"/>
          <w:szCs w:val="24"/>
          <w:highlight w:val="yellow"/>
          <w:rtl w:val="0"/>
        </w:rPr>
        <w:t xml:space="preserve">COVID-19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an RNA-extraction free isothermal RT-LAMP assay which indicates that SARS-CoV-2 RNA is present. FloodLAMP’s test uses a set of specific primers that target ORF1ab, N and E genes for the detection of SARS-CoV-2 RNA. Loop Mediated Isothermal Amplification (LAMP) is a nucleic acid amplification technique wherein DNA amplification is carried out at a constant temperature of approximately 65°C. The amplification reaction mix includes a reverse transcriptase (RT) polymerase to create complementary cDNA from RNA. The cDNA is subsequently amplified by a high strand displacement DNA polymerase. An intercalating fluorescent dye is also included in the reaction mix, enabling the real time fluorescence detection of amplicons. A</w:t>
      </w:r>
      <w:r w:rsidDel="00000000" w:rsidR="00000000" w:rsidRPr="00000000">
        <w:rPr>
          <w:rFonts w:ascii="Times New Roman" w:cs="Times New Roman" w:eastAsia="Times New Roman" w:hAnsi="Times New Roman"/>
          <w:sz w:val="24"/>
          <w:szCs w:val="24"/>
          <w:rtl w:val="0"/>
        </w:rPr>
        <w:t xml:space="preserve"> RT-PCR </w:t>
      </w:r>
      <w:r w:rsidDel="00000000" w:rsidR="00000000" w:rsidRPr="00000000">
        <w:rPr>
          <w:rFonts w:ascii="Times New Roman" w:cs="Times New Roman" w:eastAsia="Times New Roman" w:hAnsi="Times New Roman"/>
          <w:sz w:val="24"/>
          <w:szCs w:val="24"/>
          <w:rtl w:val="0"/>
        </w:rPr>
        <w:t xml:space="preserve">Instrument is utilized for the isothermal amplification incubation and real time fluorescence readout. </w:t>
      </w:r>
    </w:p>
    <w:p w:rsidR="00000000" w:rsidDel="00000000" w:rsidP="00000000" w:rsidRDefault="00000000" w:rsidRPr="00000000" w14:paraId="0000006E">
      <w:pPr>
        <w:pStyle w:val="Heading2"/>
        <w:keepNext w:val="1"/>
        <w:spacing w:after="60" w:before="240" w:line="276" w:lineRule="auto"/>
        <w:ind w:left="0" w:firstLine="0"/>
        <w:rPr/>
      </w:pPr>
      <w:bookmarkStart w:colFirst="0" w:colLast="0" w:name="_heading=h.x5bvbq6c6bb3" w:id="20"/>
      <w:bookmarkEnd w:id="20"/>
      <w:r w:rsidDel="00000000" w:rsidR="00000000" w:rsidRPr="00000000">
        <w:rPr>
          <w:u w:val="none"/>
          <w:rtl w:val="0"/>
        </w:rPr>
        <w:t xml:space="preserve">2)   </w:t>
      </w:r>
      <w:r w:rsidDel="00000000" w:rsidR="00000000" w:rsidRPr="00000000">
        <w:rPr>
          <w:rtl w:val="0"/>
        </w:rPr>
        <w:t xml:space="preserve">Description of Test Steps: </w:t>
      </w:r>
    </w:p>
    <w:p w:rsidR="00000000" w:rsidDel="00000000" w:rsidP="00000000" w:rsidRDefault="00000000" w:rsidRPr="00000000" w14:paraId="0000006F">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Specimens including </w:t>
      </w:r>
      <w:r w:rsidDel="00000000" w:rsidR="00000000" w:rsidRPr="00000000">
        <w:rPr>
          <w:rFonts w:ascii="Times New Roman" w:cs="Times New Roman" w:eastAsia="Times New Roman" w:hAnsi="Times New Roman"/>
          <w:b w:val="1"/>
          <w:sz w:val="24"/>
          <w:szCs w:val="24"/>
          <w:highlight w:val="yellow"/>
          <w:rtl w:val="0"/>
        </w:rPr>
        <w:t xml:space="preserve">nasopharyngeal swabs, anterior nasal and mid-turbinate nasal swabs</w:t>
      </w:r>
      <w:r w:rsidDel="00000000" w:rsidR="00000000" w:rsidRPr="00000000">
        <w:rPr>
          <w:rFonts w:ascii="Times New Roman" w:cs="Times New Roman" w:eastAsia="Times New Roman" w:hAnsi="Times New Roman"/>
          <w:sz w:val="24"/>
          <w:szCs w:val="24"/>
          <w:rtl w:val="0"/>
        </w:rPr>
        <w:t xml:space="preserve"> are collected in</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sterile collection tubes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Swabs are transported and stored dry prior to processing. At the laboratory, an inactivation solution at 1X containing TCEP (2.5 mM), EDTA (1 mM), and NaOH (11 mM) in 0.9% saline (154 mM) is added to the container with the swab, at the volume of 1ml. Alternatively, for swabs that are collected or eluted in a saline solution or equivalent, the inactivation solution at 100X concentration should be added at 1/100th the sample solution volume. </w:t>
      </w:r>
    </w:p>
    <w:p w:rsidR="00000000" w:rsidDel="00000000" w:rsidP="00000000" w:rsidRDefault="00000000" w:rsidRPr="00000000" w14:paraId="00000070">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container with the specimen and inactivation solution is mixed by vortexing for 30 seconds. Subsequently, the container is heated in a 95°C water bath or dry heat block for 8 minutes. The now inactivated specimen container is allowed to cool at room temperature for 10 minutes and then stored on ice or at 4°C until amplification.</w:t>
      </w:r>
    </w:p>
    <w:p w:rsidR="00000000" w:rsidDel="00000000" w:rsidP="00000000" w:rsidRDefault="00000000" w:rsidRPr="00000000" w14:paraId="00000072">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3">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amplification reaction mix (23 µL) is prepared per manufacturer's specifications, containing the </w:t>
      </w:r>
      <w:r w:rsidDel="00000000" w:rsidR="00000000" w:rsidRPr="00000000">
        <w:rPr>
          <w:rFonts w:ascii="Times New Roman" w:cs="Times New Roman" w:eastAsia="Times New Roman" w:hAnsi="Times New Roman"/>
          <w:sz w:val="24"/>
          <w:szCs w:val="24"/>
          <w:rtl w:val="0"/>
        </w:rPr>
        <w:t xml:space="preserve">Fluorimetric LAMP master mix (</w:t>
      </w:r>
      <w:r w:rsidDel="00000000" w:rsidR="00000000" w:rsidRPr="00000000">
        <w:rPr>
          <w:rFonts w:ascii="Times New Roman" w:cs="Times New Roman" w:eastAsia="Times New Roman" w:hAnsi="Times New Roman"/>
          <w:sz w:val="24"/>
          <w:szCs w:val="24"/>
          <w:rtl w:val="0"/>
        </w:rPr>
        <w:t xml:space="preserve">New EB</w:t>
      </w:r>
      <w:r w:rsidDel="00000000" w:rsidR="00000000" w:rsidRPr="00000000">
        <w:rPr>
          <w:rFonts w:ascii="Times New Roman" w:cs="Times New Roman" w:eastAsia="Times New Roman" w:hAnsi="Times New Roman"/>
          <w:sz w:val="24"/>
          <w:szCs w:val="24"/>
          <w:rtl w:val="0"/>
        </w:rPr>
        <w:t xml:space="preserve"> E1700, 12.5 µL), Fluorescent Dye (NEB E1700, .5 µL)</w:t>
      </w:r>
      <w:r w:rsidDel="00000000" w:rsidR="00000000" w:rsidRPr="00000000">
        <w:rPr>
          <w:rFonts w:ascii="Times New Roman" w:cs="Times New Roman" w:eastAsia="Times New Roman" w:hAnsi="Times New Roman"/>
          <w:sz w:val="24"/>
          <w:szCs w:val="24"/>
          <w:rtl w:val="0"/>
        </w:rPr>
        <w:t xml:space="preserve"> a 10X LAMP Primer Mix (2.5 µL of 10X w FIP/BIP at 16 µM, F3/B3 at 2 µM, and LF/BF at 4 µM), and nuclease-free water (7.5 µL). </w:t>
      </w:r>
    </w:p>
    <w:p w:rsidR="00000000" w:rsidDel="00000000" w:rsidP="00000000" w:rsidRDefault="00000000" w:rsidRPr="00000000" w14:paraId="00000074">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2µL of the inactivated sample is added to 23µL of the amplification reaction mix. The reaction is then run with the following thermocycler conditions in Table 3:</w:t>
      </w:r>
    </w:p>
    <w:p w:rsidR="00000000" w:rsidDel="00000000" w:rsidP="00000000" w:rsidRDefault="00000000" w:rsidRPr="00000000" w14:paraId="00000076">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pStyle w:val="Heading3"/>
        <w:rPr/>
      </w:pPr>
      <w:bookmarkStart w:colFirst="0" w:colLast="0" w:name="_heading=h.loulb1mreyfy" w:id="21"/>
      <w:bookmarkEnd w:id="21"/>
      <w:r w:rsidDel="00000000" w:rsidR="00000000" w:rsidRPr="00000000">
        <w:br w:type="page"/>
      </w:r>
      <w:r w:rsidDel="00000000" w:rsidR="00000000" w:rsidRPr="00000000">
        <w:rPr>
          <w:rtl w:val="0"/>
        </w:rPr>
      </w:r>
    </w:p>
    <w:p w:rsidR="00000000" w:rsidDel="00000000" w:rsidP="00000000" w:rsidRDefault="00000000" w:rsidRPr="00000000" w14:paraId="00000078">
      <w:pPr>
        <w:pStyle w:val="Heading3"/>
        <w:rPr/>
      </w:pPr>
      <w:bookmarkStart w:colFirst="0" w:colLast="0" w:name="_heading=h.1q149l3j9zgv" w:id="22"/>
      <w:bookmarkEnd w:id="22"/>
      <w:r w:rsidDel="00000000" w:rsidR="00000000" w:rsidRPr="00000000">
        <w:rPr>
          <w:rtl w:val="0"/>
        </w:rPr>
        <w:t xml:space="preserve">Table 3: Thermal cycling conditions and plate read steps </w:t>
      </w:r>
    </w:p>
    <w:tbl>
      <w:tblPr>
        <w:tblStyle w:val="Table3"/>
        <w:tblW w:w="7920.0" w:type="dxa"/>
        <w:jc w:val="left"/>
        <w:tblInd w:w="43.2"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1980"/>
        <w:gridCol w:w="1980"/>
        <w:gridCol w:w="1980"/>
        <w:tblGridChange w:id="0">
          <w:tblGrid>
            <w:gridCol w:w="1980"/>
            <w:gridCol w:w="1980"/>
            <w:gridCol w:w="1980"/>
            <w:gridCol w:w="1980"/>
          </w:tblGrid>
        </w:tblGridChange>
      </w:tblGrid>
      <w:tr>
        <w:tc>
          <w:tcPr>
            <w:shd w:fill="d9d9d9" w:val="clear"/>
            <w:tcMar>
              <w:top w:w="43.2" w:type="dxa"/>
              <w:left w:w="43.2" w:type="dxa"/>
              <w:bottom w:w="43.2" w:type="dxa"/>
              <w:right w:w="43.2" w:type="dxa"/>
            </w:tcMar>
            <w:vAlign w:val="center"/>
          </w:tcPr>
          <w:p w:rsidR="00000000" w:rsidDel="00000000" w:rsidP="00000000" w:rsidRDefault="00000000" w:rsidRPr="00000000" w14:paraId="00000079">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Stage</w:t>
            </w:r>
          </w:p>
        </w:tc>
        <w:tc>
          <w:tcPr>
            <w:shd w:fill="d9d9d9" w:val="clear"/>
            <w:tcMar>
              <w:top w:w="43.2" w:type="dxa"/>
              <w:left w:w="43.2" w:type="dxa"/>
              <w:bottom w:w="43.2" w:type="dxa"/>
              <w:right w:w="43.2" w:type="dxa"/>
            </w:tcMar>
            <w:vAlign w:val="center"/>
          </w:tcPr>
          <w:p w:rsidR="00000000" w:rsidDel="00000000" w:rsidP="00000000" w:rsidRDefault="00000000" w:rsidRPr="00000000" w14:paraId="0000007A">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Temperature</w:t>
            </w:r>
          </w:p>
        </w:tc>
        <w:tc>
          <w:tcPr>
            <w:shd w:fill="d9d9d9" w:val="clear"/>
            <w:tcMar>
              <w:top w:w="43.2" w:type="dxa"/>
              <w:left w:w="43.2" w:type="dxa"/>
              <w:bottom w:w="43.2" w:type="dxa"/>
              <w:right w:w="43.2" w:type="dxa"/>
            </w:tcMar>
            <w:vAlign w:val="center"/>
          </w:tcPr>
          <w:p w:rsidR="00000000" w:rsidDel="00000000" w:rsidP="00000000" w:rsidRDefault="00000000" w:rsidRPr="00000000" w14:paraId="0000007B">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Time</w:t>
            </w:r>
          </w:p>
        </w:tc>
        <w:tc>
          <w:tcPr>
            <w:shd w:fill="d9d9d9" w:val="clear"/>
            <w:tcMar>
              <w:top w:w="43.2" w:type="dxa"/>
              <w:left w:w="43.2" w:type="dxa"/>
              <w:bottom w:w="43.2" w:type="dxa"/>
              <w:right w:w="43.2" w:type="dxa"/>
            </w:tcMar>
            <w:vAlign w:val="center"/>
          </w:tcPr>
          <w:p w:rsidR="00000000" w:rsidDel="00000000" w:rsidP="00000000" w:rsidRDefault="00000000" w:rsidRPr="00000000" w14:paraId="0000007C">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Reps</w:t>
            </w:r>
          </w:p>
        </w:tc>
      </w:tr>
      <w:tr>
        <w:tc>
          <w:tcPr>
            <w:tcMar>
              <w:top w:w="43.2" w:type="dxa"/>
              <w:left w:w="43.2" w:type="dxa"/>
              <w:bottom w:w="43.2" w:type="dxa"/>
              <w:right w:w="43.2" w:type="dxa"/>
            </w:tcMar>
            <w:vAlign w:val="center"/>
          </w:tcPr>
          <w:p w:rsidR="00000000" w:rsidDel="00000000" w:rsidP="00000000" w:rsidRDefault="00000000" w:rsidRPr="00000000" w14:paraId="0000007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Mar>
              <w:top w:w="43.2" w:type="dxa"/>
              <w:left w:w="43.2" w:type="dxa"/>
              <w:bottom w:w="43.2" w:type="dxa"/>
              <w:right w:w="43.2" w:type="dxa"/>
            </w:tcMar>
            <w:vAlign w:val="center"/>
          </w:tcPr>
          <w:p w:rsidR="00000000" w:rsidDel="00000000" w:rsidP="00000000" w:rsidRDefault="00000000" w:rsidRPr="00000000" w14:paraId="0000007E">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 C</w:t>
            </w:r>
          </w:p>
        </w:tc>
        <w:tc>
          <w:tcPr>
            <w:tcMar>
              <w:top w:w="43.2" w:type="dxa"/>
              <w:left w:w="43.2" w:type="dxa"/>
              <w:bottom w:w="43.2" w:type="dxa"/>
              <w:right w:w="43.2" w:type="dxa"/>
            </w:tcMar>
            <w:vAlign w:val="center"/>
          </w:tcPr>
          <w:p w:rsidR="00000000" w:rsidDel="00000000" w:rsidP="00000000" w:rsidRDefault="00000000" w:rsidRPr="00000000" w14:paraId="0000007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sec</w:t>
            </w:r>
          </w:p>
        </w:tc>
        <w:tc>
          <w:tcPr>
            <w:tcMar>
              <w:top w:w="43.2" w:type="dxa"/>
              <w:left w:w="43.2" w:type="dxa"/>
              <w:bottom w:w="43.2" w:type="dxa"/>
              <w:right w:w="43.2" w:type="dxa"/>
            </w:tcMar>
            <w:vAlign w:val="center"/>
          </w:tcPr>
          <w:p w:rsidR="00000000" w:rsidDel="00000000" w:rsidP="00000000" w:rsidRDefault="00000000" w:rsidRPr="00000000" w14:paraId="00000080">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c>
          <w:tcPr>
            <w:tcMar>
              <w:top w:w="43.2" w:type="dxa"/>
              <w:left w:w="43.2" w:type="dxa"/>
              <w:bottom w:w="43.2" w:type="dxa"/>
              <w:right w:w="43.2" w:type="dxa"/>
            </w:tcMar>
            <w:vAlign w:val="center"/>
          </w:tcPr>
          <w:p w:rsidR="00000000" w:rsidDel="00000000" w:rsidP="00000000" w:rsidRDefault="00000000" w:rsidRPr="00000000" w14:paraId="00000081">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Mar>
              <w:top w:w="43.2" w:type="dxa"/>
              <w:left w:w="43.2" w:type="dxa"/>
              <w:bottom w:w="43.2" w:type="dxa"/>
              <w:right w:w="43.2" w:type="dxa"/>
            </w:tcMar>
            <w:vAlign w:val="center"/>
          </w:tcPr>
          <w:p w:rsidR="00000000" w:rsidDel="00000000" w:rsidP="00000000" w:rsidRDefault="00000000" w:rsidRPr="00000000" w14:paraId="00000082">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 C</w:t>
            </w:r>
          </w:p>
        </w:tc>
        <w:tc>
          <w:tcPr>
            <w:tcMar>
              <w:top w:w="43.2" w:type="dxa"/>
              <w:left w:w="43.2" w:type="dxa"/>
              <w:bottom w:w="43.2" w:type="dxa"/>
              <w:right w:w="43.2" w:type="dxa"/>
            </w:tcMar>
            <w:vAlign w:val="center"/>
          </w:tcPr>
          <w:p w:rsidR="00000000" w:rsidDel="00000000" w:rsidP="00000000" w:rsidRDefault="00000000" w:rsidRPr="00000000" w14:paraId="00000083">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sec</w:t>
            </w:r>
          </w:p>
        </w:tc>
        <w:tc>
          <w:tcPr>
            <w:tcMar>
              <w:top w:w="43.2" w:type="dxa"/>
              <w:left w:w="43.2" w:type="dxa"/>
              <w:bottom w:w="43.2" w:type="dxa"/>
              <w:right w:w="43.2" w:type="dxa"/>
            </w:tcMar>
            <w:vAlign w:val="center"/>
          </w:tcPr>
          <w:p w:rsidR="00000000" w:rsidDel="00000000" w:rsidP="00000000" w:rsidRDefault="00000000" w:rsidRPr="00000000" w14:paraId="00000084">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085">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Mar>
              <w:top w:w="43.2" w:type="dxa"/>
              <w:left w:w="43.2" w:type="dxa"/>
              <w:bottom w:w="43.2" w:type="dxa"/>
              <w:right w:w="43.2" w:type="dxa"/>
            </w:tcMar>
            <w:vAlign w:val="center"/>
          </w:tcPr>
          <w:p w:rsidR="00000000" w:rsidDel="00000000" w:rsidP="00000000" w:rsidRDefault="00000000" w:rsidRPr="00000000" w14:paraId="00000086">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 C</w:t>
            </w:r>
          </w:p>
        </w:tc>
        <w:tc>
          <w:tcPr>
            <w:tcMar>
              <w:top w:w="43.2" w:type="dxa"/>
              <w:left w:w="43.2" w:type="dxa"/>
              <w:bottom w:w="43.2" w:type="dxa"/>
              <w:right w:w="43.2" w:type="dxa"/>
            </w:tcMar>
            <w:vAlign w:val="center"/>
          </w:tcPr>
          <w:p w:rsidR="00000000" w:rsidDel="00000000" w:rsidP="00000000" w:rsidRDefault="00000000" w:rsidRPr="00000000" w14:paraId="00000087">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 sec</w:t>
            </w:r>
          </w:p>
        </w:tc>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088">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w:t>
            </w:r>
          </w:p>
        </w:tc>
      </w:tr>
      <w:tr>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089">
            <w:pPr>
              <w:widowControl w:val="0"/>
              <w:jc w:val="center"/>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08A">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 C</w:t>
            </w:r>
          </w:p>
        </w:tc>
        <w:tc>
          <w:tcPr>
            <w:tcMar>
              <w:top w:w="43.2" w:type="dxa"/>
              <w:left w:w="43.2" w:type="dxa"/>
              <w:bottom w:w="43.2" w:type="dxa"/>
              <w:right w:w="43.2" w:type="dxa"/>
            </w:tcMar>
            <w:vAlign w:val="center"/>
          </w:tcPr>
          <w:p w:rsidR="00000000" w:rsidDel="00000000" w:rsidP="00000000" w:rsidRDefault="00000000" w:rsidRPr="00000000" w14:paraId="0000008B">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 sec</w:t>
            </w:r>
          </w:p>
        </w:tc>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08C">
            <w:pPr>
              <w:widowControl w:val="0"/>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8D">
      <w:pPr>
        <w:spacing w:line="276"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 This step should be the optical read step</w:t>
      </w:r>
    </w:p>
    <w:p w:rsidR="00000000" w:rsidDel="00000000" w:rsidP="00000000" w:rsidRDefault="00000000" w:rsidRPr="00000000" w14:paraId="0000008E">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pStyle w:val="Heading2"/>
        <w:keepNext w:val="1"/>
        <w:spacing w:after="60" w:before="240" w:line="276" w:lineRule="auto"/>
        <w:ind w:left="0" w:firstLine="0"/>
        <w:rPr>
          <w:rFonts w:ascii="Times New Roman" w:cs="Times New Roman" w:eastAsia="Times New Roman" w:hAnsi="Times New Roman"/>
          <w:b w:val="1"/>
          <w:sz w:val="24"/>
          <w:szCs w:val="24"/>
        </w:rPr>
      </w:pPr>
      <w:bookmarkStart w:colFirst="0" w:colLast="0" w:name="_heading=h.d1c31ybyg720" w:id="23"/>
      <w:bookmarkEnd w:id="23"/>
      <w:r w:rsidDel="00000000" w:rsidR="00000000" w:rsidRPr="00000000">
        <w:rPr>
          <w:u w:val="none"/>
          <w:rtl w:val="0"/>
        </w:rPr>
        <w:t xml:space="preserve">3)   </w:t>
      </w:r>
      <w:r w:rsidDel="00000000" w:rsidR="00000000" w:rsidRPr="00000000">
        <w:rPr>
          <w:b w:val="1"/>
          <w:i w:val="1"/>
          <w:rtl w:val="0"/>
        </w:rPr>
        <w:t xml:space="preserve">Control Materials to be Used with </w:t>
      </w:r>
      <w:r w:rsidDel="00000000" w:rsidR="00000000" w:rsidRPr="00000000">
        <w:rPr>
          <w:b w:val="1"/>
          <w:i w:val="1"/>
          <w:highlight w:val="yellow"/>
          <w:rtl w:val="0"/>
        </w:rPr>
        <w:t xml:space="preserve">FloodLAMP QuickFluor</w:t>
      </w:r>
      <w:r w:rsidDel="00000000" w:rsidR="00000000" w:rsidRPr="00000000">
        <w:rPr>
          <w:b w:val="1"/>
          <w:i w:val="1"/>
          <w:highlight w:val="yellow"/>
          <w:vertAlign w:val="superscript"/>
          <w:rtl w:val="0"/>
        </w:rPr>
        <w:t xml:space="preserve">TM</w:t>
      </w:r>
      <w:r w:rsidDel="00000000" w:rsidR="00000000" w:rsidRPr="00000000">
        <w:rPr>
          <w:b w:val="1"/>
          <w:i w:val="1"/>
          <w:highlight w:val="yellow"/>
          <w:rtl w:val="0"/>
        </w:rPr>
        <w:t xml:space="preserve"> COVID-19 Test</w:t>
      </w:r>
      <w:r w:rsidDel="00000000" w:rsidR="00000000" w:rsidRPr="00000000">
        <w:rPr>
          <w:b w:val="1"/>
          <w:i w:val="1"/>
          <w:rtl w:val="0"/>
        </w:rPr>
        <w:t xml:space="preserve">:</w:t>
      </w:r>
      <w:r w:rsidDel="00000000" w:rsidR="00000000" w:rsidRPr="00000000">
        <w:rPr>
          <w:rtl w:val="0"/>
        </w:rPr>
      </w:r>
    </w:p>
    <w:p w:rsidR="00000000" w:rsidDel="00000000" w:rsidP="00000000" w:rsidRDefault="00000000" w:rsidRPr="00000000" w14:paraId="0000009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highlight w:val="yellow"/>
          <w:rtl w:val="0"/>
        </w:rPr>
        <w:t xml:space="preserve">One Positive Template Control and one Negative (No Template) Control</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sz w:val="24"/>
          <w:szCs w:val="24"/>
          <w:rtl w:val="0"/>
        </w:rPr>
        <w:t xml:space="preserve">will be included on every 96-well plate with up to 94 samples, or with every batch of strip tubes. </w:t>
      </w:r>
    </w:p>
    <w:p w:rsidR="00000000" w:rsidDel="00000000" w:rsidP="00000000" w:rsidRDefault="00000000" w:rsidRPr="00000000" w14:paraId="0000009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numPr>
          <w:ilvl w:val="0"/>
          <w:numId w:val="2"/>
        </w:numPr>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w:t>
      </w:r>
      <w:r w:rsidDel="00000000" w:rsidR="00000000" w:rsidRPr="00000000">
        <w:rPr>
          <w:rFonts w:ascii="Times New Roman" w:cs="Times New Roman" w:eastAsia="Times New Roman" w:hAnsi="Times New Roman"/>
          <w:b w:val="1"/>
          <w:sz w:val="24"/>
          <w:szCs w:val="24"/>
          <w:highlight w:val="yellow"/>
          <w:rtl w:val="0"/>
        </w:rPr>
        <w:t xml:space="preserve">“No Template” (Negative) Control (NTC) is needed to assure the absence of cross-contamination from positive samples, positive controls, or amplicons</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sz w:val="24"/>
          <w:szCs w:val="24"/>
          <w:highlight w:val="yellow"/>
          <w:rtl w:val="0"/>
        </w:rPr>
        <w:t xml:space="preserve">to determine if sample results are valid.</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It consists of nuclease-free water.</w:t>
      </w:r>
      <w:r w:rsidDel="00000000" w:rsidR="00000000" w:rsidRPr="00000000">
        <w:rPr>
          <w:rtl w:val="0"/>
        </w:rPr>
      </w:r>
    </w:p>
    <w:p w:rsidR="00000000" w:rsidDel="00000000" w:rsidP="00000000" w:rsidRDefault="00000000" w:rsidRPr="00000000" w14:paraId="00000093">
      <w:pPr>
        <w:tabs>
          <w:tab w:val="left" w:pos="1080"/>
        </w:tabs>
        <w:ind w:left="72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numPr>
          <w:ilvl w:val="0"/>
          <w:numId w:val="2"/>
        </w:numPr>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w:t>
      </w:r>
      <w:r w:rsidDel="00000000" w:rsidR="00000000" w:rsidRPr="00000000">
        <w:rPr>
          <w:rFonts w:ascii="Times New Roman" w:cs="Times New Roman" w:eastAsia="Times New Roman" w:hAnsi="Times New Roman"/>
          <w:b w:val="1"/>
          <w:sz w:val="24"/>
          <w:szCs w:val="24"/>
          <w:highlight w:val="yellow"/>
          <w:rtl w:val="0"/>
        </w:rPr>
        <w:t xml:space="preserve">Positive Template Control is needed to assure proper functioning of reagents and the absence of significant RNAse contamination. It consists of synthetic viral RNA at a concentration of approximately 100,000 cp/mL diluted in total human RNA and nuclease-free water. </w:t>
      </w:r>
      <w:r w:rsidDel="00000000" w:rsidR="00000000" w:rsidRPr="00000000">
        <w:rPr>
          <w:rFonts w:ascii="Times New Roman" w:cs="Times New Roman" w:eastAsia="Times New Roman" w:hAnsi="Times New Roman"/>
          <w:sz w:val="24"/>
          <w:szCs w:val="24"/>
          <w:rtl w:val="0"/>
        </w:rPr>
        <w:t xml:space="preserve">Stock and working aliquots of the positive control are produced from the sources listed in Table 4 or equivalents. Working aliquots should be diluted prior to use to 100,000 cp/mL. Positive control aliquots should be stored for at most 3 months at -80°C, or at most 1 month at -20°C.  </w:t>
      </w:r>
    </w:p>
    <w:p w:rsidR="00000000" w:rsidDel="00000000" w:rsidP="00000000" w:rsidRDefault="00000000" w:rsidRPr="00000000" w14:paraId="00000095">
      <w:pPr>
        <w:spacing w:line="240" w:lineRule="auto"/>
        <w:ind w:left="0" w:firstLine="0"/>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96">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7">
      <w:pPr>
        <w:pStyle w:val="Heading3"/>
        <w:spacing w:line="276" w:lineRule="auto"/>
        <w:ind w:left="0" w:firstLine="0"/>
        <w:rPr/>
      </w:pPr>
      <w:bookmarkStart w:colFirst="0" w:colLast="0" w:name="_heading=h.e91iwlxjs6fi" w:id="24"/>
      <w:bookmarkEnd w:id="24"/>
      <w:r w:rsidDel="00000000" w:rsidR="00000000" w:rsidRPr="00000000">
        <w:rPr>
          <w:rtl w:val="0"/>
        </w:rPr>
        <w:t xml:space="preserve">Table 4. Components for Positive Template Control </w:t>
      </w:r>
    </w:p>
    <w:tbl>
      <w:tblPr>
        <w:tblStyle w:val="Table4"/>
        <w:tblW w:w="916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690"/>
        <w:gridCol w:w="1575"/>
        <w:gridCol w:w="1965"/>
        <w:gridCol w:w="1935"/>
        <w:tblGridChange w:id="0">
          <w:tblGrid>
            <w:gridCol w:w="3690"/>
            <w:gridCol w:w="1575"/>
            <w:gridCol w:w="1965"/>
            <w:gridCol w:w="1935"/>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Material</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Supplier</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Catalog #</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SARS-CoV2 Positive Control RNA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Twist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102019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 Human RNA</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4307281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Nuclease-free Water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10977015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4,895 µL</w:t>
            </w:r>
          </w:p>
        </w:tc>
      </w:tr>
    </w:tbl>
    <w:p w:rsidR="00000000" w:rsidDel="00000000" w:rsidP="00000000" w:rsidRDefault="00000000" w:rsidRPr="00000000" w14:paraId="000000A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spacing w:line="240" w:lineRule="auto"/>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AA">
      <w:pPr>
        <w:pStyle w:val="Heading1"/>
        <w:rPr/>
      </w:pPr>
      <w:bookmarkStart w:colFirst="0" w:colLast="0" w:name="_heading=h.pocunsly0rhh" w:id="25"/>
      <w:bookmarkEnd w:id="25"/>
      <w:r w:rsidDel="00000000" w:rsidR="00000000" w:rsidRPr="00000000">
        <w:rPr>
          <w:rtl w:val="0"/>
        </w:rPr>
        <w:t xml:space="preserve">H. INTERPRETATION OF RESULTS</w:t>
      </w:r>
    </w:p>
    <w:p w:rsidR="00000000" w:rsidDel="00000000" w:rsidP="00000000" w:rsidRDefault="00000000" w:rsidRPr="00000000" w14:paraId="000000AB">
      <w:pPr>
        <w:pStyle w:val="Heading2"/>
        <w:spacing w:after="60" w:before="240" w:lineRule="auto"/>
        <w:rPr>
          <w:rFonts w:ascii="Times New Roman" w:cs="Times New Roman" w:eastAsia="Times New Roman" w:hAnsi="Times New Roman"/>
          <w:b w:val="1"/>
          <w:i w:val="1"/>
          <w:color w:val="000000"/>
          <w:sz w:val="24"/>
          <w:szCs w:val="24"/>
          <w:u w:val="single"/>
        </w:rPr>
      </w:pPr>
      <w:bookmarkStart w:colFirst="0" w:colLast="0" w:name="_heading=h.11zotw7sa90h" w:id="26"/>
      <w:bookmarkEnd w:id="26"/>
      <w:r w:rsidDel="00000000" w:rsidR="00000000" w:rsidRPr="00000000">
        <w:rPr>
          <w:rFonts w:ascii="Times New Roman" w:cs="Times New Roman" w:eastAsia="Times New Roman" w:hAnsi="Times New Roman"/>
          <w:b w:val="1"/>
          <w:i w:val="1"/>
          <w:color w:val="000000"/>
          <w:sz w:val="24"/>
          <w:szCs w:val="24"/>
          <w:u w:val="none"/>
          <w:rtl w:val="0"/>
        </w:rPr>
        <w:t xml:space="preserve">1)   </w:t>
      </w:r>
      <w:r w:rsidDel="00000000" w:rsidR="00000000" w:rsidRPr="00000000">
        <w:rPr>
          <w:rFonts w:ascii="Times New Roman" w:cs="Times New Roman" w:eastAsia="Times New Roman" w:hAnsi="Times New Roman"/>
          <w:b w:val="1"/>
          <w:i w:val="1"/>
          <w:color w:val="000000"/>
          <w:sz w:val="24"/>
          <w:szCs w:val="24"/>
          <w:highlight w:val="yellow"/>
          <w:u w:val="single"/>
          <w:rtl w:val="0"/>
        </w:rPr>
        <w:t xml:space="preserve">FloodLAMP QuickFluor</w:t>
      </w:r>
      <w:r w:rsidDel="00000000" w:rsidR="00000000" w:rsidRPr="00000000">
        <w:rPr>
          <w:rFonts w:ascii="Times New Roman" w:cs="Times New Roman" w:eastAsia="Times New Roman" w:hAnsi="Times New Roman"/>
          <w:b w:val="1"/>
          <w:i w:val="1"/>
          <w:color w:val="000000"/>
          <w:sz w:val="24"/>
          <w:szCs w:val="24"/>
          <w:highlight w:val="yellow"/>
          <w:u w:val="single"/>
          <w:vertAlign w:val="superscript"/>
          <w:rtl w:val="0"/>
        </w:rPr>
        <w:t xml:space="preserve">TM</w:t>
      </w:r>
      <w:r w:rsidDel="00000000" w:rsidR="00000000" w:rsidRPr="00000000">
        <w:rPr>
          <w:rFonts w:ascii="Times New Roman" w:cs="Times New Roman" w:eastAsia="Times New Roman" w:hAnsi="Times New Roman"/>
          <w:b w:val="1"/>
          <w:i w:val="1"/>
          <w:color w:val="000000"/>
          <w:sz w:val="24"/>
          <w:szCs w:val="24"/>
          <w:highlight w:val="yellow"/>
          <w:u w:val="single"/>
          <w:rtl w:val="0"/>
        </w:rPr>
        <w:t xml:space="preserve"> COVID-19 Test</w:t>
      </w:r>
      <w:r w:rsidDel="00000000" w:rsidR="00000000" w:rsidRPr="00000000">
        <w:rPr>
          <w:rFonts w:ascii="Times New Roman" w:cs="Times New Roman" w:eastAsia="Times New Roman" w:hAnsi="Times New Roman"/>
          <w:b w:val="1"/>
          <w:i w:val="1"/>
          <w:color w:val="000000"/>
          <w:sz w:val="24"/>
          <w:szCs w:val="24"/>
          <w:u w:val="single"/>
          <w:rtl w:val="0"/>
        </w:rPr>
        <w:t xml:space="preserve"> Controls </w:t>
      </w:r>
    </w:p>
    <w:p w:rsidR="00000000" w:rsidDel="00000000" w:rsidP="00000000" w:rsidRDefault="00000000" w:rsidRPr="00000000" w14:paraId="000000AC">
      <w:pPr>
        <w:tabs>
          <w:tab w:val="left" w:pos="108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test controls should be examined prior to interpretation of patient specimen results. If the controls are not valid and the expected result, the specimen results cannot be interpreted. Target results for the controls will be interpreted according to Table 5 below.</w:t>
      </w:r>
    </w:p>
    <w:p w:rsidR="00000000" w:rsidDel="00000000" w:rsidP="00000000" w:rsidRDefault="00000000" w:rsidRPr="00000000" w14:paraId="000000AD">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“No Template” (Negative) Control (NTC) should yield a negative “not detected” result for the Sars target.</w:t>
      </w:r>
    </w:p>
    <w:p w:rsidR="00000000" w:rsidDel="00000000" w:rsidP="00000000" w:rsidRDefault="00000000" w:rsidRPr="00000000" w14:paraId="000000AE">
      <w:pPr>
        <w:tabs>
          <w:tab w:val="left" w:pos="1080"/>
        </w:tabs>
        <w:ind w:left="72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Positive Template Control should yield a positive “detected” result for the Sars target.</w:t>
      </w:r>
      <w:r w:rsidDel="00000000" w:rsidR="00000000" w:rsidRPr="00000000">
        <w:rPr>
          <w:rtl w:val="0"/>
        </w:rPr>
      </w:r>
    </w:p>
    <w:p w:rsidR="00000000" w:rsidDel="00000000" w:rsidP="00000000" w:rsidRDefault="00000000" w:rsidRPr="00000000" w14:paraId="000000B0">
      <w:pPr>
        <w:spacing w:line="276"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1">
      <w:pPr>
        <w:tabs>
          <w:tab w:val="left" w:pos="108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the negative and positive controls do not appear as expected, the specimen results of the corresponding plate or batch should be considered invalid. In the event of a failure of either the positive or negative control, the lab should discard some or all of the consumables utilized for associated run, including the filter tips, tubes, plates, seals, and aliquots of reagents. Additionally, all pipettes, BSC, and appropriate lab surfaces should be thoroughly cleaned with freshly made 10% bleach solution, 70% ethanol, and (optionally) RNAseZAP</w:t>
      </w:r>
      <w:r w:rsidDel="00000000" w:rsidR="00000000" w:rsidRPr="00000000">
        <w:rPr>
          <w:rFonts w:ascii="Times New Roman" w:cs="Times New Roman" w:eastAsia="Times New Roman" w:hAnsi="Times New Roman"/>
          <w:sz w:val="24"/>
          <w:szCs w:val="24"/>
          <w:vertAlign w:val="superscript"/>
          <w:rtl w:val="0"/>
        </w:rPr>
        <w:t xml:space="preserve">TM</w:t>
      </w:r>
      <w:r w:rsidDel="00000000" w:rsidR="00000000" w:rsidRPr="00000000">
        <w:rPr>
          <w:rFonts w:ascii="Times New Roman" w:cs="Times New Roman" w:eastAsia="Times New Roman" w:hAnsi="Times New Roman"/>
          <w:sz w:val="24"/>
          <w:szCs w:val="24"/>
          <w:rtl w:val="0"/>
        </w:rPr>
        <w:t xml:space="preserve"> product. In the event 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rsidR="00000000" w:rsidDel="00000000" w:rsidP="00000000" w:rsidRDefault="00000000" w:rsidRPr="00000000" w14:paraId="000000B2">
      <w:pPr>
        <w:pStyle w:val="Heading2"/>
        <w:spacing w:after="60" w:before="240" w:lineRule="auto"/>
        <w:rPr>
          <w:rFonts w:ascii="Times New Roman" w:cs="Times New Roman" w:eastAsia="Times New Roman" w:hAnsi="Times New Roman"/>
          <w:b w:val="1"/>
          <w:i w:val="1"/>
          <w:color w:val="000000"/>
          <w:sz w:val="24"/>
          <w:szCs w:val="24"/>
          <w:u w:val="single"/>
        </w:rPr>
      </w:pPr>
      <w:bookmarkStart w:colFirst="0" w:colLast="0" w:name="_heading=h.ef9iwjf27yps" w:id="27"/>
      <w:bookmarkEnd w:id="27"/>
      <w:r w:rsidDel="00000000" w:rsidR="00000000" w:rsidRPr="00000000">
        <w:rPr>
          <w:rFonts w:ascii="Times New Roman" w:cs="Times New Roman" w:eastAsia="Times New Roman" w:hAnsi="Times New Roman"/>
          <w:b w:val="1"/>
          <w:i w:val="1"/>
          <w:color w:val="000000"/>
          <w:sz w:val="24"/>
          <w:szCs w:val="24"/>
          <w:u w:val="none"/>
          <w:rtl w:val="0"/>
        </w:rPr>
        <w:t xml:space="preserve">2)   </w:t>
      </w:r>
      <w:r w:rsidDel="00000000" w:rsidR="00000000" w:rsidRPr="00000000">
        <w:rPr>
          <w:rFonts w:ascii="Times New Roman" w:cs="Times New Roman" w:eastAsia="Times New Roman" w:hAnsi="Times New Roman"/>
          <w:b w:val="1"/>
          <w:i w:val="1"/>
          <w:color w:val="000000"/>
          <w:sz w:val="24"/>
          <w:szCs w:val="24"/>
          <w:u w:val="single"/>
          <w:rtl w:val="0"/>
        </w:rPr>
        <w:t xml:space="preserve">Examination and Interpretation of Patient Specimen Results:</w:t>
      </w:r>
    </w:p>
    <w:p w:rsidR="00000000" w:rsidDel="00000000" w:rsidP="00000000" w:rsidRDefault="00000000" w:rsidRPr="00000000" w14:paraId="000000B3">
      <w:pPr>
        <w:tabs>
          <w:tab w:val="left" w:pos="108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Assessment of clinical specimen test results should be performed after the positive and negative controls have been examined and determined to be valid and acceptable. If the controls are not valid, the patient results cannot be interpreted. Patient specimen results will be interpreted according to Table 5 below.</w:t>
      </w:r>
    </w:p>
    <w:p w:rsidR="00000000" w:rsidDel="00000000" w:rsidP="00000000" w:rsidRDefault="00000000" w:rsidRPr="00000000" w14:paraId="000000B4">
      <w:pPr>
        <w:tabs>
          <w:tab w:val="left" w:pos="108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pStyle w:val="Heading3"/>
        <w:rPr/>
      </w:pPr>
      <w:bookmarkStart w:colFirst="0" w:colLast="0" w:name="_heading=h.4zqdfa6rx2z4" w:id="28"/>
      <w:bookmarkEnd w:id="28"/>
      <w:r w:rsidDel="00000000" w:rsidR="00000000" w:rsidRPr="00000000">
        <w:rPr>
          <w:rtl w:val="0"/>
        </w:rPr>
        <w:t xml:space="preserve">Table 5: Test Results and Interpretation</w:t>
      </w:r>
    </w:p>
    <w:tbl>
      <w:tblPr>
        <w:tblStyle w:val="Table5"/>
        <w:tblW w:w="9360.0" w:type="dxa"/>
        <w:jc w:val="left"/>
        <w:tblInd w:w="43.2"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trHeight w:val="440" w:hRule="atLeast"/>
        </w:trPr>
        <w:tc>
          <w:tcPr>
            <w:gridSpan w:val="2"/>
            <w:shd w:fill="d9d9d9" w:val="clear"/>
            <w:tcMar>
              <w:top w:w="43.2" w:type="dxa"/>
              <w:left w:w="43.2" w:type="dxa"/>
              <w:bottom w:w="43.2" w:type="dxa"/>
              <w:right w:w="43.2" w:type="dxa"/>
            </w:tcMar>
            <w:vAlign w:val="top"/>
          </w:tcPr>
          <w:p w:rsidR="00000000" w:rsidDel="00000000" w:rsidP="00000000" w:rsidRDefault="00000000" w:rsidRPr="00000000" w14:paraId="000000B6">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ABI QuantStudio</w:t>
            </w:r>
            <w:r w:rsidDel="00000000" w:rsidR="00000000" w:rsidRPr="00000000">
              <w:rPr>
                <w:rFonts w:ascii="Times New Roman" w:cs="Times New Roman" w:eastAsia="Times New Roman" w:hAnsi="Times New Roman"/>
                <w:b w:val="1"/>
                <w:sz w:val="24"/>
                <w:szCs w:val="24"/>
                <w:vertAlign w:val="superscript"/>
                <w:rtl w:val="0"/>
              </w:rPr>
              <w:t xml:space="preserve">TM</w:t>
            </w:r>
            <w:r w:rsidDel="00000000" w:rsidR="00000000" w:rsidRPr="00000000">
              <w:rPr>
                <w:rFonts w:ascii="Times New Roman" w:cs="Times New Roman" w:eastAsia="Times New Roman" w:hAnsi="Times New Roman"/>
                <w:b w:val="1"/>
                <w:sz w:val="24"/>
                <w:szCs w:val="24"/>
                <w:rtl w:val="0"/>
              </w:rPr>
              <w:t xml:space="preserve"> 7 Pro</w:t>
            </w:r>
          </w:p>
          <w:p w:rsidR="00000000" w:rsidDel="00000000" w:rsidP="00000000" w:rsidRDefault="00000000" w:rsidRPr="00000000" w14:paraId="000000B7">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Bio-Rad CFX96 Touch</w:t>
            </w:r>
            <w:r w:rsidDel="00000000" w:rsidR="00000000" w:rsidRPr="00000000">
              <w:rPr>
                <w:rFonts w:ascii="Times New Roman" w:cs="Times New Roman" w:eastAsia="Times New Roman" w:hAnsi="Times New Roman"/>
                <w:b w:val="1"/>
                <w:sz w:val="24"/>
                <w:szCs w:val="24"/>
                <w:vertAlign w:val="superscript"/>
                <w:rtl w:val="0"/>
              </w:rPr>
              <w:t xml:space="preserve">TM</w:t>
            </w:r>
            <w:r w:rsidDel="00000000" w:rsidR="00000000" w:rsidRPr="00000000">
              <w:rPr>
                <w:rtl w:val="0"/>
              </w:rPr>
            </w:r>
          </w:p>
        </w:tc>
      </w:tr>
      <w:tr>
        <w:tc>
          <w:tcPr>
            <w:shd w:fill="d9d9d9" w:val="clear"/>
            <w:tcMar>
              <w:top w:w="43.2" w:type="dxa"/>
              <w:left w:w="43.2" w:type="dxa"/>
              <w:bottom w:w="43.2" w:type="dxa"/>
              <w:right w:w="43.2" w:type="dxa"/>
            </w:tcMar>
            <w:vAlign w:val="top"/>
          </w:tcPr>
          <w:p w:rsidR="00000000" w:rsidDel="00000000" w:rsidP="00000000" w:rsidRDefault="00000000" w:rsidRPr="00000000" w14:paraId="000000B9">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w:t>
            </w:r>
          </w:p>
        </w:tc>
        <w:tc>
          <w:tcPr>
            <w:shd w:fill="d9d9d9" w:val="clear"/>
            <w:tcMar>
              <w:top w:w="43.2" w:type="dxa"/>
              <w:left w:w="43.2" w:type="dxa"/>
              <w:bottom w:w="43.2" w:type="dxa"/>
              <w:right w:w="43.2" w:type="dxa"/>
            </w:tcMar>
            <w:vAlign w:val="top"/>
          </w:tcPr>
          <w:p w:rsidR="00000000" w:rsidDel="00000000" w:rsidP="00000000" w:rsidRDefault="00000000" w:rsidRPr="00000000" w14:paraId="000000BA">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Ct</w:t>
            </w:r>
            <w:r w:rsidDel="00000000" w:rsidR="00000000" w:rsidRPr="00000000">
              <w:rPr>
                <w:rFonts w:ascii="Times New Roman" w:cs="Times New Roman" w:eastAsia="Times New Roman" w:hAnsi="Times New Roman"/>
                <w:b w:val="1"/>
                <w:sz w:val="24"/>
                <w:szCs w:val="24"/>
                <w:rtl w:val="0"/>
              </w:rPr>
              <w:t xml:space="preserve"> Value: </w:t>
            </w:r>
            <w:r w:rsidDel="00000000" w:rsidR="00000000" w:rsidRPr="00000000">
              <w:rPr>
                <w:rFonts w:ascii="Times New Roman" w:cs="Times New Roman" w:eastAsia="Times New Roman" w:hAnsi="Times New Roman"/>
                <w:b w:val="1"/>
                <w:sz w:val="24"/>
                <w:szCs w:val="24"/>
                <w:rtl w:val="0"/>
              </w:rPr>
              <w:t xml:space="preserve">ORF1ab, N2 &amp; E1</w:t>
            </w:r>
          </w:p>
        </w:tc>
      </w:tr>
      <w:tr>
        <w:tc>
          <w:tcPr>
            <w:shd w:fill="auto" w:val="clear"/>
            <w:tcMar>
              <w:top w:w="43.2" w:type="dxa"/>
              <w:left w:w="43.2" w:type="dxa"/>
              <w:bottom w:w="43.2" w:type="dxa"/>
              <w:right w:w="43.2" w:type="dxa"/>
            </w:tcMar>
            <w:vAlign w:val="top"/>
          </w:tcPr>
          <w:p w:rsidR="00000000" w:rsidDel="00000000" w:rsidP="00000000" w:rsidRDefault="00000000" w:rsidRPr="00000000" w14:paraId="000000BB">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Positive</w:t>
            </w:r>
          </w:p>
        </w:tc>
        <w:tc>
          <w:tcPr>
            <w:shd w:fill="auto" w:val="clear"/>
            <w:tcMar>
              <w:top w:w="43.2" w:type="dxa"/>
              <w:left w:w="43.2" w:type="dxa"/>
              <w:bottom w:w="43.2" w:type="dxa"/>
              <w:right w:w="43.2" w:type="dxa"/>
            </w:tcMar>
            <w:vAlign w:val="top"/>
          </w:tcPr>
          <w:p w:rsidR="00000000" w:rsidDel="00000000" w:rsidP="00000000" w:rsidRDefault="00000000" w:rsidRPr="00000000" w14:paraId="000000BC">
            <w:pPr>
              <w:widowControl w:val="0"/>
              <w:jc w:val="center"/>
              <w:rPr>
                <w:rFonts w:ascii="Times New Roman" w:cs="Times New Roman" w:eastAsia="Times New Roman" w:hAnsi="Times New Roman"/>
                <w:sz w:val="24"/>
                <w:szCs w:val="24"/>
              </w:rPr>
            </w:pPr>
            <w:sdt>
              <w:sdtPr>
                <w:tag w:val="goog_rdk_2"/>
              </w:sdtPr>
              <w:sdtContent>
                <w:r w:rsidDel="00000000" w:rsidR="00000000" w:rsidRPr="00000000">
                  <w:rPr>
                    <w:rFonts w:ascii="Gungsuh" w:cs="Gungsuh" w:eastAsia="Gungsuh" w:hAnsi="Gungsuh"/>
                    <w:sz w:val="24"/>
                    <w:szCs w:val="24"/>
                    <w:rtl w:val="0"/>
                  </w:rPr>
                  <w:t xml:space="preserve">≤25.0</w:t>
                </w:r>
              </w:sdtContent>
            </w:sdt>
          </w:p>
        </w:tc>
      </w:tr>
      <w:tr>
        <w:tc>
          <w:tcPr>
            <w:shd w:fill="auto" w:val="clear"/>
            <w:tcMar>
              <w:top w:w="43.2" w:type="dxa"/>
              <w:left w:w="43.2" w:type="dxa"/>
              <w:bottom w:w="43.2" w:type="dxa"/>
              <w:right w:w="43.2" w:type="dxa"/>
            </w:tcMar>
            <w:vAlign w:val="top"/>
          </w:tcPr>
          <w:p w:rsidR="00000000" w:rsidDel="00000000" w:rsidP="00000000" w:rsidRDefault="00000000" w:rsidRPr="00000000" w14:paraId="000000B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Negative</w:t>
            </w:r>
          </w:p>
        </w:tc>
        <w:tc>
          <w:tcPr>
            <w:shd w:fill="auto" w:val="clear"/>
            <w:tcMar>
              <w:top w:w="43.2" w:type="dxa"/>
              <w:left w:w="43.2" w:type="dxa"/>
              <w:bottom w:w="43.2" w:type="dxa"/>
              <w:right w:w="43.2" w:type="dxa"/>
            </w:tcMar>
            <w:vAlign w:val="top"/>
          </w:tcPr>
          <w:p w:rsidR="00000000" w:rsidDel="00000000" w:rsidP="00000000" w:rsidRDefault="00000000" w:rsidRPr="00000000" w14:paraId="000000BE">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Undetermined</w:t>
            </w:r>
          </w:p>
        </w:tc>
      </w:tr>
    </w:tbl>
    <w:p w:rsidR="00000000" w:rsidDel="00000000" w:rsidP="00000000" w:rsidRDefault="00000000" w:rsidRPr="00000000" w14:paraId="000000BF">
      <w:pPr>
        <w:tabs>
          <w:tab w:val="left" w:pos="108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0">
      <w:pPr>
        <w:pStyle w:val="Heading1"/>
        <w:keepNext w:val="1"/>
        <w:spacing w:after="60" w:before="240" w:line="240" w:lineRule="auto"/>
        <w:rPr/>
      </w:pPr>
      <w:bookmarkStart w:colFirst="0" w:colLast="0" w:name="_heading=h.wnnh6bkvsxwu" w:id="29"/>
      <w:bookmarkEnd w:id="29"/>
      <w:r w:rsidDel="00000000" w:rsidR="00000000" w:rsidRPr="00000000">
        <w:br w:type="page"/>
      </w:r>
      <w:r w:rsidDel="00000000" w:rsidR="00000000" w:rsidRPr="00000000">
        <w:rPr>
          <w:rtl w:val="0"/>
        </w:rPr>
      </w:r>
    </w:p>
    <w:p w:rsidR="00000000" w:rsidDel="00000000" w:rsidP="00000000" w:rsidRDefault="00000000" w:rsidRPr="00000000" w14:paraId="000000C1">
      <w:pPr>
        <w:pStyle w:val="Heading1"/>
        <w:rPr/>
      </w:pPr>
      <w:bookmarkStart w:colFirst="0" w:colLast="0" w:name="_heading=h.nekjreu64nl0" w:id="30"/>
      <w:bookmarkEnd w:id="30"/>
      <w:r w:rsidDel="00000000" w:rsidR="00000000" w:rsidRPr="00000000">
        <w:rPr>
          <w:rtl w:val="0"/>
        </w:rPr>
        <w:t xml:space="preserve">I. PRODUCT MANUFACTURING</w:t>
      </w:r>
    </w:p>
    <w:p w:rsidR="00000000" w:rsidDel="00000000" w:rsidP="00000000" w:rsidRDefault="00000000" w:rsidRPr="00000000" w14:paraId="000000C2">
      <w:pPr>
        <w:pStyle w:val="Heading2"/>
        <w:keepNext w:val="1"/>
        <w:spacing w:after="60" w:before="240" w:line="240" w:lineRule="auto"/>
        <w:ind w:left="0" w:firstLine="0"/>
        <w:rPr/>
      </w:pPr>
      <w:bookmarkStart w:colFirst="0" w:colLast="0" w:name="_heading=h.sjshs66mcdb9" w:id="31"/>
      <w:bookmarkEnd w:id="31"/>
      <w:r w:rsidDel="00000000" w:rsidR="00000000" w:rsidRPr="00000000">
        <w:rPr>
          <w:u w:val="none"/>
          <w:rtl w:val="0"/>
        </w:rPr>
        <w:t xml:space="preserve">1)   </w:t>
      </w:r>
      <w:r w:rsidDel="00000000" w:rsidR="00000000" w:rsidRPr="00000000">
        <w:rPr>
          <w:rtl w:val="0"/>
        </w:rPr>
        <w:t xml:space="preserve">Overview of Manufacturing and Distribution: </w:t>
      </w:r>
    </w:p>
    <w:p w:rsidR="00000000" w:rsidDel="00000000" w:rsidP="00000000" w:rsidRDefault="00000000" w:rsidRPr="00000000" w14:paraId="000000C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utilizes standard chemicals available in very large quantities from multiple vendors, with the exception of the LAMP Primers and New England Biolabs Fluorimetric LAMP Master Mix. </w:t>
      </w:r>
    </w:p>
    <w:p w:rsidR="00000000" w:rsidDel="00000000" w:rsidP="00000000" w:rsidRDefault="00000000" w:rsidRPr="00000000" w14:paraId="000000C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FloodLAMP has partnered with LGC Biosearch for the LAMP Primers. LGC Biosearch has very large scale oligo production capacity and mature distribution capabilities. The first production scale lot of the LAMP Primers has been completed, with 1.2 million reactions ready for immediate distribution. FloodLAMP has purchased 600K reactions of the LAMP Primers. LGC Biosearch is supplying FloodLAMP for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and is also offering the LAMP Primers as a catalog product. </w:t>
      </w:r>
    </w:p>
    <w:p w:rsidR="00000000" w:rsidDel="00000000" w:rsidP="00000000" w:rsidRDefault="00000000" w:rsidRPr="00000000" w14:paraId="000000C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7">
      <w:pPr>
        <w:rPr>
          <w:rFonts w:ascii="Times New Roman" w:cs="Times New Roman" w:eastAsia="Times New Roman" w:hAnsi="Times New Roman"/>
          <w:sz w:val="24"/>
          <w:szCs w:val="24"/>
        </w:rPr>
      </w:pPr>
      <w:sdt>
        <w:sdtPr>
          <w:tag w:val="goog_rdk_3"/>
        </w:sdtPr>
        <w:sdtContent>
          <w:commentRangeStart w:id="0"/>
        </w:sdtContent>
      </w:sdt>
      <w:sdt>
        <w:sdtPr>
          <w:tag w:val="goog_rdk_4"/>
        </w:sdtPr>
        <w:sdtContent>
          <w:commentRangeStart w:id="1"/>
        </w:sdtContent>
      </w:sdt>
      <w:r w:rsidDel="00000000" w:rsidR="00000000" w:rsidRPr="00000000">
        <w:rPr>
          <w:rFonts w:ascii="Times New Roman" w:cs="Times New Roman" w:eastAsia="Times New Roman" w:hAnsi="Times New Roman"/>
          <w:sz w:val="24"/>
          <w:szCs w:val="24"/>
          <w:rtl w:val="0"/>
        </w:rPr>
        <w:t xml:space="preserve">New England Biolabs has expressed strong support for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and FloodLAMP's other open source protocol EUA submissions that incorporate their products. New England Biolabs has very large quantities of the Fluorimetric LAMP Master Mix product prepared and ready for immediate distribution, typically with 24 hour shipping within the U.S. Their manufacturing capacity is among the largest in the United States and can surge to meet increased demand.</w:t>
      </w:r>
      <w:commentRangeEnd w:id="0"/>
      <w:r w:rsidDel="00000000" w:rsidR="00000000" w:rsidRPr="00000000">
        <w:commentReference w:id="0"/>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C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*Under the Emergency Use Authorization (EUA) any of the 21 CFR Part 820 Quality System Regulation (QSR) requirements </w:t>
      </w:r>
      <w:r w:rsidDel="00000000" w:rsidR="00000000" w:rsidRPr="00000000">
        <w:rPr>
          <w:rFonts w:ascii="Times New Roman" w:cs="Times New Roman" w:eastAsia="Times New Roman" w:hAnsi="Times New Roman"/>
          <w:b w:val="1"/>
          <w:sz w:val="24"/>
          <w:szCs w:val="24"/>
          <w:u w:val="single"/>
          <w:rtl w:val="0"/>
        </w:rPr>
        <w:t xml:space="preserve">can</w:t>
      </w:r>
      <w:r w:rsidDel="00000000" w:rsidR="00000000" w:rsidRPr="00000000">
        <w:rPr>
          <w:rFonts w:ascii="Times New Roman" w:cs="Times New Roman" w:eastAsia="Times New Roman" w:hAnsi="Times New Roman"/>
          <w:b w:val="1"/>
          <w:sz w:val="24"/>
          <w:szCs w:val="24"/>
          <w:rtl w:val="0"/>
        </w:rPr>
        <w:t xml:space="preserve"> be waived for the duration of the EUA but FDA recommends that developers follow comparable practices as much as possible if such requirements are waived. Among other things, FDA may consider previous compliance history when determining whether or not to waive certain QSR requirements for a specific product. Please note adverse events, as per 21 CFR Part 803, have to be reported for authorized devices (see Section P). </w:t>
      </w:r>
      <w:r w:rsidDel="00000000" w:rsidR="00000000" w:rsidRPr="00000000">
        <w:rPr>
          <w:rtl w:val="0"/>
        </w:rPr>
      </w:r>
    </w:p>
    <w:p w:rsidR="00000000" w:rsidDel="00000000" w:rsidP="00000000" w:rsidRDefault="00000000" w:rsidRPr="00000000" w14:paraId="000000CA">
      <w:pPr>
        <w:spacing w:after="200"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B">
      <w:pPr>
        <w:pStyle w:val="Heading2"/>
        <w:keepNext w:val="1"/>
        <w:spacing w:after="60" w:before="240" w:line="240" w:lineRule="auto"/>
        <w:ind w:left="0" w:firstLine="0"/>
        <w:rPr/>
      </w:pPr>
      <w:bookmarkStart w:colFirst="0" w:colLast="0" w:name="_heading=h.rayfld4jqr6j" w:id="32"/>
      <w:bookmarkEnd w:id="32"/>
      <w:r w:rsidDel="00000000" w:rsidR="00000000" w:rsidRPr="00000000">
        <w:rPr>
          <w:u w:val="none"/>
          <w:rtl w:val="0"/>
        </w:rPr>
        <w:t xml:space="preserve">2)   </w:t>
      </w:r>
      <w:r w:rsidDel="00000000" w:rsidR="00000000" w:rsidRPr="00000000">
        <w:rPr>
          <w:rtl w:val="0"/>
        </w:rPr>
        <w:t xml:space="preserve">Components Included with the Test:</w:t>
      </w:r>
    </w:p>
    <w:p w:rsidR="00000000" w:rsidDel="00000000" w:rsidP="00000000" w:rsidRDefault="00000000" w:rsidRPr="00000000" w14:paraId="000000CC">
      <w:pPr>
        <w:spacing w:after="20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None. Designated CLIA labs may order components directly from vendors.</w:t>
      </w:r>
    </w:p>
    <w:p w:rsidR="00000000" w:rsidDel="00000000" w:rsidP="00000000" w:rsidRDefault="00000000" w:rsidRPr="00000000" w14:paraId="000000CD">
      <w:pPr>
        <w:pStyle w:val="Heading2"/>
        <w:spacing w:line="240" w:lineRule="auto"/>
        <w:ind w:left="0" w:firstLine="0"/>
        <w:rPr/>
      </w:pPr>
      <w:r w:rsidDel="00000000" w:rsidR="00000000" w:rsidRPr="00000000">
        <w:rPr>
          <w:u w:val="none"/>
          <w:rtl w:val="0"/>
        </w:rPr>
        <w:t xml:space="preserve">3)   </w:t>
      </w:r>
      <w:r w:rsidDel="00000000" w:rsidR="00000000" w:rsidRPr="00000000">
        <w:rPr>
          <w:rtl w:val="0"/>
        </w:rPr>
        <w:t xml:space="preserve">Components Required But Not Included with Test:</w:t>
      </w:r>
    </w:p>
    <w:p w:rsidR="00000000" w:rsidDel="00000000" w:rsidP="00000000" w:rsidRDefault="00000000" w:rsidRPr="00000000" w14:paraId="000000CE">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to be used with the reagents or equivalents listed in Table 6. </w:t>
      </w:r>
      <w:r w:rsidDel="00000000" w:rsidR="00000000" w:rsidRPr="00000000">
        <w:rPr>
          <w:rtl w:val="0"/>
        </w:rPr>
      </w:r>
    </w:p>
    <w:p w:rsidR="00000000" w:rsidDel="00000000" w:rsidP="00000000" w:rsidRDefault="00000000" w:rsidRPr="00000000" w14:paraId="000000CF">
      <w:pPr>
        <w:pStyle w:val="Heading3"/>
        <w:spacing w:line="240" w:lineRule="auto"/>
        <w:ind w:left="0" w:firstLine="0"/>
        <w:rPr/>
      </w:pPr>
      <w:bookmarkStart w:colFirst="0" w:colLast="0" w:name="_heading=h.2s8eyo1" w:id="33"/>
      <w:bookmarkEnd w:id="33"/>
      <w:r w:rsidDel="00000000" w:rsidR="00000000" w:rsidRPr="00000000">
        <w:rPr>
          <w:rtl w:val="0"/>
        </w:rPr>
      </w:r>
    </w:p>
    <w:p w:rsidR="00000000" w:rsidDel="00000000" w:rsidP="00000000" w:rsidRDefault="00000000" w:rsidRPr="00000000" w14:paraId="000000D0">
      <w:pPr>
        <w:pStyle w:val="Heading3"/>
        <w:rPr/>
      </w:pPr>
      <w:bookmarkStart w:colFirst="0" w:colLast="0" w:name="_heading=h.a8rzxxmzgkch" w:id="34"/>
      <w:bookmarkEnd w:id="34"/>
      <w:r w:rsidDel="00000000" w:rsidR="00000000" w:rsidRPr="00000000">
        <w:rPr>
          <w:rtl w:val="0"/>
        </w:rPr>
        <w:t xml:space="preserve">Table 6: Validated reagents used with Test</w:t>
      </w:r>
    </w:p>
    <w:tbl>
      <w:tblPr>
        <w:tblStyle w:val="Table6"/>
        <w:tblW w:w="976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1830"/>
        <w:gridCol w:w="3300"/>
        <w:gridCol w:w="1665"/>
        <w:gridCol w:w="1530"/>
        <w:tblGridChange w:id="0">
          <w:tblGrid>
            <w:gridCol w:w="1440"/>
            <w:gridCol w:w="1830"/>
            <w:gridCol w:w="3300"/>
            <w:gridCol w:w="1665"/>
            <w:gridCol w:w="1530"/>
          </w:tblGrid>
        </w:tblGridChange>
      </w:tblGrid>
      <w:tr>
        <w:tc>
          <w:tcPr>
            <w:shd w:fill="d9d9d9" w:val="clear"/>
            <w:tcMar>
              <w:top w:w="100.0" w:type="dxa"/>
              <w:left w:w="100.0" w:type="dxa"/>
              <w:bottom w:w="100.0" w:type="dxa"/>
              <w:right w:w="100.0" w:type="dxa"/>
            </w:tcMar>
            <w:vAlign w:val="center"/>
          </w:tcPr>
          <w:p w:rsidR="00000000" w:rsidDel="00000000" w:rsidP="00000000" w:rsidRDefault="00000000" w:rsidRPr="00000000" w14:paraId="000000D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Item</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D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Concentration</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Chemical Composition</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D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Vendor</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D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Catalog No.</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0D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TCEP</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tris(2-carboxyethyl)phosphine hydrochloride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Sigma-Aldrich</w:t>
            </w:r>
          </w:p>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Millipore Sigma</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646547-10X1ML</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0D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EDTA</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Ethylenediaminetetraacetic acid</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15575020</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0E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NaOH</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Sodium Hydroxide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Sigma-Aldrich</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SX0607N-6</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0E6">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Nuclease-</w:t>
            </w:r>
          </w:p>
          <w:p w:rsidR="00000000" w:rsidDel="00000000" w:rsidP="00000000" w:rsidRDefault="00000000" w:rsidRPr="00000000" w14:paraId="000000E7">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free Water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8">
            <w:pPr>
              <w:widowControl w:val="0"/>
              <w:jc w:val="center"/>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9">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Ultrapure Water, nuclease free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A">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B">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10977015</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0E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NaCl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5M</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Sodium Chloride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24740011</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Fluorimetric LAMP Kit*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Fluorimetric LAMP Kit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 England Biolabs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F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E1700</w:t>
            </w:r>
          </w:p>
        </w:tc>
      </w:tr>
    </w:tbl>
    <w:p w:rsidR="00000000" w:rsidDel="00000000" w:rsidP="00000000" w:rsidRDefault="00000000" w:rsidRPr="00000000" w14:paraId="000000F6">
      <w:pPr>
        <w:ind w:left="0" w:firstLine="0"/>
        <w:rPr>
          <w:rFonts w:ascii="Times New Roman" w:cs="Times New Roman" w:eastAsia="Times New Roman" w:hAnsi="Times New Roman"/>
          <w:sz w:val="24"/>
          <w:szCs w:val="24"/>
        </w:rPr>
      </w:pPr>
      <w:r w:rsidDel="00000000" w:rsidR="00000000" w:rsidRPr="00000000">
        <w:rPr>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Item may not be substituted for equivalents. Only the specified vendor and catalog number may be utilized.</w:t>
      </w:r>
    </w:p>
    <w:p w:rsidR="00000000" w:rsidDel="00000000" w:rsidP="00000000" w:rsidRDefault="00000000" w:rsidRPr="00000000" w14:paraId="000000F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Stocks of TCEP, EDTA, NaOH, and NaCl may be prepared from powder form at the specified concentration using nuclease-free, MilliQ or equivalent molecular biology grade water.</w:t>
      </w:r>
    </w:p>
    <w:p w:rsidR="00000000" w:rsidDel="00000000" w:rsidP="00000000" w:rsidRDefault="00000000" w:rsidRPr="00000000" w14:paraId="000000F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0.9% Saline (154 mM) may be prepared by diluting 15.4 mL of 5 M NaCl in MilliQ or equivalent molecular biology grade water to a final volume of 500 mL. Equivalent preparations or commercial saline products may be utilized, with appropriate validation.</w:t>
      </w:r>
    </w:p>
    <w:p w:rsidR="00000000" w:rsidDel="00000000" w:rsidP="00000000" w:rsidRDefault="00000000" w:rsidRPr="00000000" w14:paraId="000000F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100X Inactivation Solution is prepared by mixing the components in Table 7. Equivalent preparations utilizing components with different source concentrations may be used such that the final 100X Concentration is achieved. Aliquots of 100X Inactivation Solution should be stored in the dark at -20°C for up to 3 months. Upon thaw, working aliquots of 100X Inactivation Solution should be stored in the dark at room temperature for up to 1 month. </w:t>
      </w:r>
    </w:p>
    <w:p w:rsidR="00000000" w:rsidDel="00000000" w:rsidP="00000000" w:rsidRDefault="00000000" w:rsidRPr="00000000" w14:paraId="000000F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pStyle w:val="Heading3"/>
        <w:rPr/>
      </w:pPr>
      <w:bookmarkStart w:colFirst="0" w:colLast="0" w:name="_heading=h.ejlaodslhieh" w:id="35"/>
      <w:bookmarkEnd w:id="35"/>
      <w:r w:rsidDel="00000000" w:rsidR="00000000" w:rsidRPr="00000000">
        <w:rPr>
          <w:rtl w:val="0"/>
        </w:rPr>
        <w:t xml:space="preserve">Table 7: 100X Inactivation Solution</w:t>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c>
          <w:tcPr>
            <w:shd w:fill="d9d9d9" w:val="clear"/>
            <w:tcMar>
              <w:top w:w="100.0" w:type="dxa"/>
              <w:left w:w="100.0" w:type="dxa"/>
              <w:bottom w:w="100.0" w:type="dxa"/>
              <w:right w:w="100.0" w:type="dxa"/>
            </w:tcMar>
            <w:vAlign w:val="center"/>
          </w:tcPr>
          <w:p w:rsidR="00000000" w:rsidDel="00000000" w:rsidP="00000000" w:rsidRDefault="00000000" w:rsidRPr="00000000" w14:paraId="000001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Component</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10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Source Concentration</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10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 for 100X</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1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100X Concentration</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1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TCEP</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 M</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mM</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1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EDTA</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9">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 M</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mM</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1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NaOH</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mL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1.15 N</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1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Nuclease-free Water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 mL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1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VOLUME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 mL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118">
      <w:pPr>
        <w:spacing w:line="240" w:lineRule="auto"/>
        <w:jc w:val="both"/>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swabs that are collected or eluted in 0.9% saline solution or equivalent, the 100X Inactivation Solution should be added at 1/100th the sample solution volume.</w:t>
      </w:r>
    </w:p>
    <w:p w:rsidR="00000000" w:rsidDel="00000000" w:rsidP="00000000" w:rsidRDefault="00000000" w:rsidRPr="00000000" w14:paraId="000001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dry swabs, a preparation of 1X Inactivation Saline Solution should be prepared per Table 5. 1X Inactivation Saline Solution should be kept at room temperature and used within 24 hours of preparation from components or 100X Inactivation Solution.</w:t>
      </w:r>
    </w:p>
    <w:p w:rsidR="00000000" w:rsidDel="00000000" w:rsidP="00000000" w:rsidRDefault="00000000" w:rsidRPr="00000000" w14:paraId="0000011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D">
      <w:pPr>
        <w:pStyle w:val="Heading3"/>
        <w:rPr/>
      </w:pPr>
      <w:bookmarkStart w:colFirst="0" w:colLast="0" w:name="_heading=h.8etbippx4rby" w:id="36"/>
      <w:bookmarkEnd w:id="36"/>
      <w:r w:rsidDel="00000000" w:rsidR="00000000" w:rsidRPr="00000000">
        <w:rPr>
          <w:rtl w:val="0"/>
        </w:rPr>
        <w:t xml:space="preserve">Table 8: 1X Inactivation Saline Solution</w:t>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65"/>
        <w:gridCol w:w="4695"/>
        <w:tblGridChange w:id="0">
          <w:tblGrid>
            <w:gridCol w:w="4665"/>
            <w:gridCol w:w="4695"/>
          </w:tblGrid>
        </w:tblGridChange>
      </w:tblGrid>
      <w:tr>
        <w:tc>
          <w:tcPr>
            <w:shd w:fill="d9d9d9" w:val="clear"/>
            <w:tcMar>
              <w:top w:w="100.0" w:type="dxa"/>
              <w:left w:w="100.0" w:type="dxa"/>
              <w:bottom w:w="100.0" w:type="dxa"/>
              <w:right w:w="100.0" w:type="dxa"/>
            </w:tcMar>
            <w:vAlign w:val="center"/>
          </w:tcPr>
          <w:p w:rsidR="00000000" w:rsidDel="00000000" w:rsidP="00000000" w:rsidRDefault="00000000" w:rsidRPr="00000000" w14:paraId="0000011E">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Component</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11F">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120">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0.9% Saline (154 mM NaCl) in MilliQ Water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21">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 mL</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122">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100X Inactivation Solution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23">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mL</w:t>
            </w:r>
          </w:p>
        </w:tc>
      </w:tr>
      <w:tr>
        <w:tc>
          <w:tcPr>
            <w:shd w:fill="auto" w:val="clear"/>
            <w:tcMar>
              <w:top w:w="100.0" w:type="dxa"/>
              <w:left w:w="100.0" w:type="dxa"/>
              <w:bottom w:w="100.0" w:type="dxa"/>
              <w:right w:w="100.0" w:type="dxa"/>
            </w:tcMar>
            <w:vAlign w:val="center"/>
          </w:tcPr>
          <w:p w:rsidR="00000000" w:rsidDel="00000000" w:rsidP="00000000" w:rsidRDefault="00000000" w:rsidRPr="00000000" w14:paraId="00000124">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VOLUME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25">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1010 mL</w:t>
            </w:r>
          </w:p>
        </w:tc>
      </w:tr>
    </w:tbl>
    <w:p w:rsidR="00000000" w:rsidDel="00000000" w:rsidP="00000000" w:rsidRDefault="00000000" w:rsidRPr="00000000" w14:paraId="00000126">
      <w:pPr>
        <w:jc w:val="both"/>
        <w:rPr>
          <w:rFonts w:ascii="Open Sans" w:cs="Open Sans" w:eastAsia="Open Sans" w:hAnsi="Open Sans"/>
          <w:b w:val="1"/>
          <w:sz w:val="24"/>
          <w:szCs w:val="24"/>
        </w:rPr>
      </w:pPr>
      <w:r w:rsidDel="00000000" w:rsidR="00000000" w:rsidRPr="00000000">
        <w:rPr>
          <w:rtl w:val="0"/>
        </w:rPr>
      </w:r>
    </w:p>
    <w:sdt>
      <w:sdtPr>
        <w:tag w:val="goog_rdk_5"/>
      </w:sdtPr>
      <w:sdtContent>
        <w:p w:rsidR="00000000" w:rsidDel="00000000" w:rsidP="00000000" w:rsidRDefault="00000000" w:rsidRPr="00000000" w14:paraId="00000127">
          <w:pPr>
            <w:shd w:fill="ffffff" w:val="clear"/>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sz w:val="24"/>
              <w:szCs w:val="24"/>
              <w:rtl w:val="0"/>
            </w:rPr>
            <w:t xml:space="preserve">The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uses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color w:val="222222"/>
              <w:sz w:val="24"/>
              <w:szCs w:val="24"/>
              <w:rtl w:val="0"/>
            </w:rPr>
            <w:t xml:space="preserve">18 LAMP primers targeted for 3 different SARS-CoV-2 genes, with 6 primers for each target. Primer names and sequences are shown above in Table 1. All 18 primers are mixed together and input into a single amplification reaction. </w:t>
          </w:r>
        </w:p>
      </w:sdtContent>
    </w:sdt>
    <w:p w:rsidR="00000000" w:rsidDel="00000000" w:rsidP="00000000" w:rsidRDefault="00000000" w:rsidRPr="00000000" w14:paraId="00000128">
      <w:pPr>
        <w:shd w:fill="ffffff" w:val="clear"/>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129">
      <w:pPr>
        <w:shd w:fill="ffffff" w:val="clear"/>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Primers may be purchased from the vendor LGC Biosearch Technologies as 3 pre-blended sets, or the primers may be purchased as 18 individual custom oligos. Table 6 below lists the primer products to be ordered. </w:t>
      </w:r>
    </w:p>
    <w:p w:rsidR="00000000" w:rsidDel="00000000" w:rsidP="00000000" w:rsidRDefault="00000000" w:rsidRPr="00000000" w14:paraId="0000012A">
      <w:pPr>
        <w:shd w:fill="ffffff" w:val="clear"/>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12B">
      <w:pPr>
        <w:shd w:fill="ffffff" w:val="clear"/>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The LGC Biosearch primer products are provided already blended for each target (6 primers per tube) and dried such that upon resuspension with 1 mL of nuclease-free water, the primers for each target are at 30X concentration. One resuspended tube for each of the 3 targets (i.e. primer blends) are mixed together to yield a 3 mL total volume that contains all individual primers at 10X concentration. This 3 mL of 10X LAMP Primer Mix provides for 1,200 reactions at 2.5 µL per reaction.</w:t>
      </w:r>
    </w:p>
    <w:p w:rsidR="00000000" w:rsidDel="00000000" w:rsidP="00000000" w:rsidRDefault="00000000" w:rsidRPr="00000000" w14:paraId="0000012C">
      <w:pPr>
        <w:shd w:fill="ffffff" w:val="clear"/>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12D">
      <w:pPr>
        <w:shd w:fill="ffffff" w:val="clear"/>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Alternatively to the pre-blended LGC Biosearch products, primers may be purchased as individual custom oligos. Custom oligos may be blended to form 30X Primer Set Mixes as intermediates or all mixed together for the 10X LAMP Primer Mix. The FIP and BIP primers for each target require purification by HPLC or an equivalent process. Appropriate validation of primer mixes from custom oligos is required. Primers may be stored at 4°C for up to one month, or at -20°C for up to 1 year.</w:t>
      </w:r>
    </w:p>
    <w:sdt>
      <w:sdtPr>
        <w:tag w:val="goog_rdk_6"/>
      </w:sdtPr>
      <w:sdtContent>
        <w:p w:rsidR="00000000" w:rsidDel="00000000" w:rsidP="00000000" w:rsidRDefault="00000000" w:rsidRPr="00000000" w14:paraId="0000012E">
          <w:pPr>
            <w:shd w:fill="ffffff" w:val="clear"/>
            <w:rPr>
              <w:rFonts w:ascii="Times New Roman" w:cs="Times New Roman" w:eastAsia="Times New Roman" w:hAnsi="Times New Roman"/>
              <w:sz w:val="24"/>
              <w:szCs w:val="24"/>
            </w:rPr>
          </w:pPr>
          <w:r w:rsidDel="00000000" w:rsidR="00000000" w:rsidRPr="00000000">
            <w:rPr>
              <w:rtl w:val="0"/>
            </w:rPr>
          </w:r>
        </w:p>
      </w:sdtContent>
    </w:sdt>
    <w:p w:rsidR="00000000" w:rsidDel="00000000" w:rsidP="00000000" w:rsidRDefault="00000000" w:rsidRPr="00000000" w14:paraId="0000012F">
      <w:pPr>
        <w:shd w:fill="ffffff" w:val="clear"/>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130">
      <w:pPr>
        <w:pStyle w:val="Heading3"/>
        <w:rPr/>
      </w:pPr>
      <w:bookmarkStart w:colFirst="0" w:colLast="0" w:name="_heading=h.l1m4pb2w7466" w:id="37"/>
      <w:bookmarkEnd w:id="37"/>
      <w:r w:rsidDel="00000000" w:rsidR="00000000" w:rsidRPr="00000000">
        <w:br w:type="page"/>
      </w:r>
      <w:r w:rsidDel="00000000" w:rsidR="00000000" w:rsidRPr="00000000">
        <w:rPr>
          <w:rtl w:val="0"/>
        </w:rPr>
      </w:r>
    </w:p>
    <w:p w:rsidR="00000000" w:rsidDel="00000000" w:rsidP="00000000" w:rsidRDefault="00000000" w:rsidRPr="00000000" w14:paraId="00000131">
      <w:pPr>
        <w:pStyle w:val="Heading3"/>
        <w:rPr/>
      </w:pPr>
      <w:bookmarkStart w:colFirst="0" w:colLast="0" w:name="_heading=h.1n92kdrstx86" w:id="38"/>
      <w:bookmarkEnd w:id="38"/>
      <w:r w:rsidDel="00000000" w:rsidR="00000000" w:rsidRPr="00000000">
        <w:rPr>
          <w:rtl w:val="0"/>
        </w:rPr>
      </w:r>
    </w:p>
    <w:p w:rsidR="00000000" w:rsidDel="00000000" w:rsidP="00000000" w:rsidRDefault="00000000" w:rsidRPr="00000000" w14:paraId="00000132">
      <w:pPr>
        <w:pStyle w:val="Heading3"/>
        <w:rPr/>
      </w:pPr>
      <w:bookmarkStart w:colFirst="0" w:colLast="0" w:name="_heading=h.2l47i16ckpdd" w:id="39"/>
      <w:bookmarkEnd w:id="39"/>
      <w:r w:rsidDel="00000000" w:rsidR="00000000" w:rsidRPr="00000000">
        <w:rPr>
          <w:rtl w:val="0"/>
        </w:rPr>
        <w:t xml:space="preserve">Table 9: 10X LAMP Primer Mix Components</w:t>
      </w:r>
    </w:p>
    <w:tbl>
      <w:tblPr>
        <w:tblStyle w:val="Table9"/>
        <w:tblW w:w="96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40"/>
        <w:gridCol w:w="2175"/>
        <w:gridCol w:w="2310"/>
        <w:gridCol w:w="1530"/>
        <w:gridCol w:w="1845"/>
        <w:tblGridChange w:id="0">
          <w:tblGrid>
            <w:gridCol w:w="1740"/>
            <w:gridCol w:w="2175"/>
            <w:gridCol w:w="2310"/>
            <w:gridCol w:w="1530"/>
            <w:gridCol w:w="184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33">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Vendor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Item</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Catalog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Quantity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Reactions</w:t>
            </w:r>
          </w:p>
        </w:tc>
      </w:tr>
      <w:tr>
        <w:trPr>
          <w:trHeight w:val="420" w:hRule="atLeast"/>
        </w:trPr>
        <w:tc>
          <w:tcPr>
            <w:gridSpan w:val="5"/>
            <w:shd w:fill="d9d9d9" w:val="clear"/>
            <w:tcMar>
              <w:top w:w="100.0" w:type="dxa"/>
              <w:left w:w="100.0" w:type="dxa"/>
              <w:bottom w:w="100.0" w:type="dxa"/>
              <w:right w:w="100.0" w:type="dxa"/>
            </w:tcMar>
            <w:vAlign w:val="top"/>
          </w:tcPr>
          <w:p w:rsidR="00000000" w:rsidDel="00000000" w:rsidP="00000000" w:rsidRDefault="00000000" w:rsidRPr="00000000" w14:paraId="00000138">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Order one of the following primer sets</w:t>
            </w:r>
          </w:p>
        </w:tc>
      </w:tr>
      <w:tr>
        <w:trPr>
          <w:trHeight w:val="420" w:hRule="atLeast"/>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3D">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LGC Biosearch Technologies</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3E">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SARS-CoV-2 LAMP AS1e 6 primer set at 30X (ORF1ab gene)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F">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LAMP_S2-AS1e-48</w:t>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6-48 nmol</w:t>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1,200</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42">
            <w:pPr>
              <w:widowControl w:val="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LAMP_S2-AS1e-480</w:t>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60-480 nmol</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12,000</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47">
            <w:pPr>
              <w:widowControl w:val="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48">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SARS-CoV-2 LAMP N2 6 primer set at 30X (N gene)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LAMP_S2-N2-48</w:t>
            </w:r>
          </w:p>
        </w:tc>
        <w:tc>
          <w:tcPr>
            <w:shd w:fill="auto" w:val="clear"/>
            <w:tcMar>
              <w:top w:w="100.0" w:type="dxa"/>
              <w:left w:w="100.0" w:type="dxa"/>
              <w:bottom w:w="100.0" w:type="dxa"/>
              <w:right w:w="100.0" w:type="dxa"/>
            </w:tcMar>
            <w:vAlign w:val="top"/>
          </w:tcPr>
          <w:p w:rsidR="00000000" w:rsidDel="00000000" w:rsidP="00000000" w:rsidRDefault="00000000" w:rsidRPr="00000000" w14:paraId="0000014A">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6-48 nmol</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1,200</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LAMP_S2-N2-480</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60-480 nmol</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12,000</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51">
            <w:pPr>
              <w:widowControl w:val="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52">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SARS-CoV-2 LAMP E1 6 primer set at 30X (E gene)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LAMP_S2-E1-48</w:t>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6-48 nmol</w:t>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1,200</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56">
            <w:pPr>
              <w:widowControl w:val="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57">
            <w:pPr>
              <w:widowControl w:val="0"/>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LAMP_S2-E1-480</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60-480 nmol</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12,000</w:t>
            </w:r>
          </w:p>
        </w:tc>
      </w:tr>
      <w:tr>
        <w:trPr>
          <w:trHeight w:val="277.59999999999997" w:hRule="atLeast"/>
        </w:trPr>
        <w:tc>
          <w:tcPr>
            <w:vMerge w:val="restart"/>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5B">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LGC Biosearch Technologies, Eurofins Genomics, Integrated DNA Technologies, Sigma</w:t>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5C">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Orf1ab_FIP</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5D">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5E">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5F">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0">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1">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Orf1ab_BIP</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2">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3">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4">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327.978515625"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5">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6">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Orf1ab_F3</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7">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8">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9">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A">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B">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Orf1ab_B3</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C">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D">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E">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6F">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0">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Orf1ab_LF</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1">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2">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3">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4">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5">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Orf1ab_LB</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6">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7">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8">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9">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A">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N2_FIP</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B">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C">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D">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E">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7F">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N2_BIP</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0">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1">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2">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3">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4">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N2_F3</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5">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6">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7">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8">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9">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N2_B3</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A">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B">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C">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D">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E">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N2_LF</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8F">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0">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1">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2">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3">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N2_LB</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4">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5">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6">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7">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8">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E1_FIP</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9">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A">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B">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C">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D">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E1_BIP</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E">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9F">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0">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1">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2">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E1_F3</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3">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4">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5">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6">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7">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E1_B3</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8">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9">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A">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B">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C">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E1_LF</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D">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E">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AF">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r>
        <w:trPr>
          <w:trHeight w:val="277.59999999999997" w:hRule="atLeast"/>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B0">
            <w:pPr>
              <w:widowControl w:val="0"/>
              <w:rPr>
                <w:rFonts w:ascii="Times New Roman" w:cs="Times New Roman" w:eastAsia="Times New Roman" w:hAnsi="Times New Roman"/>
                <w:sz w:val="24"/>
                <w:szCs w:val="24"/>
              </w:rPr>
            </w:pPr>
            <w:r w:rsidDel="00000000" w:rsidR="00000000" w:rsidRPr="00000000">
              <w:rPr>
                <w:rtl w:val="0"/>
              </w:rPr>
            </w:r>
          </w:p>
        </w:tc>
        <w:tc>
          <w:tcP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B1">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E1_LB</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B2">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 Order</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B3">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nmol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B4">
            <w:pPr>
              <w:widowControl w:val="0"/>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25,000</w:t>
            </w:r>
          </w:p>
        </w:tc>
      </w:tr>
    </w:tbl>
    <w:p w:rsidR="00000000" w:rsidDel="00000000" w:rsidP="00000000" w:rsidRDefault="00000000" w:rsidRPr="00000000" w14:paraId="000001B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6">
      <w:pPr>
        <w:jc w:val="both"/>
        <w:rPr>
          <w:rFonts w:ascii="Times New Roman" w:cs="Times New Roman" w:eastAsia="Times New Roman" w:hAnsi="Times New Roman"/>
          <w:b w:val="1"/>
          <w:sz w:val="24"/>
          <w:szCs w:val="24"/>
        </w:rPr>
      </w:pPr>
      <w:r w:rsidDel="00000000" w:rsidR="00000000" w:rsidRPr="00000000">
        <w:rPr>
          <w:rtl w:val="0"/>
        </w:rPr>
      </w:r>
    </w:p>
    <w:sdt>
      <w:sdtPr>
        <w:tag w:val="goog_rdk_7"/>
      </w:sdtPr>
      <w:sdtContent>
        <w:p w:rsidR="00000000" w:rsidDel="00000000" w:rsidP="00000000" w:rsidRDefault="00000000" w:rsidRPr="00000000" w14:paraId="000001B7">
          <w:pPr>
            <w:pStyle w:val="Heading3"/>
            <w:spacing w:line="240" w:lineRule="auto"/>
            <w:ind w:left="0" w:firstLine="0"/>
            <w:rPr>
              <w:b w:val="0"/>
            </w:rPr>
          </w:pPr>
          <w:bookmarkStart w:colFirst="0" w:colLast="0" w:name="_heading=h.4utdg4cb94kp" w:id="40"/>
          <w:bookmarkEnd w:id="40"/>
          <w:r w:rsidDel="00000000" w:rsidR="00000000" w:rsidRPr="00000000">
            <w:rPr>
              <w:b w:val="0"/>
              <w:rtl w:val="0"/>
            </w:rPr>
            <w:t xml:space="preserve">The final Fluorimetric LAMP Amplification Reaction components are listed in Table 9. PCR plates or strip tubes used for the amplification reactions should be maintained on ice or a cold block until less than 5 minutes before incubation on the heater. Reaction plates/strip tubes comprising the Fluorimetric LAMP Amplification Reaction Solution may be prepared in advance, capped/sealed, and stored at -20°C for up to 1 day prior to addition of the sample. A heated plate sealer is recommended. Alternatively, a manually applied foil or optical seal may be used.</w:t>
          </w:r>
        </w:p>
      </w:sdtContent>
    </w:sdt>
    <w:p w:rsidR="00000000" w:rsidDel="00000000" w:rsidP="00000000" w:rsidRDefault="00000000" w:rsidRPr="00000000" w14:paraId="000001B8">
      <w:pPr>
        <w:pStyle w:val="Heading3"/>
        <w:spacing w:line="360" w:lineRule="auto"/>
        <w:ind w:left="0" w:firstLine="0"/>
        <w:jc w:val="both"/>
        <w:rPr/>
      </w:pPr>
      <w:bookmarkStart w:colFirst="0" w:colLast="0" w:name="_heading=h.m79bmjo2cb49" w:id="41"/>
      <w:bookmarkEnd w:id="41"/>
      <w:r w:rsidDel="00000000" w:rsidR="00000000" w:rsidRPr="00000000">
        <w:rPr>
          <w:rtl w:val="0"/>
        </w:rPr>
      </w:r>
    </w:p>
    <w:p w:rsidR="00000000" w:rsidDel="00000000" w:rsidP="00000000" w:rsidRDefault="00000000" w:rsidRPr="00000000" w14:paraId="000001B9">
      <w:pPr>
        <w:pStyle w:val="Heading3"/>
        <w:rPr/>
      </w:pPr>
      <w:bookmarkStart w:colFirst="0" w:colLast="0" w:name="_heading=h.df1wzuojuhk" w:id="42"/>
      <w:bookmarkEnd w:id="42"/>
      <w:r w:rsidDel="00000000" w:rsidR="00000000" w:rsidRPr="00000000">
        <w:rPr>
          <w:rtl w:val="0"/>
        </w:rPr>
        <w:t xml:space="preserve">Table 10: Fluorimetric LAMP Amplification Reaction</w:t>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1BA">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Component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BB">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 (1 reaction)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BC">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 (100 reactions)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BD">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10X LAMP Primer Mix</w:t>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1B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C0">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Nuclease Free Water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1C2">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750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C3">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Fluorimetric LAMP MM</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1250 µL</w:t>
            </w:r>
          </w:p>
        </w:tc>
      </w:tr>
      <w:tr>
        <w:trPr>
          <w:trHeight w:val="500.976562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1C6">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Fluorescent Dye</w:t>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C9">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SUBTOTAL VOLUME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23 µL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2300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CC">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Sample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1CE">
            <w:pPr>
              <w:widowControl w:val="0"/>
              <w:jc w:val="center"/>
              <w:rPr>
                <w:rFonts w:ascii="Times New Roman" w:cs="Times New Roman" w:eastAsia="Times New Roman" w:hAnsi="Times New Roman"/>
                <w:sz w:val="24"/>
                <w:szCs w:val="24"/>
              </w:rPr>
            </w:pPr>
            <w:r w:rsidDel="00000000" w:rsidR="00000000" w:rsidRPr="00000000">
              <w:rPr>
                <w:rtl w:val="0"/>
              </w:rPr>
            </w:r>
          </w:p>
        </w:tc>
      </w:tr>
      <w:tr>
        <w:trPr>
          <w:trHeight w:val="470.976562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1CF">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REACTION VOLUME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25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widowControl w:val="0"/>
              <w:jc w:val="center"/>
              <w:rPr>
                <w:rFonts w:ascii="Times New Roman" w:cs="Times New Roman" w:eastAsia="Times New Roman" w:hAnsi="Times New Roman"/>
                <w:b w:val="1"/>
                <w:sz w:val="24"/>
                <w:szCs w:val="24"/>
              </w:rPr>
            </w:pPr>
            <w:r w:rsidDel="00000000" w:rsidR="00000000" w:rsidRPr="00000000">
              <w:rPr>
                <w:rtl w:val="0"/>
              </w:rPr>
            </w:r>
          </w:p>
        </w:tc>
      </w:tr>
    </w:tbl>
    <w:p w:rsidR="00000000" w:rsidDel="00000000" w:rsidP="00000000" w:rsidRDefault="00000000" w:rsidRPr="00000000" w14:paraId="000001D2">
      <w:pPr>
        <w:jc w:val="both"/>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D3">
      <w:pPr>
        <w:spacing w:line="240" w:lineRule="auto"/>
        <w:jc w:val="both"/>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D4">
      <w:pPr>
        <w:spacing w:line="240" w:lineRule="auto"/>
        <w:ind w:left="720" w:firstLine="0"/>
        <w:rPr>
          <w:rFonts w:ascii="Times New Roman" w:cs="Times New Roman" w:eastAsia="Times New Roman" w:hAnsi="Times New Roman"/>
          <w:sz w:val="24"/>
          <w:szCs w:val="24"/>
        </w:rPr>
      </w:pPr>
      <w:bookmarkStart w:colFirst="0" w:colLast="0" w:name="_heading=h.4i7ojhp" w:id="43"/>
      <w:bookmarkEnd w:id="43"/>
      <w:r w:rsidDel="00000000" w:rsidR="00000000" w:rsidRPr="00000000">
        <w:br w:type="page"/>
      </w:r>
      <w:r w:rsidDel="00000000" w:rsidR="00000000" w:rsidRPr="00000000">
        <w:rPr>
          <w:rtl w:val="0"/>
        </w:rPr>
      </w:r>
    </w:p>
    <w:p w:rsidR="00000000" w:rsidDel="00000000" w:rsidP="00000000" w:rsidRDefault="00000000" w:rsidRPr="00000000" w14:paraId="000001D5">
      <w:pPr>
        <w:pStyle w:val="Heading2"/>
        <w:keepNext w:val="1"/>
        <w:spacing w:after="60" w:before="240" w:line="240" w:lineRule="auto"/>
        <w:ind w:left="0" w:firstLine="0"/>
        <w:rPr/>
      </w:pPr>
      <w:bookmarkStart w:colFirst="0" w:colLast="0" w:name="_heading=h.outdurt2vjy0" w:id="44"/>
      <w:bookmarkEnd w:id="44"/>
      <w:r w:rsidDel="00000000" w:rsidR="00000000" w:rsidRPr="00000000">
        <w:rPr>
          <w:u w:val="none"/>
          <w:rtl w:val="0"/>
        </w:rPr>
        <w:t xml:space="preserve">4)  </w:t>
      </w:r>
      <w:r w:rsidDel="00000000" w:rsidR="00000000" w:rsidRPr="00000000">
        <w:rPr>
          <w:b w:val="1"/>
          <w:rtl w:val="0"/>
        </w:rPr>
        <w:t xml:space="preserve"> </w:t>
      </w:r>
      <w:r w:rsidDel="00000000" w:rsidR="00000000" w:rsidRPr="00000000">
        <w:rPr>
          <w:rtl w:val="0"/>
        </w:rPr>
        <w:t xml:space="preserve">Software Validation:</w:t>
      </w:r>
    </w:p>
    <w:p w:rsidR="00000000" w:rsidDel="00000000" w:rsidP="00000000" w:rsidRDefault="00000000" w:rsidRPr="00000000" w14:paraId="000001D6">
      <w:pPr>
        <w:spacing w:after="160" w:lineRule="auto"/>
        <w:rPr>
          <w:rFonts w:ascii="Times New Roman" w:cs="Times New Roman" w:eastAsia="Times New Roman" w:hAnsi="Times New Roman"/>
          <w:b w:val="1"/>
          <w:i w:val="1"/>
          <w:sz w:val="24"/>
          <w:szCs w:val="24"/>
        </w:rPr>
      </w:pPr>
      <w:bookmarkStart w:colFirst="0" w:colLast="0" w:name="_heading=h.2xcytpi" w:id="45"/>
      <w:bookmarkEnd w:id="45"/>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has been validated on the RT-PCR instruments listed in Table 2 using the baseline threshold settings unless otherwise noted in the Instructions for Use. The test does not require any additional software.</w:t>
      </w:r>
      <w:r w:rsidDel="00000000" w:rsidR="00000000" w:rsidRPr="00000000">
        <w:rPr>
          <w:rtl w:val="0"/>
        </w:rPr>
      </w:r>
    </w:p>
    <w:p w:rsidR="00000000" w:rsidDel="00000000" w:rsidP="00000000" w:rsidRDefault="00000000" w:rsidRPr="00000000" w14:paraId="000001D7">
      <w:pPr>
        <w:pStyle w:val="Heading2"/>
        <w:keepNext w:val="1"/>
        <w:spacing w:after="60" w:before="40" w:line="276" w:lineRule="auto"/>
        <w:ind w:left="0" w:firstLine="0"/>
        <w:rPr/>
      </w:pPr>
      <w:bookmarkStart w:colFirst="0" w:colLast="0" w:name="_heading=h.npxzr6cexhk7" w:id="46"/>
      <w:bookmarkEnd w:id="46"/>
      <w:r w:rsidDel="00000000" w:rsidR="00000000" w:rsidRPr="00000000">
        <w:rPr>
          <w:u w:val="none"/>
          <w:rtl w:val="0"/>
        </w:rPr>
        <w:t xml:space="preserve">5)   </w:t>
      </w:r>
      <w:r w:rsidDel="00000000" w:rsidR="00000000" w:rsidRPr="00000000">
        <w:rPr>
          <w:rtl w:val="0"/>
        </w:rPr>
        <w:t xml:space="preserve">Testing Capabilities: </w:t>
      </w:r>
    </w:p>
    <w:p w:rsidR="00000000" w:rsidDel="00000000" w:rsidP="00000000" w:rsidRDefault="00000000" w:rsidRPr="00000000" w14:paraId="000001D8">
      <w:pPr>
        <w:spacing w:line="240" w:lineRule="auto"/>
        <w:ind w:left="0" w:firstLine="0"/>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has been optimized for a streamlined workflow and rapid turnaround time on results. The total time to perform the test is dependent upon the following factors: number of lab technicians, batch size of samples, and in advance preparation of reaction mixes </w:t>
      </w:r>
      <w:r w:rsidDel="00000000" w:rsidR="00000000" w:rsidRPr="00000000">
        <w:rPr>
          <w:rFonts w:ascii="Times New Roman" w:cs="Times New Roman" w:eastAsia="Times New Roman" w:hAnsi="Times New Roman"/>
          <w:sz w:val="24"/>
          <w:szCs w:val="24"/>
          <w:rtl w:val="0"/>
        </w:rPr>
        <w:t xml:space="preserve">as well as availability of RT-qPCR instruments</w:t>
      </w:r>
      <w:r w:rsidDel="00000000" w:rsidR="00000000" w:rsidRPr="00000000">
        <w:rPr>
          <w:rFonts w:ascii="Times New Roman" w:cs="Times New Roman" w:eastAsia="Times New Roman" w:hAnsi="Times New Roman"/>
          <w:sz w:val="24"/>
          <w:szCs w:val="24"/>
          <w:rtl w:val="0"/>
        </w:rPr>
        <w:t xml:space="preserve">. The minimum </w:t>
      </w:r>
      <w:r w:rsidDel="00000000" w:rsidR="00000000" w:rsidRPr="00000000">
        <w:rPr>
          <w:rFonts w:ascii="Times New Roman" w:cs="Times New Roman" w:eastAsia="Times New Roman" w:hAnsi="Times New Roman"/>
          <w:sz w:val="24"/>
          <w:szCs w:val="24"/>
          <w:rtl w:val="0"/>
        </w:rPr>
        <w:t xml:space="preserve">turnaround</w:t>
      </w:r>
      <w:r w:rsidDel="00000000" w:rsidR="00000000" w:rsidRPr="00000000">
        <w:rPr>
          <w:rFonts w:ascii="Times New Roman" w:cs="Times New Roman" w:eastAsia="Times New Roman" w:hAnsi="Times New Roman"/>
          <w:sz w:val="24"/>
          <w:szCs w:val="24"/>
          <w:rtl w:val="0"/>
        </w:rPr>
        <w:t xml:space="preserve"> time is approximately 1 hour, of which approximately 30 minutes is the RT-PCR instrument run time. Automation can greatly increase overall throughput.</w:t>
      </w:r>
      <w:r w:rsidDel="00000000" w:rsidR="00000000" w:rsidRPr="00000000">
        <w:rPr>
          <w:rtl w:val="0"/>
        </w:rPr>
      </w:r>
    </w:p>
    <w:p w:rsidR="00000000" w:rsidDel="00000000" w:rsidP="00000000" w:rsidRDefault="00000000" w:rsidRPr="00000000" w14:paraId="000001D9">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A">
      <w:pPr>
        <w:pStyle w:val="Heading2"/>
        <w:keepNext w:val="1"/>
        <w:spacing w:after="60" w:before="240" w:line="240" w:lineRule="auto"/>
        <w:ind w:left="0" w:firstLine="0"/>
        <w:rPr/>
      </w:pPr>
      <w:bookmarkStart w:colFirst="0" w:colLast="0" w:name="_heading=h.e6kra7vky7cs" w:id="47"/>
      <w:bookmarkEnd w:id="47"/>
      <w:r w:rsidDel="00000000" w:rsidR="00000000" w:rsidRPr="00000000">
        <w:rPr>
          <w:u w:val="none"/>
          <w:rtl w:val="0"/>
        </w:rPr>
        <w:t xml:space="preserve">6)   </w:t>
      </w:r>
      <w:r w:rsidDel="00000000" w:rsidR="00000000" w:rsidRPr="00000000">
        <w:rPr>
          <w:rtl w:val="0"/>
        </w:rPr>
        <w:t xml:space="preserve">Reagent Stability: </w:t>
      </w:r>
    </w:p>
    <w:p w:rsidR="00000000" w:rsidDel="00000000" w:rsidP="00000000" w:rsidRDefault="00000000" w:rsidRPr="00000000" w14:paraId="000001DB">
      <w:pPr>
        <w:spacing w:after="1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stability test plan for the components of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will be developed during an interactive review. Briefly, the proposed study includes assessing all prepared solutions including: 100X Inactivation Solution, 1X Inactivation Saline Solution, 30X Primer Stock, 10X Primer Mix, and the full Fluorimetric LAMP Amplification Reaction Mix. Prepared solutions will be assessed both for long term storage stability (typically 1-3 months at -20</w:t>
      </w:r>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 and short term storage stability prior to usage (typically hours to several days at room temperature, 4</w:t>
      </w:r>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 or -20</w:t>
      </w:r>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 </w:t>
      </w:r>
    </w:p>
    <w:p w:rsidR="00000000" w:rsidDel="00000000" w:rsidP="00000000" w:rsidRDefault="00000000" w:rsidRPr="00000000" w14:paraId="000001DC">
      <w:pPr>
        <w:spacing w:after="1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proposed study uses a contrived positive sample consisting of inactivated SARS-CoV-2 virus cell lysate (BEI NR-52287) spiked into negative specimens at approximately 50,000 copies/mL (4X LoD). The contrived positive stability study samples will be prepared, aliquoted and stored at -80</w:t>
      </w:r>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 to permit repeated testing of the various solutions at the appropriate step of the test protocol.</w:t>
      </w:r>
      <w:r w:rsidDel="00000000" w:rsidR="00000000" w:rsidRPr="00000000">
        <w:rPr>
          <w:rtl w:val="0"/>
        </w:rPr>
      </w:r>
    </w:p>
    <w:p w:rsidR="00000000" w:rsidDel="00000000" w:rsidP="00000000" w:rsidRDefault="00000000" w:rsidRPr="00000000" w14:paraId="000001DD">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test components supplied by vendors, such as the Fluorimetric LAMP Kit, the manufacturer's recommended storage conditions and duration will be followed.</w:t>
      </w:r>
    </w:p>
    <w:p w:rsidR="00000000" w:rsidDel="00000000" w:rsidP="00000000" w:rsidRDefault="00000000" w:rsidRPr="00000000" w14:paraId="000001DE">
      <w:pPr>
        <w:pStyle w:val="Heading2"/>
        <w:keepNext w:val="1"/>
        <w:spacing w:after="60" w:before="240" w:line="240" w:lineRule="auto"/>
        <w:ind w:left="0" w:firstLine="0"/>
        <w:rPr/>
      </w:pPr>
      <w:bookmarkStart w:colFirst="0" w:colLast="0" w:name="_heading=h.8482ak2bhwg9" w:id="48"/>
      <w:bookmarkEnd w:id="48"/>
      <w:r w:rsidDel="00000000" w:rsidR="00000000" w:rsidRPr="00000000">
        <w:rPr>
          <w:u w:val="none"/>
          <w:rtl w:val="0"/>
        </w:rPr>
        <w:t xml:space="preserve">7)   </w:t>
      </w:r>
      <w:r w:rsidDel="00000000" w:rsidR="00000000" w:rsidRPr="00000000">
        <w:rPr>
          <w:rtl w:val="0"/>
        </w:rPr>
        <w:t xml:space="preserve">Sample Stability:</w:t>
      </w:r>
    </w:p>
    <w:p w:rsidR="00000000" w:rsidDel="00000000" w:rsidP="00000000" w:rsidRDefault="00000000" w:rsidRPr="00000000" w14:paraId="000001DF">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Amies.</w:t>
      </w:r>
    </w:p>
    <w:p w:rsidR="00000000" w:rsidDel="00000000" w:rsidP="00000000" w:rsidRDefault="00000000" w:rsidRPr="00000000" w14:paraId="000001E0">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refer to Interim Guidelines for Collecting, Handling, and Testing Clinical Specimens for COVID-19: </w:t>
      </w:r>
      <w:hyperlink r:id="rId9">
        <w:r w:rsidDel="00000000" w:rsidR="00000000" w:rsidRPr="00000000">
          <w:rPr>
            <w:rFonts w:ascii="Times New Roman" w:cs="Times New Roman" w:eastAsia="Times New Roman" w:hAnsi="Times New Roman"/>
            <w:color w:val="1155cc"/>
            <w:sz w:val="24"/>
            <w:szCs w:val="24"/>
            <w:u w:val="single"/>
            <w:rtl w:val="0"/>
          </w:rPr>
          <w:t xml:space="preserve">www.cdc.gov/coronavirus/2019-ncov/lab/guidelines-clinical-specimens.html</w:t>
        </w:r>
      </w:hyperlink>
      <w:r w:rsidDel="00000000" w:rsidR="00000000" w:rsidRPr="00000000">
        <w:rPr>
          <w:rtl w:val="0"/>
        </w:rPr>
      </w:r>
    </w:p>
    <w:p w:rsidR="00000000" w:rsidDel="00000000" w:rsidP="00000000" w:rsidRDefault="00000000" w:rsidRPr="00000000" w14:paraId="000001E1">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stability study of the nasal swab sample transported in saline has been conducted by Quantigen Biosciences, with support from The Gates Foundation and UnitedHealth Group. Quantigen Biosciences has granted a right of reference to any sponsor wishing to pursue an EUA to leverage their COVID-19 swab stability data as part of that sponsor’s EUA request.</w:t>
      </w:r>
    </w:p>
    <w:p w:rsidR="00000000" w:rsidDel="00000000" w:rsidP="00000000" w:rsidRDefault="00000000" w:rsidRPr="00000000" w14:paraId="000001E2">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sdt>
        <w:sdtPr>
          <w:tag w:val="goog_rdk_8"/>
        </w:sdtPr>
        <w:sdtContent>
          <w:r w:rsidDel="00000000" w:rsidR="00000000" w:rsidRPr="00000000">
            <w:rPr>
              <w:rFonts w:ascii="Gungsuh" w:cs="Gungsuh" w:eastAsia="Gungsuh" w:hAnsi="Gungsuh"/>
              <w:sz w:val="24"/>
              <w:szCs w:val="24"/>
              <w:rtl w:val="0"/>
            </w:rPr>
            <w:t xml:space="preserve">Samples can be stored at room temperature for 56 hours after collection prior to inactivation. For longer term storage, samples can be stored at ≤-70</w:t>
          </w:r>
        </w:sdtContent>
      </w:sdt>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w:t>
      </w:r>
    </w:p>
    <w:p w:rsidR="00000000" w:rsidDel="00000000" w:rsidP="00000000" w:rsidRDefault="00000000" w:rsidRPr="00000000" w14:paraId="000001E3">
      <w:pPr>
        <w:pStyle w:val="Heading1"/>
        <w:rPr/>
      </w:pPr>
      <w:bookmarkStart w:colFirst="0" w:colLast="0" w:name="_heading=h.cep3evkytf6c" w:id="49"/>
      <w:bookmarkEnd w:id="49"/>
      <w:r w:rsidDel="00000000" w:rsidR="00000000" w:rsidRPr="00000000">
        <w:rPr>
          <w:rtl w:val="0"/>
        </w:rPr>
        <w:t xml:space="preserve">J. PERFORMANCE EVALUATION</w:t>
      </w:r>
    </w:p>
    <w:p w:rsidR="00000000" w:rsidDel="00000000" w:rsidP="00000000" w:rsidRDefault="00000000" w:rsidRPr="00000000" w14:paraId="000001E4">
      <w:pPr>
        <w:pStyle w:val="Heading2"/>
        <w:keepNext w:val="1"/>
        <w:spacing w:after="60" w:before="240" w:line="240" w:lineRule="auto"/>
        <w:ind w:left="0" w:firstLine="0"/>
        <w:rPr>
          <w:rFonts w:ascii="Times New Roman" w:cs="Times New Roman" w:eastAsia="Times New Roman" w:hAnsi="Times New Roman"/>
          <w:sz w:val="24"/>
          <w:szCs w:val="24"/>
          <w:u w:val="single"/>
        </w:rPr>
      </w:pPr>
      <w:bookmarkStart w:colFirst="0" w:colLast="0" w:name="_heading=h.pgvcpzi0hhs4" w:id="50"/>
      <w:bookmarkEnd w:id="50"/>
      <w:r w:rsidDel="00000000" w:rsidR="00000000" w:rsidRPr="00000000">
        <w:rPr>
          <w:u w:val="none"/>
          <w:rtl w:val="0"/>
        </w:rPr>
        <w:t xml:space="preserve">1)   </w:t>
      </w:r>
      <w:r w:rsidDel="00000000" w:rsidR="00000000" w:rsidRPr="00000000">
        <w:rPr>
          <w:rtl w:val="0"/>
        </w:rPr>
        <w:t xml:space="preserve">Limit of Detection (LoD) - Analytical Sensitivity:</w:t>
      </w:r>
      <w:r w:rsidDel="00000000" w:rsidR="00000000" w:rsidRPr="00000000">
        <w:rPr>
          <w:rtl w:val="0"/>
        </w:rPr>
      </w:r>
    </w:p>
    <w:p w:rsidR="00000000" w:rsidDel="00000000" w:rsidP="00000000" w:rsidRDefault="00000000" w:rsidRPr="00000000" w14:paraId="000001E5">
      <w:pPr>
        <w:spacing w:line="240" w:lineRule="auto"/>
        <w:ind w:left="0" w:firstLine="0"/>
        <w:rPr>
          <w:rFonts w:ascii="Times New Roman" w:cs="Times New Roman" w:eastAsia="Times New Roman" w:hAnsi="Times New Roman"/>
          <w:sz w:val="24"/>
          <w:szCs w:val="24"/>
        </w:rPr>
      </w:pPr>
      <w:bookmarkStart w:colFirst="0" w:colLast="0" w:name="_heading=h.1ci93xb" w:id="51"/>
      <w:bookmarkEnd w:id="51"/>
      <w:r w:rsidDel="00000000" w:rsidR="00000000" w:rsidRPr="00000000">
        <w:rPr>
          <w:rFonts w:ascii="Times New Roman" w:cs="Times New Roman" w:eastAsia="Times New Roman" w:hAnsi="Times New Roman"/>
          <w:sz w:val="24"/>
          <w:szCs w:val="24"/>
          <w:rtl w:val="0"/>
        </w:rPr>
        <w:t xml:space="preserve">The Limit of Detection (LoD) for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 </w:t>
      </w:r>
      <w:r w:rsidDel="00000000" w:rsidR="00000000" w:rsidRPr="00000000">
        <w:rPr>
          <w:rFonts w:ascii="Times New Roman" w:cs="Times New Roman" w:eastAsia="Times New Roman" w:hAnsi="Times New Roman"/>
          <w:sz w:val="24"/>
          <w:szCs w:val="24"/>
          <w:rtl w:val="0"/>
        </w:rPr>
        <w:t xml:space="preserve">was established using gamma irradiated SARS-CoV-2 virus cell lysate (BEI NR-52287) spiked into negative real specimens. The negative specimens were confirmed by PCR using the CDC primers. The gamma irradiated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LOD study. A preliminary LOD run was performed using the concentrations ranging from 100,000 copies/mL to 3,100 copies/mL. Concentrations of 50,000, 25,000 and 12,500 copies/mL  were selected for confirmatory LOD runs. LOD run details are provided in Supporting Data, with the results summarized below in Table 10. The LOD, defined as the concentration at which at least 95% of the samples are positive, was determined at 50,000 copies/mL.</w:t>
      </w:r>
    </w:p>
    <w:p w:rsidR="00000000" w:rsidDel="00000000" w:rsidP="00000000" w:rsidRDefault="00000000" w:rsidRPr="00000000" w14:paraId="000001E6">
      <w:pPr>
        <w:spacing w:line="240" w:lineRule="auto"/>
        <w:ind w:left="0" w:firstLine="0"/>
        <w:rPr>
          <w:rFonts w:ascii="Times New Roman" w:cs="Times New Roman" w:eastAsia="Times New Roman" w:hAnsi="Times New Roman"/>
          <w:sz w:val="24"/>
          <w:szCs w:val="24"/>
        </w:rPr>
      </w:pPr>
      <w:bookmarkStart w:colFirst="0" w:colLast="0" w:name="_heading=h.3byeswf80z1v" w:id="52"/>
      <w:bookmarkEnd w:id="52"/>
      <w:r w:rsidDel="00000000" w:rsidR="00000000" w:rsidRPr="00000000">
        <w:rPr>
          <w:rtl w:val="0"/>
        </w:rPr>
      </w:r>
    </w:p>
    <w:p w:rsidR="00000000" w:rsidDel="00000000" w:rsidP="00000000" w:rsidRDefault="00000000" w:rsidRPr="00000000" w14:paraId="000001E7">
      <w:pPr>
        <w:pStyle w:val="Heading3"/>
        <w:rPr/>
      </w:pPr>
      <w:bookmarkStart w:colFirst="0" w:colLast="0" w:name="_heading=h.l0l0lr1uq5cm" w:id="53"/>
      <w:bookmarkEnd w:id="53"/>
      <w:r w:rsidDel="00000000" w:rsidR="00000000" w:rsidRPr="00000000">
        <w:rPr>
          <w:rtl w:val="0"/>
        </w:rPr>
        <w:t xml:space="preserve">Table 11: Confirmatory </w:t>
      </w:r>
      <w:r w:rsidDel="00000000" w:rsidR="00000000" w:rsidRPr="00000000">
        <w:rPr>
          <w:rtl w:val="0"/>
        </w:rPr>
        <w:t xml:space="preserve">LOD</w:t>
      </w:r>
      <w:r w:rsidDel="00000000" w:rsidR="00000000" w:rsidRPr="00000000">
        <w:rPr>
          <w:rtl w:val="0"/>
        </w:rPr>
        <w:t xml:space="preserve"> Data Results</w:t>
      </w:r>
    </w:p>
    <w:tbl>
      <w:tblPr>
        <w:tblStyle w:val="Table11"/>
        <w:tblW w:w="9360.0" w:type="dxa"/>
        <w:jc w:val="left"/>
        <w:tblInd w:w="1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80"/>
        <w:gridCol w:w="1995"/>
        <w:gridCol w:w="2160"/>
        <w:gridCol w:w="2625"/>
        <w:tblGridChange w:id="0">
          <w:tblGrid>
            <w:gridCol w:w="2580"/>
            <w:gridCol w:w="1995"/>
            <w:gridCol w:w="2160"/>
            <w:gridCol w:w="2625"/>
          </w:tblGrid>
        </w:tblGridChange>
      </w:tblGrid>
      <w:tr>
        <w:trPr>
          <w:trHeight w:val="440" w:hRule="atLeast"/>
        </w:trPr>
        <w:tc>
          <w:tcPr>
            <w:shd w:fill="d9d9d9" w:val="clear"/>
          </w:tcPr>
          <w:p w:rsidR="00000000" w:rsidDel="00000000" w:rsidP="00000000" w:rsidRDefault="00000000" w:rsidRPr="00000000" w14:paraId="000001E8">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Instrument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E9">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LOD</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EA">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Positive Replicates</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EB">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Mean Ct Value (SD)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EC">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ABI QuantStudio 7 Pro</w:t>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 (20/21)</w:t>
            </w:r>
          </w:p>
        </w:tc>
        <w:tc>
          <w:tcPr>
            <w:shd w:fill="auto" w:val="clear"/>
            <w:tcMar>
              <w:top w:w="100.0" w:type="dxa"/>
              <w:left w:w="100.0" w:type="dxa"/>
              <w:bottom w:w="100.0" w:type="dxa"/>
              <w:right w:w="100.0" w:type="dxa"/>
            </w:tcMar>
            <w:vAlign w:val="top"/>
          </w:tcPr>
          <w:p w:rsidR="00000000" w:rsidDel="00000000" w:rsidP="00000000" w:rsidRDefault="00000000" w:rsidRPr="00000000" w14:paraId="000001E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11.9 (1.5)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F0">
            <w:pPr>
              <w:widowControl w:val="0"/>
              <w:rPr>
                <w:rFonts w:ascii="Times New Roman" w:cs="Times New Roman" w:eastAsia="Times New Roman" w:hAnsi="Times New Roman"/>
                <w:sz w:val="24"/>
                <w:szCs w:val="24"/>
              </w:rPr>
            </w:pPr>
            <w:sdt>
              <w:sdtPr>
                <w:tag w:val="goog_rdk_9"/>
              </w:sdtPr>
              <w:sdtContent>
                <w:commentRangeStart w:id="2"/>
              </w:sdtContent>
            </w:sdt>
            <w:r w:rsidDel="00000000" w:rsidR="00000000" w:rsidRPr="00000000">
              <w:rPr>
                <w:rFonts w:ascii="Times New Roman" w:cs="Times New Roman" w:eastAsia="Times New Roman" w:hAnsi="Times New Roman"/>
                <w:sz w:val="24"/>
                <w:szCs w:val="24"/>
                <w:rtl w:val="0"/>
              </w:rPr>
              <w:t xml:space="preserve">Bio-Rad CFX96</w:t>
            </w:r>
            <w:commentRangeEnd w:id="2"/>
            <w:r w:rsidDel="00000000" w:rsidR="00000000" w:rsidRPr="00000000">
              <w:commentReference w:id="2"/>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jc w:val="center"/>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widowControl w:val="0"/>
              <w:jc w:val="center"/>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3">
            <w:pPr>
              <w:widowControl w:val="0"/>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1F4">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5">
      <w:pPr>
        <w:pStyle w:val="Heading2"/>
        <w:keepNext w:val="1"/>
        <w:spacing w:after="60" w:before="240" w:line="240" w:lineRule="auto"/>
        <w:ind w:left="0" w:firstLine="0"/>
        <w:rPr/>
      </w:pPr>
      <w:bookmarkStart w:colFirst="0" w:colLast="0" w:name="_heading=h.6c7sjyu9iysp" w:id="54"/>
      <w:bookmarkEnd w:id="54"/>
      <w:r w:rsidDel="00000000" w:rsidR="00000000" w:rsidRPr="00000000">
        <w:rPr>
          <w:u w:val="none"/>
          <w:rtl w:val="0"/>
        </w:rPr>
        <w:t xml:space="preserve">2)   </w:t>
      </w:r>
      <w:r w:rsidDel="00000000" w:rsidR="00000000" w:rsidRPr="00000000">
        <w:rPr>
          <w:rtl w:val="0"/>
        </w:rPr>
        <w:t xml:space="preserve">Inclusivity (analytical sensitivity): </w:t>
      </w:r>
    </w:p>
    <w:p w:rsidR="00000000" w:rsidDel="00000000" w:rsidP="00000000" w:rsidRDefault="00000000" w:rsidRPr="00000000" w14:paraId="000001F6">
      <w:pPr>
        <w:rPr>
          <w:rFonts w:ascii="Times New Roman" w:cs="Times New Roman" w:eastAsia="Times New Roman" w:hAnsi="Times New Roman"/>
          <w:sz w:val="24"/>
          <w:szCs w:val="24"/>
        </w:rPr>
      </w:pPr>
      <w:bookmarkStart w:colFirst="0" w:colLast="0" w:name="_heading=h.o01bgr4uz3dg" w:id="55"/>
      <w:bookmarkEnd w:id="55"/>
      <w:r w:rsidDel="00000000" w:rsidR="00000000" w:rsidRPr="00000000">
        <w:rPr>
          <w:rFonts w:ascii="Times New Roman" w:cs="Times New Roman" w:eastAsia="Times New Roman" w:hAnsi="Times New Roman"/>
          <w:sz w:val="24"/>
          <w:szCs w:val="24"/>
          <w:rtl w:val="0"/>
        </w:rPr>
        <w:t xml:space="preserve">An inclusivity study was conducted for the ORF1ab, N2, and E1 primer sets against all complete, high coverage SARS-CoV-2 sequences deposited at GISAID as of February 27, 2021. Table 11 summarizes the results of this in silico inclusivity analysis. A total of 498,224 sequences were considered. There are 10 sequence isolates that have 1mm to both As1e and E1 and had N2 excluded due to greater than 15 N's, with the other 498,214 sequence isolates all have at least 1 target region that is a complete match.</w:t>
      </w:r>
    </w:p>
    <w:p w:rsidR="00000000" w:rsidDel="00000000" w:rsidP="00000000" w:rsidRDefault="00000000" w:rsidRPr="00000000" w14:paraId="000001F7">
      <w:pPr>
        <w:rPr>
          <w:rFonts w:ascii="Times New Roman" w:cs="Times New Roman" w:eastAsia="Times New Roman" w:hAnsi="Times New Roman"/>
          <w:sz w:val="24"/>
          <w:szCs w:val="24"/>
        </w:rPr>
      </w:pPr>
      <w:bookmarkStart w:colFirst="0" w:colLast="0" w:name="_heading=h.ykkj18gnvwso" w:id="56"/>
      <w:bookmarkEnd w:id="56"/>
      <w:r w:rsidDel="00000000" w:rsidR="00000000" w:rsidRPr="00000000">
        <w:rPr>
          <w:rtl w:val="0"/>
        </w:rPr>
      </w:r>
    </w:p>
    <w:p w:rsidR="00000000" w:rsidDel="00000000" w:rsidP="00000000" w:rsidRDefault="00000000" w:rsidRPr="00000000" w14:paraId="000001F8">
      <w:pPr>
        <w:rPr>
          <w:rFonts w:ascii="Times New Roman" w:cs="Times New Roman" w:eastAsia="Times New Roman" w:hAnsi="Times New Roman"/>
          <w:sz w:val="24"/>
          <w:szCs w:val="24"/>
        </w:rPr>
      </w:pPr>
      <w:bookmarkStart w:colFirst="0" w:colLast="0" w:name="_heading=h.f36657ms4g8i" w:id="57"/>
      <w:bookmarkEnd w:id="57"/>
      <w:r w:rsidDel="00000000" w:rsidR="00000000" w:rsidRPr="00000000">
        <w:rPr>
          <w:rFonts w:ascii="Times New Roman" w:cs="Times New Roman" w:eastAsia="Times New Roman" w:hAnsi="Times New Roman"/>
          <w:sz w:val="24"/>
          <w:szCs w:val="24"/>
          <w:rtl w:val="0"/>
        </w:rPr>
        <w:t xml:space="preserve">Each primer set matched at 100% similarity against the SARS-CoV-2 RefSeq reference genome (Wuhan-Hu-1; NC_045512.1). All three primer sets differed by one or fewer mutations for 99.7% of GISAID sequences, indicating nominal primer hybridization for all SARS-CoV-2 variants under consideration.</w:t>
        <w:tab/>
      </w:r>
      <w:r w:rsidDel="00000000" w:rsidR="00000000" w:rsidRPr="00000000">
        <w:rPr>
          <w:rtl w:val="0"/>
        </w:rPr>
      </w:r>
    </w:p>
    <w:p w:rsidR="00000000" w:rsidDel="00000000" w:rsidP="00000000" w:rsidRDefault="00000000" w:rsidRPr="00000000" w14:paraId="000001F9">
      <w:pPr>
        <w:spacing w:line="276"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A">
      <w:pPr>
        <w:pStyle w:val="Heading3"/>
        <w:rPr/>
      </w:pPr>
      <w:bookmarkStart w:colFirst="0" w:colLast="0" w:name="_heading=h.d6wwbinmstxb" w:id="58"/>
      <w:bookmarkEnd w:id="58"/>
      <w:r w:rsidDel="00000000" w:rsidR="00000000" w:rsidRPr="00000000">
        <w:rPr>
          <w:rtl w:val="0"/>
        </w:rPr>
        <w:t xml:space="preserve">Table 12: </w:t>
      </w:r>
      <w:r w:rsidDel="00000000" w:rsidR="00000000" w:rsidRPr="00000000">
        <w:rPr>
          <w:i w:val="1"/>
          <w:rtl w:val="0"/>
        </w:rPr>
        <w:t xml:space="preserve">In Silico</w:t>
      </w:r>
      <w:r w:rsidDel="00000000" w:rsidR="00000000" w:rsidRPr="00000000">
        <w:rPr>
          <w:rtl w:val="0"/>
        </w:rPr>
        <w:t xml:space="preserve"> Inclusivity Analysis for LAMP Primers</w:t>
      </w:r>
    </w:p>
    <w:tbl>
      <w:tblPr>
        <w:tblStyle w:val="Table12"/>
        <w:tblW w:w="9390.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750"/>
        <w:gridCol w:w="1125"/>
        <w:gridCol w:w="780"/>
        <w:gridCol w:w="1110"/>
        <w:gridCol w:w="795"/>
        <w:gridCol w:w="990"/>
        <w:gridCol w:w="840"/>
        <w:tblGridChange w:id="0">
          <w:tblGrid>
            <w:gridCol w:w="3750"/>
            <w:gridCol w:w="1125"/>
            <w:gridCol w:w="780"/>
            <w:gridCol w:w="1110"/>
            <w:gridCol w:w="795"/>
            <w:gridCol w:w="990"/>
            <w:gridCol w:w="840"/>
          </w:tblGrid>
        </w:tblGridChange>
      </w:tblGrid>
      <w:tr>
        <w:trPr>
          <w:trHeight w:val="315" w:hRule="atLeast"/>
        </w:trPr>
        <w:tc>
          <w:tcPr>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1FB">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Primer</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1FC">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AS1e </w:t>
            </w:r>
          </w:p>
          <w:p w:rsidR="00000000" w:rsidDel="00000000" w:rsidP="00000000" w:rsidRDefault="00000000" w:rsidRPr="00000000" w14:paraId="000001FD">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(ORF1ab gene)</w:t>
            </w:r>
            <w:r w:rsidDel="00000000" w:rsidR="00000000" w:rsidRPr="00000000">
              <w:rPr>
                <w:rtl w:val="0"/>
              </w:rPr>
            </w:r>
          </w:p>
        </w:tc>
        <w:tc>
          <w:tcPr>
            <w:gridSpan w:val="2"/>
            <w:tcBorders>
              <w:top w:color="000000"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1FF">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N2 </w:t>
            </w:r>
          </w:p>
          <w:p w:rsidR="00000000" w:rsidDel="00000000" w:rsidP="00000000" w:rsidRDefault="00000000" w:rsidRPr="00000000" w14:paraId="00000200">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 gene)</w:t>
            </w:r>
            <w:r w:rsidDel="00000000" w:rsidR="00000000" w:rsidRPr="00000000">
              <w:rPr>
                <w:rtl w:val="0"/>
              </w:rPr>
            </w:r>
          </w:p>
        </w:tc>
        <w:tc>
          <w:tcPr>
            <w:gridSpan w:val="2"/>
            <w:tcBorders>
              <w:top w:color="000000"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02">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E1 </w:t>
            </w:r>
          </w:p>
          <w:p w:rsidR="00000000" w:rsidDel="00000000" w:rsidP="00000000" w:rsidRDefault="00000000" w:rsidRPr="00000000" w14:paraId="00000203">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 gene)</w:t>
            </w:r>
            <w:r w:rsidDel="00000000" w:rsidR="00000000" w:rsidRPr="00000000">
              <w:rPr>
                <w:rtl w:val="0"/>
              </w:rPr>
            </w:r>
          </w:p>
        </w:tc>
      </w:tr>
      <w:tr>
        <w:trPr>
          <w:trHeight w:val="315" w:hRule="atLeast"/>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05">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Total Primer Length</w:t>
            </w:r>
            <w:r w:rsidDel="00000000" w:rsidR="00000000" w:rsidRPr="00000000">
              <w:rPr>
                <w:rtl w:val="0"/>
              </w:rPr>
            </w:r>
          </w:p>
        </w:tc>
        <w:tc>
          <w:tcPr>
            <w:gridSpan w:val="2"/>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06">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195</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08">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169</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0A">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168</w:t>
            </w:r>
          </w:p>
        </w:tc>
      </w:tr>
      <w:tr>
        <w:trPr>
          <w:trHeight w:val="315" w:hRule="atLeast"/>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0C">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Total Number of Strains Evaluated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0D">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0E">
            <w:pPr>
              <w:widowControl w:val="0"/>
              <w:spacing w:line="276"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0F">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0">
            <w:pPr>
              <w:widowControl w:val="0"/>
              <w:spacing w:line="276"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1">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2">
            <w:pPr>
              <w:widowControl w:val="0"/>
              <w:spacing w:line="276" w:lineRule="auto"/>
              <w:rPr>
                <w:rFonts w:ascii="Times New Roman" w:cs="Times New Roman" w:eastAsia="Times New Roman" w:hAnsi="Times New Roman"/>
                <w:sz w:val="24"/>
                <w:szCs w:val="24"/>
              </w:rPr>
            </w:pPr>
            <w:r w:rsidDel="00000000" w:rsidR="00000000" w:rsidRPr="00000000">
              <w:rPr>
                <w:rtl w:val="0"/>
              </w:rPr>
            </w:r>
          </w:p>
        </w:tc>
      </w:tr>
      <w:tr>
        <w:trPr>
          <w:trHeight w:val="315" w:hRule="atLeast"/>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13">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100% Match</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4">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474,717</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5">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6">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479,548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7">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8">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462,538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9">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92.8%</w:t>
            </w:r>
          </w:p>
        </w:tc>
      </w:tr>
      <w:tr>
        <w:trPr>
          <w:trHeight w:val="315" w:hRule="atLeast"/>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1A">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 Mismatch</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B">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19,301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C">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D">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15,698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E">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1F">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30,626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0">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w:t>
            </w:r>
          </w:p>
        </w:tc>
      </w:tr>
      <w:tr>
        <w:trPr>
          <w:trHeight w:val="315" w:hRule="atLeast"/>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21">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 Mismatches</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2">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3">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4">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5">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6">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1,455</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7">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w:t>
            </w:r>
          </w:p>
        </w:tc>
      </w:tr>
      <w:tr>
        <w:trPr>
          <w:trHeight w:val="315" w:hRule="atLeast"/>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28">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3 Mismatches</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9">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A">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B">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C">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D">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2E">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w:t>
            </w:r>
          </w:p>
        </w:tc>
      </w:tr>
      <w:tr>
        <w:trPr>
          <w:trHeight w:val="315" w:hRule="atLeast"/>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2F">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&gt; 3 Mismatches</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0">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1">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2">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3">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4">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5">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w:t>
            </w:r>
          </w:p>
        </w:tc>
      </w:tr>
      <w:tr>
        <w:trPr>
          <w:trHeight w:val="315" w:hRule="atLeast"/>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36">
            <w:pPr>
              <w:widowControl w:val="0"/>
              <w:spacing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Strains Removed</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7">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3,859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8">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9">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2,812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A">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B">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3C">
            <w:pPr>
              <w:widowControl w:val="0"/>
              <w:spacing w:line="276"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w:t>
            </w:r>
          </w:p>
        </w:tc>
      </w:tr>
    </w:tbl>
    <w:p w:rsidR="00000000" w:rsidDel="00000000" w:rsidP="00000000" w:rsidRDefault="00000000" w:rsidRPr="00000000" w14:paraId="0000023D">
      <w:pPr>
        <w:spacing w:line="276"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E">
      <w:pPr>
        <w:pStyle w:val="Heading2"/>
        <w:ind w:left="0" w:firstLine="0"/>
        <w:rPr>
          <w:b w:val="1"/>
        </w:rPr>
      </w:pPr>
      <w:bookmarkStart w:colFirst="0" w:colLast="0" w:name="_heading=h.hylqdra15k0e" w:id="59"/>
      <w:bookmarkEnd w:id="59"/>
      <w:r w:rsidDel="00000000" w:rsidR="00000000" w:rsidRPr="00000000">
        <w:rPr>
          <w:rtl w:val="0"/>
        </w:rPr>
        <w:t xml:space="preserve">E</w:t>
      </w:r>
      <w:r w:rsidDel="00000000" w:rsidR="00000000" w:rsidRPr="00000000">
        <w:rPr>
          <w:b w:val="1"/>
          <w:rtl w:val="0"/>
        </w:rPr>
        <w:t xml:space="preserve">valuation of Impact of Viral Mutations</w:t>
      </w:r>
    </w:p>
    <w:p w:rsidR="00000000" w:rsidDel="00000000" w:rsidP="00000000" w:rsidRDefault="00000000" w:rsidRPr="00000000" w14:paraId="000002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As1e, E1 and N2 primer regions of all SARS-CoV-2 genomes present in GISAID as of 2/26/2021 were evaluated to assess the potential impact of genomic variants on LAMP primer binding. This analysis was performed with the Primer Monitoring Tool from New England Biolabs (</w:t>
      </w:r>
      <w:hyperlink r:id="rId10">
        <w:r w:rsidDel="00000000" w:rsidR="00000000" w:rsidRPr="00000000">
          <w:rPr>
            <w:rFonts w:ascii="Times New Roman" w:cs="Times New Roman" w:eastAsia="Times New Roman" w:hAnsi="Times New Roman"/>
            <w:color w:val="1155cc"/>
            <w:sz w:val="24"/>
            <w:szCs w:val="24"/>
            <w:u w:val="single"/>
            <w:rtl w:val="0"/>
          </w:rPr>
          <w:t xml:space="preserve">primer-monitor.neb.com</w:t>
        </w:r>
      </w:hyperlink>
      <w:r w:rsidDel="00000000" w:rsidR="00000000" w:rsidRPr="00000000">
        <w:rPr>
          <w:rFonts w:ascii="Times New Roman" w:cs="Times New Roman" w:eastAsia="Times New Roman" w:hAnsi="Times New Roman"/>
          <w:sz w:val="24"/>
          <w:szCs w:val="24"/>
          <w:rtl w:val="0"/>
        </w:rPr>
        <w:t xml:space="preserve">), which continually monitors registered primer sets for overlapping variants in sequences from GISAID. Results are summarized by region and locus below in Table 12, including the 30 countries with most sequences in GISAID. Sequences were aligned to the SARS-CoV-2 reference sequence (NC_045512.2) using minimap2 (minimap2 -t 16 -x asm5 -a). Variant sites (excluding Ns) were identified using samtools mpileup and summarized by region and genome position. Genomic positions having &gt;= 40 global variant observations are shown (column labels). When present, box labels indicate the fraction of variants observed at a given locus.</w:t>
      </w:r>
    </w:p>
    <w:p w:rsidR="00000000" w:rsidDel="00000000" w:rsidP="00000000" w:rsidRDefault="00000000" w:rsidRPr="00000000" w14:paraId="000002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aggregate of current published mutations are not expected to reduce performance of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 </w:t>
      </w:r>
      <w:r w:rsidDel="00000000" w:rsidR="00000000" w:rsidRPr="00000000">
        <w:rPr>
          <w:rFonts w:ascii="Times New Roman" w:cs="Times New Roman" w:eastAsia="Times New Roman" w:hAnsi="Times New Roman"/>
          <w:sz w:val="24"/>
          <w:szCs w:val="24"/>
          <w:rtl w:val="0"/>
        </w:rPr>
        <w:t xml:space="preserve"> by more than 5% from that established by the performance evaluation in this EUA submission. Further, the use of 3 primer sets targeting different regions in the SARS-CoV-2 genome should make the test robust to new genetic variants.</w:t>
      </w:r>
    </w:p>
    <w:p w:rsidR="00000000" w:rsidDel="00000000" w:rsidP="00000000" w:rsidRDefault="00000000" w:rsidRPr="00000000" w14:paraId="0000024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3">
      <w:pPr>
        <w:pStyle w:val="Heading3"/>
        <w:spacing w:line="276" w:lineRule="auto"/>
        <w:ind w:left="0" w:firstLine="0"/>
        <w:rPr/>
      </w:pPr>
      <w:bookmarkStart w:colFirst="0" w:colLast="0" w:name="_heading=h.fvvhozxvc8ye" w:id="60"/>
      <w:bookmarkEnd w:id="60"/>
      <w:r w:rsidDel="00000000" w:rsidR="00000000" w:rsidRPr="00000000">
        <w:br w:type="page"/>
      </w:r>
      <w:r w:rsidDel="00000000" w:rsidR="00000000" w:rsidRPr="00000000">
        <w:rPr>
          <w:rtl w:val="0"/>
        </w:rPr>
      </w:r>
    </w:p>
    <w:p w:rsidR="00000000" w:rsidDel="00000000" w:rsidP="00000000" w:rsidRDefault="00000000" w:rsidRPr="00000000" w14:paraId="00000244">
      <w:pPr>
        <w:pStyle w:val="Heading3"/>
        <w:spacing w:line="276" w:lineRule="auto"/>
        <w:ind w:left="0" w:firstLine="0"/>
        <w:rPr/>
      </w:pPr>
      <w:bookmarkStart w:colFirst="0" w:colLast="0" w:name="_heading=h.lpw710yx0ase" w:id="61"/>
      <w:bookmarkEnd w:id="61"/>
      <w:r w:rsidDel="00000000" w:rsidR="00000000" w:rsidRPr="00000000">
        <w:rPr>
          <w:rtl w:val="0"/>
        </w:rPr>
        <w:t xml:space="preserve">Table 13: Variant Analysis of LAMP Primers</w:t>
      </w:r>
    </w:p>
    <w:p w:rsidR="00000000" w:rsidDel="00000000" w:rsidP="00000000" w:rsidRDefault="00000000" w:rsidRPr="00000000" w14:paraId="00000245">
      <w:pPr>
        <w:rPr/>
      </w:pPr>
      <w:r w:rsidDel="00000000" w:rsidR="00000000" w:rsidRPr="00000000">
        <w:rPr>
          <w:rFonts w:ascii="Times New Roman" w:cs="Times New Roman" w:eastAsia="Times New Roman" w:hAnsi="Times New Roman"/>
          <w:sz w:val="24"/>
          <w:szCs w:val="24"/>
        </w:rPr>
        <w:drawing>
          <wp:inline distB="114300" distT="114300" distL="114300" distR="114300">
            <wp:extent cx="5630655" cy="3871075"/>
            <wp:effectExtent b="0" l="0" r="0" t="0"/>
            <wp:docPr id="16"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630655" cy="3871075"/>
                    </a:xfrm>
                    <a:prstGeom prst="rect"/>
                    <a:ln/>
                  </pic:spPr>
                </pic:pic>
              </a:graphicData>
            </a:graphic>
          </wp:inline>
        </w:drawing>
      </w:r>
      <w:r w:rsidDel="00000000" w:rsidR="00000000" w:rsidRPr="00000000">
        <w:rPr>
          <w:rtl w:val="0"/>
        </w:rPr>
      </w:r>
    </w:p>
    <w:p w:rsidR="00000000" w:rsidDel="00000000" w:rsidP="00000000" w:rsidRDefault="00000000" w:rsidRPr="00000000" w14:paraId="000002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548313" cy="3853802"/>
            <wp:effectExtent b="0" l="0" r="0" t="0"/>
            <wp:docPr id="15"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5548313" cy="3853802"/>
                    </a:xfrm>
                    <a:prstGeom prst="rect"/>
                    <a:ln/>
                  </pic:spPr>
                </pic:pic>
              </a:graphicData>
            </a:graphic>
          </wp:inline>
        </w:drawing>
      </w:r>
      <w:r w:rsidDel="00000000" w:rsidR="00000000" w:rsidRPr="00000000">
        <w:rPr>
          <w:rtl w:val="0"/>
        </w:rPr>
      </w:r>
    </w:p>
    <w:p w:rsidR="00000000" w:rsidDel="00000000" w:rsidP="00000000" w:rsidRDefault="00000000" w:rsidRPr="00000000" w14:paraId="00000247">
      <w:pPr>
        <w:pStyle w:val="Heading2"/>
        <w:keepNext w:val="1"/>
        <w:spacing w:after="60" w:before="240" w:line="240" w:lineRule="auto"/>
        <w:ind w:left="0" w:firstLine="0"/>
        <w:rPr/>
      </w:pPr>
      <w:bookmarkStart w:colFirst="0" w:colLast="0" w:name="_heading=h.5ykcu1a6mvmr" w:id="62"/>
      <w:bookmarkEnd w:id="62"/>
      <w:r w:rsidDel="00000000" w:rsidR="00000000" w:rsidRPr="00000000">
        <w:rPr>
          <w:u w:val="none"/>
          <w:rtl w:val="0"/>
        </w:rPr>
        <w:t xml:space="preserve">3)   </w:t>
      </w:r>
      <w:r w:rsidDel="00000000" w:rsidR="00000000" w:rsidRPr="00000000">
        <w:rPr>
          <w:rtl w:val="0"/>
        </w:rPr>
        <w:t xml:space="preserve">Cross-reactivity (Analytical Specificity):  </w:t>
      </w:r>
    </w:p>
    <w:p w:rsidR="00000000" w:rsidDel="00000000" w:rsidP="00000000" w:rsidRDefault="00000000" w:rsidRPr="00000000" w14:paraId="00000248">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In silico</w:t>
      </w:r>
      <w:r w:rsidDel="00000000" w:rsidR="00000000" w:rsidRPr="00000000">
        <w:rPr>
          <w:rFonts w:ascii="Times New Roman" w:cs="Times New Roman" w:eastAsia="Times New Roman" w:hAnsi="Times New Roman"/>
          <w:sz w:val="24"/>
          <w:szCs w:val="24"/>
          <w:rtl w:val="0"/>
        </w:rPr>
        <w:t xml:space="preserve"> cross-reactivity analysis was performed by aligning the primer sequences of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i w:val="1"/>
          <w:sz w:val="24"/>
          <w:szCs w:val="24"/>
          <w:highlight w:val="yellow"/>
          <w:rtl w:val="0"/>
        </w:rPr>
        <w:t xml:space="preserve"> </w:t>
      </w:r>
      <w:r w:rsidDel="00000000" w:rsidR="00000000" w:rsidRPr="00000000">
        <w:rPr>
          <w:rFonts w:ascii="Times New Roman" w:cs="Times New Roman" w:eastAsia="Times New Roman" w:hAnsi="Times New Roman"/>
          <w:sz w:val="24"/>
          <w:szCs w:val="24"/>
          <w:rtl w:val="0"/>
        </w:rPr>
        <w:t xml:space="preserve"> against sequences of other coronaviruses and common respiratory flora using the BLASTn alignment tool from NCBI. Results of this analysis are presented in Tables 14A, 14B, and 14C. </w:t>
      </w:r>
    </w:p>
    <w:p w:rsidR="00000000" w:rsidDel="00000000" w:rsidP="00000000" w:rsidRDefault="00000000" w:rsidRPr="00000000" w14:paraId="00000249">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A">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 identity range (# identical bases/ # primer bases) is shown for each primer and organism. Darker font indicates % identity greater than 80%. Organisms with &gt;= 50% identity primer hits are shown. This analysis is not intended to predict amplification. Near perfect homology across B3, F3, FIP and BIP is necessary to support successful amplification. With the exception of SARS-CoV, simultaneous homologies do not occur between any of the primers and microorganisms screened. With respect to clinical relevance of the in silico cross-reactivity analysis, there are no known circulating strains of SARS-CoV circulating in humans, thus the overall probability for the test to produce a cross-reactive signal is negligible.</w:t>
      </w:r>
    </w:p>
    <w:p w:rsidR="00000000" w:rsidDel="00000000" w:rsidP="00000000" w:rsidRDefault="00000000" w:rsidRPr="00000000" w14:paraId="0000024B">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C">
      <w:pPr>
        <w:pStyle w:val="Heading3"/>
        <w:spacing w:line="276" w:lineRule="auto"/>
        <w:ind w:left="0" w:firstLine="0"/>
        <w:rPr/>
      </w:pPr>
      <w:bookmarkStart w:colFirst="0" w:colLast="0" w:name="_heading=h.6y81ehl4khnp" w:id="63"/>
      <w:bookmarkEnd w:id="63"/>
      <w:r w:rsidDel="00000000" w:rsidR="00000000" w:rsidRPr="00000000">
        <w:rPr>
          <w:rtl w:val="0"/>
        </w:rPr>
        <w:t xml:space="preserve">Table 14A: </w:t>
      </w:r>
      <w:r w:rsidDel="00000000" w:rsidR="00000000" w:rsidRPr="00000000">
        <w:rPr>
          <w:i w:val="1"/>
          <w:rtl w:val="0"/>
        </w:rPr>
        <w:t xml:space="preserve">In Silico</w:t>
      </w:r>
      <w:r w:rsidDel="00000000" w:rsidR="00000000" w:rsidRPr="00000000">
        <w:rPr>
          <w:rtl w:val="0"/>
        </w:rPr>
        <w:t xml:space="preserve"> Cross-Reactivity Analysis for AS1e Primers</w:t>
      </w:r>
    </w:p>
    <w:p w:rsidR="00000000" w:rsidDel="00000000" w:rsidP="00000000" w:rsidRDefault="00000000" w:rsidRPr="00000000" w14:paraId="0000024D">
      <w:pPr>
        <w:rPr/>
      </w:pPr>
      <w:r w:rsidDel="00000000" w:rsidR="00000000" w:rsidRPr="00000000">
        <w:rPr/>
        <w:drawing>
          <wp:inline distB="114300" distT="114300" distL="114300" distR="114300">
            <wp:extent cx="5051557" cy="7082507"/>
            <wp:effectExtent b="0" l="0" r="0" t="0"/>
            <wp:docPr id="18"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5051557" cy="708250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24E">
      <w:pPr>
        <w:pStyle w:val="Heading3"/>
        <w:spacing w:line="276" w:lineRule="auto"/>
        <w:ind w:left="0" w:firstLine="0"/>
        <w:rPr/>
      </w:pPr>
      <w:bookmarkStart w:colFirst="0" w:colLast="0" w:name="_heading=h.mqbr5p4oer1u" w:id="64"/>
      <w:bookmarkEnd w:id="64"/>
      <w:r w:rsidDel="00000000" w:rsidR="00000000" w:rsidRPr="00000000">
        <w:rPr>
          <w:rtl w:val="0"/>
        </w:rPr>
        <w:t xml:space="preserve">Table 14B: </w:t>
      </w:r>
      <w:r w:rsidDel="00000000" w:rsidR="00000000" w:rsidRPr="00000000">
        <w:rPr>
          <w:i w:val="1"/>
          <w:rtl w:val="0"/>
        </w:rPr>
        <w:t xml:space="preserve">In Silico</w:t>
      </w:r>
      <w:r w:rsidDel="00000000" w:rsidR="00000000" w:rsidRPr="00000000">
        <w:rPr>
          <w:rtl w:val="0"/>
        </w:rPr>
        <w:t xml:space="preserve"> Cross-Reactivity Analysis for N2 Primers</w:t>
      </w:r>
    </w:p>
    <w:p w:rsidR="00000000" w:rsidDel="00000000" w:rsidP="00000000" w:rsidRDefault="00000000" w:rsidRPr="00000000" w14:paraId="0000024F">
      <w:pPr>
        <w:rPr/>
      </w:pPr>
      <w:r w:rsidDel="00000000" w:rsidR="00000000" w:rsidRPr="00000000">
        <w:rPr/>
        <w:drawing>
          <wp:inline distB="114300" distT="114300" distL="114300" distR="114300">
            <wp:extent cx="5555853" cy="7292057"/>
            <wp:effectExtent b="0" l="0" r="0" t="0"/>
            <wp:docPr id="17"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555853" cy="729205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250">
      <w:pPr>
        <w:pStyle w:val="Heading3"/>
        <w:spacing w:line="276" w:lineRule="auto"/>
        <w:ind w:left="0" w:firstLine="0"/>
        <w:rPr/>
      </w:pPr>
      <w:bookmarkStart w:colFirst="0" w:colLast="0" w:name="_heading=h.iaqv724x34vx" w:id="65"/>
      <w:bookmarkEnd w:id="65"/>
      <w:r w:rsidDel="00000000" w:rsidR="00000000" w:rsidRPr="00000000">
        <w:rPr>
          <w:rtl w:val="0"/>
        </w:rPr>
        <w:t xml:space="preserve">Table 14C: </w:t>
      </w:r>
      <w:r w:rsidDel="00000000" w:rsidR="00000000" w:rsidRPr="00000000">
        <w:rPr>
          <w:i w:val="1"/>
          <w:rtl w:val="0"/>
        </w:rPr>
        <w:t xml:space="preserve">In Silico</w:t>
      </w:r>
      <w:r w:rsidDel="00000000" w:rsidR="00000000" w:rsidRPr="00000000">
        <w:rPr>
          <w:rtl w:val="0"/>
        </w:rPr>
        <w:t xml:space="preserve"> Cross-Reactivity Analysis for E1 Primers</w:t>
      </w:r>
    </w:p>
    <w:p w:rsidR="00000000" w:rsidDel="00000000" w:rsidP="00000000" w:rsidRDefault="00000000" w:rsidRPr="00000000" w14:paraId="00000251">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868320" cy="7119100"/>
            <wp:effectExtent b="0" l="0" r="0" t="0"/>
            <wp:docPr id="19"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5868320" cy="7119100"/>
                    </a:xfrm>
                    <a:prstGeom prst="rect"/>
                    <a:ln/>
                  </pic:spPr>
                </pic:pic>
              </a:graphicData>
            </a:graphic>
          </wp:inline>
        </w:drawing>
      </w:r>
      <w:r w:rsidDel="00000000" w:rsidR="00000000" w:rsidRPr="00000000">
        <w:rPr>
          <w:rtl w:val="0"/>
        </w:rPr>
      </w:r>
    </w:p>
    <w:p w:rsidR="00000000" w:rsidDel="00000000" w:rsidP="00000000" w:rsidRDefault="00000000" w:rsidRPr="00000000" w14:paraId="00000252">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3">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4">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Wet testing was performed to demonstrate that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i w:val="1"/>
          <w:sz w:val="24"/>
          <w:szCs w:val="24"/>
          <w:highlight w:val="yellow"/>
          <w:rtl w:val="0"/>
        </w:rPr>
        <w:t xml:space="preserve"> </w:t>
      </w:r>
      <w:r w:rsidDel="00000000" w:rsidR="00000000" w:rsidRPr="00000000">
        <w:rPr>
          <w:rFonts w:ascii="Times New Roman" w:cs="Times New Roman" w:eastAsia="Times New Roman" w:hAnsi="Times New Roman"/>
          <w:sz w:val="24"/>
          <w:szCs w:val="24"/>
          <w:rtl w:val="0"/>
        </w:rPr>
        <w:t xml:space="preserve">does not react with related pathogens, high prevalence disease agents and normal or pathogenic flora that are reasonably likely to be encountered in a clinical specimen.  SARS-CoV, RSV, Flu, Human Metapneumovirus, and Streptococcus Salivarius were tested for potential cross-reactivity, as shown in Table 15 and Supporting Data. 5 µL of each stock of cross-reactivity organism was spiked on dried AN swab specimens. A contrived positive control was produced by spiking gamma irradiated SARS-CoV-2 virus cell lysate (BEI NR-52287) onto dried AN swab specimens. Control dried swabs obtained simultaneously were confirmed to be SARS-CoV-2 negative by PCR using the CDC primers. The gamma irradiated SARS-CoV-2 virus and cross-reactivity organisms were spiked into the dried swabs prior to the heat inactivation step, and carried through the full test protocol. The contrived positive had 38 µL of 1e6 copies/mL irradiated virus stock spiked in, producing after elution of the swab in 1 mL of Inactivation Saline Solution at most a concentration of 38,000 copies/mL in the sample input into the amplification reaction.</w:t>
      </w:r>
    </w:p>
    <w:p w:rsidR="00000000" w:rsidDel="00000000" w:rsidP="00000000" w:rsidRDefault="00000000" w:rsidRPr="00000000" w14:paraId="00000255">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6">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wet testing showed no cross-reactivity with the viral pathogens and common respiratory flora, as shown in Table 15.</w:t>
      </w:r>
    </w:p>
    <w:p w:rsidR="00000000" w:rsidDel="00000000" w:rsidP="00000000" w:rsidRDefault="00000000" w:rsidRPr="00000000" w14:paraId="00000257">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8">
      <w:pPr>
        <w:pStyle w:val="Heading3"/>
        <w:spacing w:line="276" w:lineRule="auto"/>
        <w:ind w:left="0" w:firstLine="0"/>
        <w:rPr/>
      </w:pPr>
      <w:bookmarkStart w:colFirst="0" w:colLast="0" w:name="_heading=h.4hvdjq2psryf" w:id="66"/>
      <w:bookmarkEnd w:id="66"/>
      <w:r w:rsidDel="00000000" w:rsidR="00000000" w:rsidRPr="00000000">
        <w:rPr>
          <w:rtl w:val="0"/>
        </w:rPr>
        <w:t xml:space="preserve">Table 15: Wet Testing Cross-Reactivity Results</w:t>
      </w:r>
    </w:p>
    <w:tbl>
      <w:tblPr>
        <w:tblStyle w:val="Table13"/>
        <w:tblW w:w="9360.0" w:type="dxa"/>
        <w:jc w:val="left"/>
        <w:tblInd w:w="4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80"/>
        <w:gridCol w:w="2700"/>
        <w:gridCol w:w="1440"/>
        <w:gridCol w:w="2340"/>
        <w:tblGridChange w:id="0">
          <w:tblGrid>
            <w:gridCol w:w="2880"/>
            <w:gridCol w:w="2700"/>
            <w:gridCol w:w="1440"/>
            <w:gridCol w:w="2340"/>
          </w:tblGrid>
        </w:tblGridChange>
      </w:tblGrid>
      <w:tr>
        <w:tc>
          <w:tcPr>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259">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Organism</w:t>
            </w:r>
          </w:p>
        </w:tc>
        <w:tc>
          <w:tcPr>
            <w:tcBorders>
              <w:top w:color="000000"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25A">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Description</w:t>
            </w:r>
          </w:p>
        </w:tc>
        <w:tc>
          <w:tcPr>
            <w:tcBorders>
              <w:top w:color="000000"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25B">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BEI </w:t>
            </w:r>
          </w:p>
          <w:p w:rsidR="00000000" w:rsidDel="00000000" w:rsidP="00000000" w:rsidRDefault="00000000" w:rsidRPr="00000000" w14:paraId="0000025C">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Number</w:t>
            </w:r>
          </w:p>
        </w:tc>
        <w:tc>
          <w:tcPr>
            <w:tcBorders>
              <w:top w:color="000000"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25D">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Detected Replicates</w:t>
            </w:r>
          </w:p>
        </w:tc>
      </w:tr>
      <w:t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5E">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SARS-CoV</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5F">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UV-inactivated virus</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0">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NR-3882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1">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w:t>
            </w:r>
          </w:p>
        </w:tc>
      </w:tr>
      <w:t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2">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Metapneumovirus</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3">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4">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NR-49122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5">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w:t>
            </w:r>
          </w:p>
        </w:tc>
      </w:tr>
      <w:t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6">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RSV</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7">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8">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NR-43976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9">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w:t>
            </w:r>
          </w:p>
        </w:tc>
      </w:tr>
      <w:t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A">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Influenza B</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B">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C">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NR-45848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D">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w:t>
            </w:r>
          </w:p>
        </w:tc>
      </w:tr>
      <w:t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E">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Streptococcus salivarius</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6F">
            <w:pPr>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Bacterial cell culture</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70">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HM-121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71">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w:t>
            </w:r>
          </w:p>
        </w:tc>
      </w:tr>
    </w:tbl>
    <w:p w:rsidR="00000000" w:rsidDel="00000000" w:rsidP="00000000" w:rsidRDefault="00000000" w:rsidRPr="00000000" w14:paraId="00000272">
      <w:pPr>
        <w:rPr/>
      </w:pPr>
      <w:r w:rsidDel="00000000" w:rsidR="00000000" w:rsidRPr="00000000">
        <w:rPr>
          <w:rtl w:val="0"/>
        </w:rPr>
      </w:r>
    </w:p>
    <w:p w:rsidR="00000000" w:rsidDel="00000000" w:rsidP="00000000" w:rsidRDefault="00000000" w:rsidRPr="00000000" w14:paraId="00000273">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4">
      <w:pPr>
        <w:pStyle w:val="Heading2"/>
        <w:ind w:left="0" w:firstLine="0"/>
        <w:rPr/>
      </w:pPr>
      <w:bookmarkStart w:colFirst="0" w:colLast="0" w:name="_heading=h.pcne97ul90ar" w:id="67"/>
      <w:bookmarkEnd w:id="67"/>
      <w:r w:rsidDel="00000000" w:rsidR="00000000" w:rsidRPr="00000000">
        <w:br w:type="page"/>
      </w:r>
      <w:r w:rsidDel="00000000" w:rsidR="00000000" w:rsidRPr="00000000">
        <w:rPr>
          <w:rtl w:val="0"/>
        </w:rPr>
      </w:r>
    </w:p>
    <w:p w:rsidR="00000000" w:rsidDel="00000000" w:rsidP="00000000" w:rsidRDefault="00000000" w:rsidRPr="00000000" w14:paraId="00000275">
      <w:pPr>
        <w:pStyle w:val="Heading2"/>
        <w:ind w:left="0" w:firstLine="0"/>
        <w:rPr/>
      </w:pPr>
      <w:bookmarkStart w:colFirst="0" w:colLast="0" w:name="_heading=h.q1dhnpeecg3q" w:id="68"/>
      <w:bookmarkEnd w:id="68"/>
      <w:r w:rsidDel="00000000" w:rsidR="00000000" w:rsidRPr="00000000">
        <w:rPr>
          <w:b w:val="1"/>
          <w:rtl w:val="0"/>
        </w:rPr>
        <w:t xml:space="preserve">Endogenous Interference Substances Studies:</w:t>
      </w:r>
      <w:r w:rsidDel="00000000" w:rsidR="00000000" w:rsidRPr="00000000">
        <w:rPr>
          <w:rtl w:val="0"/>
        </w:rPr>
        <w:t xml:space="preserve"> </w:t>
      </w:r>
    </w:p>
    <w:p w:rsidR="00000000" w:rsidDel="00000000" w:rsidP="00000000" w:rsidRDefault="00000000" w:rsidRPr="00000000" w14:paraId="0000027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Exogenous and endogenous substances were tested for potential interference with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10 µL of each stock of interfering substance was spiked on dried AN swab specimens. A contrived positive control was produced by spiking gamma irradiated SARS-CoV-2 virus cell lysate (BEI NR-52287) onto dried AN swab specimens. Control dried swabs obtained simultaneously were confirmed to be SARS-CoV-2 negative by PCR using the CDC primers. The gamma irradiated SARS-CoV-2 virus and interfering substances were spiked into the dried swabs prior to the heat inactivation step, and carried through the full test protocol. The contrived Positive Control Spiked comprised 20 µL of 8e6 copies/mL irradiated virus stock spiked in, producing after elution of the swab in 1 mL of Inactivation Saline Solution at most a concentration of </w:t>
      </w:r>
      <w:r w:rsidDel="00000000" w:rsidR="00000000" w:rsidRPr="00000000">
        <w:rPr>
          <w:rFonts w:ascii="Times New Roman" w:cs="Times New Roman" w:eastAsia="Times New Roman" w:hAnsi="Times New Roman"/>
          <w:sz w:val="24"/>
          <w:szCs w:val="24"/>
          <w:rtl w:val="0"/>
        </w:rPr>
        <w:t xml:space="preserve">160,000 copies/mL in the sample input into the amplification reaction.</w:t>
      </w:r>
      <w:r w:rsidDel="00000000" w:rsidR="00000000" w:rsidRPr="00000000">
        <w:rPr>
          <w:rtl w:val="0"/>
        </w:rPr>
      </w:r>
    </w:p>
    <w:p w:rsidR="00000000" w:rsidDel="00000000" w:rsidP="00000000" w:rsidRDefault="00000000" w:rsidRPr="00000000" w14:paraId="0000027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interfering substance testing showed no disagreement with expected positive and negative results, as shown in Table 16 and Supporting Data.</w:t>
      </w:r>
    </w:p>
    <w:p w:rsidR="00000000" w:rsidDel="00000000" w:rsidP="00000000" w:rsidRDefault="00000000" w:rsidRPr="00000000" w14:paraId="0000027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A">
      <w:pPr>
        <w:pStyle w:val="Heading3"/>
        <w:tabs>
          <w:tab w:val="left" w:pos="720"/>
        </w:tabs>
        <w:spacing w:line="276" w:lineRule="auto"/>
        <w:rPr/>
      </w:pPr>
      <w:bookmarkStart w:colFirst="0" w:colLast="0" w:name="_heading=h.w80aprkc50r0" w:id="69"/>
      <w:bookmarkEnd w:id="69"/>
      <w:r w:rsidDel="00000000" w:rsidR="00000000" w:rsidRPr="00000000">
        <w:rPr>
          <w:rtl w:val="0"/>
        </w:rPr>
        <w:t xml:space="preserve">Table 16: Interfering Substances Results</w:t>
      </w:r>
    </w:p>
    <w:tbl>
      <w:tblPr>
        <w:tblStyle w:val="Table14"/>
        <w:tblW w:w="9090.0" w:type="dxa"/>
        <w:jc w:val="left"/>
        <w:tblInd w:w="4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90"/>
        <w:gridCol w:w="1905"/>
        <w:gridCol w:w="1770"/>
        <w:gridCol w:w="1845"/>
        <w:gridCol w:w="1980"/>
        <w:tblGridChange w:id="0">
          <w:tblGrid>
            <w:gridCol w:w="1590"/>
            <w:gridCol w:w="1905"/>
            <w:gridCol w:w="1770"/>
            <w:gridCol w:w="1845"/>
            <w:gridCol w:w="1980"/>
          </w:tblGrid>
        </w:tblGridChange>
      </w:tblGrid>
      <w:tr>
        <w:tc>
          <w:tcPr>
            <w:vMerge w:val="restart"/>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7B">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Interfering</w:t>
            </w:r>
          </w:p>
          <w:p w:rsidR="00000000" w:rsidDel="00000000" w:rsidP="00000000" w:rsidRDefault="00000000" w:rsidRPr="00000000" w14:paraId="0000027C">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Substance</w:t>
            </w:r>
          </w:p>
        </w:tc>
        <w:tc>
          <w:tcPr>
            <w:vMerge w:val="restart"/>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7D">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Active Ingredient</w:t>
            </w:r>
          </w:p>
        </w:tc>
        <w:tc>
          <w:tcPr>
            <w:vMerge w:val="restart"/>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7E">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Concentration</w:t>
            </w:r>
          </w:p>
        </w:tc>
        <w:tc>
          <w:tcPr>
            <w:gridSpan w:val="2"/>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7F">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Agreement with Expected Results</w:t>
            </w:r>
          </w:p>
        </w:tc>
      </w:tr>
      <w:tr>
        <w:tc>
          <w:tcPr>
            <w:vMerge w:val="continue"/>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8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8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8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84">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Positive Control</w:t>
            </w:r>
          </w:p>
          <w:p w:rsidR="00000000" w:rsidDel="00000000" w:rsidP="00000000" w:rsidRDefault="00000000" w:rsidRPr="00000000" w14:paraId="00000285">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Spiked</w:t>
            </w:r>
          </w:p>
        </w:tc>
        <w:tc>
          <w:tcPr>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86">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Negative Control</w:t>
            </w:r>
          </w:p>
          <w:p w:rsidR="00000000" w:rsidDel="00000000" w:rsidP="00000000" w:rsidRDefault="00000000" w:rsidRPr="00000000" w14:paraId="00000287">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Unspiked</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8">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Blood</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9">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A">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v/v</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B">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C">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D">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Nasal Congestion</w:t>
            </w:r>
          </w:p>
          <w:p w:rsidR="00000000" w:rsidDel="00000000" w:rsidP="00000000" w:rsidRDefault="00000000" w:rsidRPr="00000000" w14:paraId="0000028E">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F">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Acetaminophen,</w:t>
            </w:r>
          </w:p>
          <w:p w:rsidR="00000000" w:rsidDel="00000000" w:rsidP="00000000" w:rsidRDefault="00000000" w:rsidRPr="00000000" w14:paraId="00000290">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Guaifenesin,</w:t>
            </w:r>
          </w:p>
          <w:p w:rsidR="00000000" w:rsidDel="00000000" w:rsidP="00000000" w:rsidRDefault="00000000" w:rsidRPr="00000000" w14:paraId="00000291">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Phenylephrine HCI</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2">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v/v</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3">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4">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5">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Nasal Allergy</w:t>
            </w:r>
          </w:p>
          <w:p w:rsidR="00000000" w:rsidDel="00000000" w:rsidP="00000000" w:rsidRDefault="00000000" w:rsidRPr="00000000" w14:paraId="00000296">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7">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Oxymetazoline HCl</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8">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v/v</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9">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A">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B">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Lozenges</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C">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Menthol</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D">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w/v</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E">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F">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A0">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Mucin</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A1">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A2">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 w/v</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A3">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A4">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r>
    </w:tbl>
    <w:p w:rsidR="00000000" w:rsidDel="00000000" w:rsidP="00000000" w:rsidRDefault="00000000" w:rsidRPr="00000000" w14:paraId="000002A5">
      <w:pPr>
        <w:pStyle w:val="Heading2"/>
        <w:keepNext w:val="1"/>
        <w:tabs>
          <w:tab w:val="left" w:pos="720"/>
        </w:tabs>
        <w:spacing w:after="60" w:before="240" w:line="240" w:lineRule="auto"/>
        <w:ind w:left="0" w:firstLine="0"/>
        <w:rPr/>
      </w:pPr>
      <w:bookmarkStart w:colFirst="0" w:colLast="0" w:name="_heading=h.zgvvh9lkxpr7" w:id="70"/>
      <w:bookmarkEnd w:id="70"/>
      <w:r w:rsidDel="00000000" w:rsidR="00000000" w:rsidRPr="00000000">
        <w:rPr>
          <w:rtl w:val="0"/>
        </w:rPr>
      </w:r>
    </w:p>
    <w:p w:rsidR="00000000" w:rsidDel="00000000" w:rsidP="00000000" w:rsidRDefault="00000000" w:rsidRPr="00000000" w14:paraId="000002A6">
      <w:pPr>
        <w:pStyle w:val="Heading2"/>
        <w:keepNext w:val="1"/>
        <w:tabs>
          <w:tab w:val="left" w:pos="720"/>
        </w:tabs>
        <w:spacing w:after="60" w:before="240" w:line="240" w:lineRule="auto"/>
        <w:ind w:left="0" w:firstLine="0"/>
        <w:rPr/>
      </w:pPr>
      <w:bookmarkStart w:colFirst="0" w:colLast="0" w:name="_heading=h.4wjct0wt1cdg" w:id="71"/>
      <w:bookmarkEnd w:id="71"/>
      <w:r w:rsidDel="00000000" w:rsidR="00000000" w:rsidRPr="00000000">
        <w:rPr>
          <w:u w:val="none"/>
          <w:rtl w:val="0"/>
        </w:rPr>
        <w:t xml:space="preserve">4)  </w:t>
      </w:r>
      <w:r w:rsidDel="00000000" w:rsidR="00000000" w:rsidRPr="00000000">
        <w:rPr>
          <w:rtl w:val="0"/>
        </w:rPr>
        <w:t xml:space="preserve">Clinical Evaluation: </w:t>
      </w:r>
    </w:p>
    <w:p w:rsidR="00000000" w:rsidDel="00000000" w:rsidP="00000000" w:rsidRDefault="00000000" w:rsidRPr="00000000" w14:paraId="000002A7">
      <w:pPr>
        <w:keepNext w:val="1"/>
        <w:tabs>
          <w:tab w:val="left" w:pos="72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clinical evaluation of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utilized confirmed clinical anterior nares swab specimens. 40 positive and 40 negative clinical specimens were evaluated and compared to a high sensitivity EUA authorized test run on the original fresh samples.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showed a positive agreement of 80% and a negative agreement of 100%. The 6 false negative results were specimens with high Ct values as previously measured by the comparator test, indicating low viral load. A summary of the clinical performance is below in Table 16.</w:t>
      </w:r>
    </w:p>
    <w:p w:rsidR="00000000" w:rsidDel="00000000" w:rsidP="00000000" w:rsidRDefault="00000000" w:rsidRPr="00000000" w14:paraId="000002A8">
      <w:pPr>
        <w:keepNext w:val="1"/>
        <w:tabs>
          <w:tab w:val="left" w:pos="72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Anterior nares swab specimens were collected from patients in phosphate buffered saline by the Stanford COVID-19 clinical testing program. Specimens were initially tested by the Stanford clinical laboratory using the Hologic Panther Fusion and Aptima SARS-CoV-2 Assays, which serves as the high sensitivity comparator test. </w:t>
      </w:r>
    </w:p>
    <w:p w:rsidR="00000000" w:rsidDel="00000000" w:rsidP="00000000" w:rsidRDefault="00000000" w:rsidRPr="00000000" w14:paraId="000002A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w:t>
      </w:r>
      <w:r w:rsidDel="00000000" w:rsidR="00000000" w:rsidRPr="00000000">
        <w:rPr>
          <w:rFonts w:ascii="Times New Roman" w:cs="Times New Roman" w:eastAsia="Times New Roman" w:hAnsi="Times New Roman"/>
          <w:b w:val="1"/>
          <w:sz w:val="24"/>
          <w:szCs w:val="24"/>
          <w:highlight w:val="yellow"/>
          <w:rtl w:val="0"/>
        </w:rPr>
        <w:t xml:space="preserve">FloodLAMP QuickFluor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materials and the Instructions For Use were provided to the Stanford clinical laboratory. The materials provided consisted of the validated reagents listed in Table 3, the LGC primers and probes, and an aliquot of the positive control. After thawing the frozen specimens, 1 mL of each specimen was transferred to 5mL tubes for the inactivation step. The positive and negative clinical specimens were assigned a new ID in a random order, then transferred to new tubes that were barcoded and labeled with the new ID. The Bio-Rad CFX96 instrument was used to perform the isothermal amplification. Line Item data are provided in the Supporting Data. </w:t>
      </w:r>
    </w:p>
    <w:p w:rsidR="00000000" w:rsidDel="00000000" w:rsidP="00000000" w:rsidRDefault="00000000" w:rsidRPr="00000000" w14:paraId="000002A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E">
      <w:pPr>
        <w:pStyle w:val="Heading3"/>
        <w:tabs>
          <w:tab w:val="left" w:pos="720"/>
        </w:tabs>
        <w:spacing w:line="276" w:lineRule="auto"/>
        <w:rPr/>
      </w:pPr>
      <w:bookmarkStart w:colFirst="0" w:colLast="0" w:name="_heading=h.snt2nokhm3qd" w:id="72"/>
      <w:bookmarkEnd w:id="72"/>
      <w:r w:rsidDel="00000000" w:rsidR="00000000" w:rsidRPr="00000000">
        <w:rPr>
          <w:rtl w:val="0"/>
        </w:rPr>
        <w:t xml:space="preserve">Table 16: Clinical Evaluation Results</w:t>
      </w:r>
    </w:p>
    <w:tbl>
      <w:tblPr>
        <w:tblStyle w:val="Table15"/>
        <w:tblW w:w="9285.0" w:type="dxa"/>
        <w:jc w:val="left"/>
        <w:tblInd w:w="4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35"/>
        <w:gridCol w:w="1980"/>
        <w:gridCol w:w="1980"/>
        <w:gridCol w:w="2190"/>
        <w:tblGridChange w:id="0">
          <w:tblGrid>
            <w:gridCol w:w="3135"/>
            <w:gridCol w:w="1980"/>
            <w:gridCol w:w="1980"/>
            <w:gridCol w:w="2190"/>
          </w:tblGrid>
        </w:tblGridChange>
      </w:tblGrid>
      <w:tr>
        <w:trPr>
          <w:trHeight w:val="320" w:hRule="atLeast"/>
        </w:trPr>
        <w:tc>
          <w:tcPr>
            <w:vMerge w:val="restart"/>
            <w:shd w:fill="d9d9d9" w:val="clear"/>
            <w:tcMar>
              <w:top w:w="40.0" w:type="dxa"/>
              <w:left w:w="40.0" w:type="dxa"/>
              <w:bottom w:w="40.0" w:type="dxa"/>
              <w:right w:w="40.0" w:type="dxa"/>
            </w:tcMar>
            <w:vAlign w:val="center"/>
          </w:tcPr>
          <w:p w:rsidR="00000000" w:rsidDel="00000000" w:rsidP="00000000" w:rsidRDefault="00000000" w:rsidRPr="00000000" w14:paraId="000002AF">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FloodLAMP QuickFluorr</w:t>
            </w:r>
            <w:r w:rsidDel="00000000" w:rsidR="00000000" w:rsidRPr="00000000">
              <w:rPr>
                <w:rFonts w:ascii="Times New Roman" w:cs="Times New Roman" w:eastAsia="Times New Roman" w:hAnsi="Times New Roman"/>
                <w:b w:val="1"/>
                <w:sz w:val="24"/>
                <w:szCs w:val="24"/>
                <w:vertAlign w:val="superscript"/>
                <w:rtl w:val="0"/>
              </w:rPr>
              <w:t xml:space="preserve">TM</w:t>
            </w:r>
            <w:r w:rsidDel="00000000" w:rsidR="00000000" w:rsidRPr="00000000">
              <w:rPr>
                <w:rFonts w:ascii="Times New Roman" w:cs="Times New Roman" w:eastAsia="Times New Roman" w:hAnsi="Times New Roman"/>
                <w:b w:val="1"/>
                <w:sz w:val="24"/>
                <w:szCs w:val="24"/>
                <w:rtl w:val="0"/>
              </w:rPr>
              <w:t xml:space="preserve"> COVID-19 Test Results</w:t>
            </w:r>
          </w:p>
        </w:tc>
        <w:tc>
          <w:tcPr>
            <w:gridSpan w:val="3"/>
            <w:shd w:fill="d9d9d9" w:val="clear"/>
            <w:tcMar>
              <w:top w:w="40.0" w:type="dxa"/>
              <w:left w:w="40.0" w:type="dxa"/>
              <w:bottom w:w="40.0" w:type="dxa"/>
              <w:right w:w="40.0" w:type="dxa"/>
            </w:tcMar>
            <w:vAlign w:val="bottom"/>
          </w:tcPr>
          <w:p w:rsidR="00000000" w:rsidDel="00000000" w:rsidP="00000000" w:rsidRDefault="00000000" w:rsidRPr="00000000" w14:paraId="000002B0">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Comparator - High Sensitivity EUA Authorized Test</w:t>
            </w:r>
          </w:p>
        </w:tc>
      </w:tr>
      <w:tr>
        <w:trPr>
          <w:trHeight w:val="300" w:hRule="atLeast"/>
        </w:trPr>
        <w:tc>
          <w:tcPr>
            <w:vMerge w:val="continue"/>
            <w:shd w:fill="d9d9d9" w:val="clear"/>
            <w:tcMar>
              <w:top w:w="40.0" w:type="dxa"/>
              <w:left w:w="40.0" w:type="dxa"/>
              <w:bottom w:w="40.0" w:type="dxa"/>
              <w:right w:w="40.0" w:type="dxa"/>
            </w:tcMar>
            <w:vAlign w:val="center"/>
          </w:tcPr>
          <w:p w:rsidR="00000000" w:rsidDel="00000000" w:rsidP="00000000" w:rsidRDefault="00000000" w:rsidRPr="00000000" w14:paraId="000002B3">
            <w:pPr>
              <w:widowControl w:val="0"/>
              <w:rPr>
                <w:rFonts w:ascii="Times New Roman" w:cs="Times New Roman" w:eastAsia="Times New Roman" w:hAnsi="Times New Roman"/>
              </w:rPr>
            </w:pPr>
            <w:r w:rsidDel="00000000" w:rsidR="00000000" w:rsidRPr="00000000">
              <w:rPr>
                <w:rtl w:val="0"/>
              </w:rPr>
            </w:r>
          </w:p>
        </w:tc>
        <w:tc>
          <w:tcPr>
            <w:shd w:fill="d9d9d9" w:val="clear"/>
            <w:tcMar>
              <w:top w:w="40.0" w:type="dxa"/>
              <w:left w:w="40.0" w:type="dxa"/>
              <w:bottom w:w="40.0" w:type="dxa"/>
              <w:right w:w="40.0" w:type="dxa"/>
            </w:tcMar>
            <w:vAlign w:val="bottom"/>
          </w:tcPr>
          <w:p w:rsidR="00000000" w:rsidDel="00000000" w:rsidP="00000000" w:rsidRDefault="00000000" w:rsidRPr="00000000" w14:paraId="000002B4">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Positive</w:t>
            </w:r>
          </w:p>
        </w:tc>
        <w:tc>
          <w:tcPr>
            <w:shd w:fill="d9d9d9" w:val="clear"/>
            <w:tcMar>
              <w:top w:w="40.0" w:type="dxa"/>
              <w:left w:w="40.0" w:type="dxa"/>
              <w:bottom w:w="40.0" w:type="dxa"/>
              <w:right w:w="40.0" w:type="dxa"/>
            </w:tcMar>
            <w:vAlign w:val="bottom"/>
          </w:tcPr>
          <w:p w:rsidR="00000000" w:rsidDel="00000000" w:rsidP="00000000" w:rsidRDefault="00000000" w:rsidRPr="00000000" w14:paraId="000002B5">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Negative</w:t>
            </w:r>
          </w:p>
        </w:tc>
        <w:tc>
          <w:tcPr>
            <w:shd w:fill="d9d9d9" w:val="clear"/>
            <w:tcMar>
              <w:top w:w="40.0" w:type="dxa"/>
              <w:left w:w="40.0" w:type="dxa"/>
              <w:bottom w:w="40.0" w:type="dxa"/>
              <w:right w:w="40.0" w:type="dxa"/>
            </w:tcMar>
            <w:vAlign w:val="bottom"/>
          </w:tcPr>
          <w:p w:rsidR="00000000" w:rsidDel="00000000" w:rsidP="00000000" w:rsidRDefault="00000000" w:rsidRPr="00000000" w14:paraId="000002B6">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B7">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Positive</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8">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9">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A">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BB">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Negative</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C">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D">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E">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BF">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0">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1">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2">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w:t>
            </w:r>
          </w:p>
        </w:tc>
      </w:tr>
      <w:tr>
        <w:trPr>
          <w:trHeight w:val="320" w:hRule="atLeast"/>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C3">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Positive Agreement</w:t>
            </w:r>
          </w:p>
        </w:tc>
        <w:tc>
          <w:tcPr>
            <w:gridSpan w:val="3"/>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4">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80.0% (34/40) </w:t>
            </w:r>
            <w:r w:rsidDel="00000000" w:rsidR="00000000" w:rsidRPr="00000000">
              <w:rPr>
                <w:rFonts w:ascii="Times New Roman" w:cs="Times New Roman" w:eastAsia="Times New Roman" w:hAnsi="Times New Roman"/>
                <w:sz w:val="24"/>
                <w:szCs w:val="24"/>
                <w:rtl w:val="0"/>
              </w:rPr>
              <w:t xml:space="preserve">95% CI: 70.2% to 94.3%</w:t>
            </w:r>
            <w:r w:rsidDel="00000000" w:rsidR="00000000" w:rsidRPr="00000000">
              <w:rPr>
                <w:rtl w:val="0"/>
              </w:rPr>
            </w:r>
          </w:p>
        </w:tc>
      </w:tr>
      <w:tr>
        <w:trPr>
          <w:trHeight w:val="320" w:hRule="atLeast"/>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C7">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Negative Agreement</w:t>
            </w:r>
          </w:p>
        </w:tc>
        <w:tc>
          <w:tcPr>
            <w:gridSpan w:val="3"/>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C8">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(40/40) 95% CI: 91.2% to 100%</w:t>
            </w:r>
          </w:p>
        </w:tc>
      </w:tr>
    </w:tbl>
    <w:p w:rsidR="00000000" w:rsidDel="00000000" w:rsidP="00000000" w:rsidRDefault="00000000" w:rsidRPr="00000000" w14:paraId="000002CB">
      <w:pPr>
        <w:rPr>
          <w:rFonts w:ascii="Times New Roman" w:cs="Times New Roman" w:eastAsia="Times New Roman" w:hAnsi="Times New Roman"/>
          <w:b w:val="1"/>
          <w:i w:val="1"/>
          <w:smallCaps w:val="1"/>
          <w:sz w:val="24"/>
          <w:szCs w:val="24"/>
        </w:rPr>
      </w:pPr>
      <w:r w:rsidDel="00000000" w:rsidR="00000000" w:rsidRPr="00000000">
        <w:rPr>
          <w:rtl w:val="0"/>
        </w:rPr>
      </w:r>
    </w:p>
    <w:p w:rsidR="00000000" w:rsidDel="00000000" w:rsidP="00000000" w:rsidRDefault="00000000" w:rsidRPr="00000000" w14:paraId="000002CC">
      <w:pPr>
        <w:pStyle w:val="Heading1"/>
        <w:spacing w:line="240" w:lineRule="auto"/>
        <w:rPr/>
      </w:pPr>
      <w:bookmarkStart w:colFirst="0" w:colLast="0" w:name="_heading=h.1mrcu09" w:id="73"/>
      <w:bookmarkEnd w:id="73"/>
      <w:r w:rsidDel="00000000" w:rsidR="00000000" w:rsidRPr="00000000">
        <w:rPr>
          <w:rtl w:val="0"/>
        </w:rPr>
      </w:r>
    </w:p>
    <w:p w:rsidR="00000000" w:rsidDel="00000000" w:rsidP="00000000" w:rsidRDefault="00000000" w:rsidRPr="00000000" w14:paraId="000002CD">
      <w:pPr>
        <w:widowControl w:val="0"/>
        <w:spacing w:line="240" w:lineRule="auto"/>
        <w:ind w:left="360" w:firstLine="0"/>
        <w:rPr>
          <w:rFonts w:ascii="Times New Roman" w:cs="Times New Roman" w:eastAsia="Times New Roman" w:hAnsi="Times New Roman"/>
          <w:b w:val="1"/>
          <w:i w:val="1"/>
          <w:color w:val="ff0000"/>
          <w:sz w:val="24"/>
          <w:szCs w:val="24"/>
        </w:rPr>
      </w:pPr>
      <w:r w:rsidDel="00000000" w:rsidR="00000000" w:rsidRPr="00000000">
        <w:rPr>
          <w:rtl w:val="0"/>
        </w:rPr>
      </w:r>
    </w:p>
    <w:p w:rsidR="00000000" w:rsidDel="00000000" w:rsidP="00000000" w:rsidRDefault="00000000" w:rsidRPr="00000000" w14:paraId="000002CE">
      <w:pPr>
        <w:pStyle w:val="Heading1"/>
        <w:keepNext w:val="1"/>
        <w:spacing w:after="60" w:before="240" w:line="240" w:lineRule="auto"/>
        <w:rPr/>
      </w:pPr>
      <w:bookmarkStart w:colFirst="0" w:colLast="0" w:name="_heading=h.qarm7ua9lcar" w:id="74"/>
      <w:bookmarkEnd w:id="74"/>
      <w:r w:rsidDel="00000000" w:rsidR="00000000" w:rsidRPr="00000000">
        <w:br w:type="page"/>
      </w:r>
      <w:r w:rsidDel="00000000" w:rsidR="00000000" w:rsidRPr="00000000">
        <w:rPr>
          <w:rtl w:val="0"/>
        </w:rPr>
      </w:r>
    </w:p>
    <w:p w:rsidR="00000000" w:rsidDel="00000000" w:rsidP="00000000" w:rsidRDefault="00000000" w:rsidRPr="00000000" w14:paraId="000002CF">
      <w:pPr>
        <w:pStyle w:val="Heading1"/>
        <w:rPr/>
      </w:pPr>
      <w:bookmarkStart w:colFirst="0" w:colLast="0" w:name="_heading=h.ooh4qmu4cb38" w:id="75"/>
      <w:bookmarkEnd w:id="75"/>
      <w:r w:rsidDel="00000000" w:rsidR="00000000" w:rsidRPr="00000000">
        <w:rPr>
          <w:rtl w:val="0"/>
        </w:rPr>
        <w:t xml:space="preserve">K. UNMET NEED ADDRESSED BY THE PRODUCT </w:t>
      </w:r>
    </w:p>
    <w:p w:rsidR="00000000" w:rsidDel="00000000" w:rsidP="00000000" w:rsidRDefault="00000000" w:rsidRPr="00000000" w14:paraId="000002D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section will be completed by FDA. </w:t>
      </w:r>
    </w:p>
    <w:p w:rsidR="00000000" w:rsidDel="00000000" w:rsidP="00000000" w:rsidRDefault="00000000" w:rsidRPr="00000000" w14:paraId="000002D1">
      <w:pPr>
        <w:pStyle w:val="Heading1"/>
        <w:rPr/>
      </w:pPr>
      <w:bookmarkStart w:colFirst="0" w:colLast="0" w:name="_heading=h.vqqggmihndyz" w:id="76"/>
      <w:bookmarkEnd w:id="76"/>
      <w:r w:rsidDel="00000000" w:rsidR="00000000" w:rsidRPr="00000000">
        <w:rPr>
          <w:rtl w:val="0"/>
        </w:rPr>
        <w:t xml:space="preserve">L. APPROVED/CLEARED ALTERNATIVE PRODUCTS</w:t>
      </w:r>
    </w:p>
    <w:p w:rsidR="00000000" w:rsidDel="00000000" w:rsidP="00000000" w:rsidRDefault="00000000" w:rsidRPr="00000000" w14:paraId="000002D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Currently no methods for the detection of the SARS-CoV-2 have been approved/cleared by FDA.</w:t>
      </w:r>
    </w:p>
    <w:p w:rsidR="00000000" w:rsidDel="00000000" w:rsidP="00000000" w:rsidRDefault="00000000" w:rsidRPr="00000000" w14:paraId="000002D3">
      <w:pPr>
        <w:pStyle w:val="Heading1"/>
        <w:rPr/>
      </w:pPr>
      <w:bookmarkStart w:colFirst="0" w:colLast="0" w:name="_heading=h.lw9rmpjy2ubc" w:id="77"/>
      <w:bookmarkEnd w:id="77"/>
      <w:r w:rsidDel="00000000" w:rsidR="00000000" w:rsidRPr="00000000">
        <w:rPr>
          <w:rtl w:val="0"/>
        </w:rPr>
        <w:t xml:space="preserve">M. BENEFITS AND RISKS:</w:t>
      </w:r>
    </w:p>
    <w:p w:rsidR="00000000" w:rsidDel="00000000" w:rsidP="00000000" w:rsidRDefault="00000000" w:rsidRPr="00000000" w14:paraId="000002D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section will be completed by FDA.</w:t>
      </w:r>
    </w:p>
    <w:p w:rsidR="00000000" w:rsidDel="00000000" w:rsidP="00000000" w:rsidRDefault="00000000" w:rsidRPr="00000000" w14:paraId="000002D5">
      <w:pPr>
        <w:pStyle w:val="Heading1"/>
        <w:rPr/>
      </w:pPr>
      <w:bookmarkStart w:colFirst="0" w:colLast="0" w:name="_heading=h.ybxn30yphxfo" w:id="78"/>
      <w:bookmarkEnd w:id="78"/>
      <w:r w:rsidDel="00000000" w:rsidR="00000000" w:rsidRPr="00000000">
        <w:rPr>
          <w:rtl w:val="0"/>
        </w:rPr>
        <w:t xml:space="preserve">N. FACT SHEET FOR HEALTHCARE PROVIDERS AND PATIENTS:</w:t>
      </w:r>
    </w:p>
    <w:p w:rsidR="00000000" w:rsidDel="00000000" w:rsidP="00000000" w:rsidRDefault="00000000" w:rsidRPr="00000000" w14:paraId="000002D6">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Fact Sheets for Patients and Healthcare Providers attached.</w:t>
      </w:r>
      <w:r w:rsidDel="00000000" w:rsidR="00000000" w:rsidRPr="00000000">
        <w:rPr>
          <w:rtl w:val="0"/>
        </w:rPr>
      </w:r>
    </w:p>
    <w:p w:rsidR="00000000" w:rsidDel="00000000" w:rsidP="00000000" w:rsidRDefault="00000000" w:rsidRPr="00000000" w14:paraId="000002D7">
      <w:pPr>
        <w:pStyle w:val="Heading1"/>
        <w:rPr/>
      </w:pPr>
      <w:bookmarkStart w:colFirst="0" w:colLast="0" w:name="_heading=h.xfphokb9mdma" w:id="79"/>
      <w:bookmarkEnd w:id="79"/>
      <w:r w:rsidDel="00000000" w:rsidR="00000000" w:rsidRPr="00000000">
        <w:rPr>
          <w:rtl w:val="0"/>
        </w:rPr>
        <w:t xml:space="preserve">O. INSTRUCTIONS FOR USE/ PROPOSED LABELING/PACKAGE INSERT:</w:t>
      </w:r>
    </w:p>
    <w:p w:rsidR="00000000" w:rsidDel="00000000" w:rsidP="00000000" w:rsidRDefault="00000000" w:rsidRPr="00000000" w14:paraId="000002D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Instructions for Use attached.</w:t>
      </w:r>
    </w:p>
    <w:p w:rsidR="00000000" w:rsidDel="00000000" w:rsidP="00000000" w:rsidRDefault="00000000" w:rsidRPr="00000000" w14:paraId="000002D9">
      <w:pPr>
        <w:pStyle w:val="Heading1"/>
        <w:rPr/>
      </w:pPr>
      <w:bookmarkStart w:colFirst="0" w:colLast="0" w:name="_heading=h.cekb9xjxa507" w:id="80"/>
      <w:bookmarkEnd w:id="80"/>
      <w:r w:rsidDel="00000000" w:rsidR="00000000" w:rsidRPr="00000000">
        <w:rPr>
          <w:rtl w:val="0"/>
        </w:rPr>
        <w:t xml:space="preserve">P. RECORD KEEPING AND REPORTING INFORMATION TO FDA:</w:t>
      </w:r>
    </w:p>
    <w:p w:rsidR="00000000" w:rsidDel="00000000" w:rsidP="00000000" w:rsidRDefault="00000000" w:rsidRPr="00000000" w14:paraId="000002D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Authorized laboratories will collect information on the performance of the test and report to DMD/OHT7-OIR/OPEQ/CDRH (via email: CDRH-EUA-Reporting@fda.hhs.gov) and FloodLAMP Biotechnologies, PBC support center (via email: eua.support@floodlamp.bio) any suspected occurrence of false positive or false negative results and significant deviations from the established performance characteristics of the test of which they become aware.</w:t>
      </w:r>
    </w:p>
    <w:p w:rsidR="00000000" w:rsidDel="00000000" w:rsidP="00000000" w:rsidRDefault="00000000" w:rsidRPr="00000000" w14:paraId="000002D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QuantStudio  is a trademark of Thermo Fisher Scientific (NYSE: TMO)</w:t>
      </w:r>
    </w:p>
    <w:p w:rsidR="00000000" w:rsidDel="00000000" w:rsidP="00000000" w:rsidRDefault="00000000" w:rsidRPr="00000000" w14:paraId="000002D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Bio-Rad and Bio-Rad CFX96 Touch  is a trademark of Bio-Rad Laboratories, Inc. (NYSE: BIO)</w:t>
      </w:r>
    </w:p>
    <w:p w:rsidR="00000000" w:rsidDel="00000000" w:rsidP="00000000" w:rsidRDefault="00000000" w:rsidRPr="00000000" w14:paraId="000002E1">
      <w:pPr>
        <w:spacing w:before="200" w:line="240" w:lineRule="auto"/>
        <w:rPr>
          <w:rFonts w:ascii="Times New Roman" w:cs="Times New Roman" w:eastAsia="Times New Roman" w:hAnsi="Times New Roman"/>
          <w:sz w:val="24"/>
          <w:szCs w:val="24"/>
        </w:rPr>
      </w:pPr>
      <w:r w:rsidDel="00000000" w:rsidR="00000000" w:rsidRPr="00000000">
        <w:rPr>
          <w:rtl w:val="0"/>
        </w:rPr>
      </w:r>
    </w:p>
    <w:sectPr>
      <w:headerReference r:id="rId16" w:type="default"/>
      <w:headerReference r:id="rId17" w:type="first"/>
      <w:headerReference r:id="rId18" w:type="even"/>
      <w:footerReference r:id="rId19" w:type="default"/>
      <w:footerReference r:id="rId20" w:type="first"/>
      <w:footerReference r:id="rId21" w:type="even"/>
      <w:pgSz w:h="15840" w:w="12240" w:orient="portrait"/>
      <w:pgMar w:bottom="1080" w:top="108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FloodLAMP Lab" w:id="2" w:date="2021-03-25T20:14:47Z">
    <w:p w:rsidR="00000000" w:rsidDel="00000000" w:rsidP="00000000" w:rsidRDefault="00000000" w:rsidRPr="00000000" w14:paraId="000002E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need this here because the clinical eval was conducted on bio-rad but we havent actually run any confirmatory LOD on it</w:t>
      </w:r>
    </w:p>
  </w:comment>
  <w:comment w:author="FloodLAMP Lab" w:id="0" w:date="2021-03-25T19:58:43Z">
    <w:p w:rsidR="00000000" w:rsidDel="00000000" w:rsidP="00000000" w:rsidRDefault="00000000" w:rsidRPr="00000000" w14:paraId="000002E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@randytrue@gmail.com is this also true for FLAMP?</w:t>
      </w:r>
    </w:p>
  </w:comment>
  <w:comment w:author="Randy True" w:id="1" w:date="2021-03-25T20:45:35Z">
    <w:p w:rsidR="00000000" w:rsidDel="00000000" w:rsidP="00000000" w:rsidRDefault="00000000" w:rsidRPr="00000000" w14:paraId="000002E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2EC" w15:done="0"/>
  <w15:commentEx w15:paraId="000002ED" w15:done="0"/>
  <w15:commentEx w15:paraId="000002EE" w15:paraIdParent="000002ED"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Gungsuh"/>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E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E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9">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E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E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E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E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EUA Submission - FloodLAMP QuickFluor</w:t>
    </w:r>
    <w:r w:rsidDel="00000000" w:rsidR="00000000" w:rsidRPr="00000000">
      <w:rPr>
        <w:rFonts w:ascii="Times New Roman" w:cs="Times New Roman" w:eastAsia="Times New Roman" w:hAnsi="Times New Roman"/>
        <w:b w:val="1"/>
        <w:sz w:val="28"/>
        <w:szCs w:val="28"/>
        <w:vertAlign w:val="superscript"/>
        <w:rtl w:val="0"/>
      </w:rPr>
      <w:t xml:space="preserve">TM</w:t>
    </w:r>
    <w:r w:rsidDel="00000000" w:rsidR="00000000" w:rsidRPr="00000000">
      <w:rPr>
        <w:rFonts w:ascii="Times New Roman" w:cs="Times New Roman" w:eastAsia="Times New Roman" w:hAnsi="Times New Roman"/>
        <w:b w:val="1"/>
        <w:sz w:val="28"/>
        <w:szCs w:val="28"/>
        <w:rtl w:val="0"/>
      </w:rPr>
      <w:t xml:space="preserve"> COVID-19 Test</w:t>
    </w:r>
  </w:p>
  <w:p w:rsidR="00000000" w:rsidDel="00000000" w:rsidP="00000000" w:rsidRDefault="00000000" w:rsidRPr="00000000" w14:paraId="000002E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Times New Roman" w:cs="Times New Roman" w:eastAsia="Times New Roman" w:hAnsi="Times New Roman"/>
        <w:b w:val="1"/>
        <w:sz w:val="28"/>
        <w:szCs w:val="28"/>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E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080" w:hanging="360"/>
      </w:pPr>
      <w:rPr>
        <w:b w:val="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lowerLetter"/>
      <w:lvlText w:val="%1)"/>
      <w:lvlJc w:val="left"/>
      <w:pPr>
        <w:ind w:left="1080" w:hanging="360"/>
      </w:pPr>
      <w:rPr>
        <w:b w:val="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 w:before="240" w:line="360" w:lineRule="auto"/>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spacing w:after="60" w:before="240" w:lineRule="auto"/>
    </w:pPr>
    <w:rPr>
      <w:rFonts w:ascii="Times New Roman" w:cs="Times New Roman" w:eastAsia="Times New Roman" w:hAnsi="Times New Roman"/>
      <w:b w:val="1"/>
      <w:i w:val="1"/>
      <w:sz w:val="24"/>
      <w:szCs w:val="24"/>
      <w:u w:val="single"/>
    </w:rPr>
  </w:style>
  <w:style w:type="paragraph" w:styleId="Heading3">
    <w:name w:val="heading 3"/>
    <w:basedOn w:val="Normal"/>
    <w:next w:val="Normal"/>
    <w:pPr>
      <w:keepNext w:val="1"/>
      <w:keepLines w:val="1"/>
      <w:spacing w:line="276" w:lineRule="auto"/>
    </w:pPr>
    <w:rPr>
      <w:rFonts w:ascii="Times New Roman" w:cs="Times New Roman" w:eastAsia="Times New Roman" w:hAnsi="Times New Roman"/>
      <w:b w:val="1"/>
      <w:sz w:val="24"/>
      <w:szCs w:val="24"/>
    </w:rPr>
  </w:style>
  <w:style w:type="paragraph" w:styleId="Heading4">
    <w:name w:val="heading 4"/>
    <w:basedOn w:val="Normal"/>
    <w:next w:val="Normal"/>
    <w:pPr>
      <w:keepNext w:val="1"/>
      <w:keepLines w:val="1"/>
      <w:ind w:left="720" w:firstLine="0"/>
    </w:pPr>
    <w:rPr>
      <w:rFonts w:ascii="Times New Roman" w:cs="Times New Roman" w:eastAsia="Times New Roman" w:hAnsi="Times New Roman"/>
      <w:i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 w:before="240" w:lineRule="auto"/>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spacing w:after="60" w:before="240" w:lineRule="auto"/>
      <w:ind w:left="360"/>
    </w:pPr>
    <w:rPr>
      <w:rFonts w:ascii="Times New Roman" w:cs="Times New Roman" w:eastAsia="Times New Roman" w:hAnsi="Times New Roman"/>
      <w:b w:val="1"/>
      <w:i w:val="1"/>
      <w:sz w:val="24"/>
      <w:szCs w:val="24"/>
      <w:u w:val="single"/>
    </w:rPr>
  </w:style>
  <w:style w:type="paragraph" w:styleId="Heading3">
    <w:name w:val="heading 3"/>
    <w:basedOn w:val="Normal"/>
    <w:next w:val="Normal"/>
    <w:pPr>
      <w:keepNext w:val="1"/>
      <w:keepLines w:val="1"/>
      <w:tabs>
        <w:tab w:val="left" w:pos="1080"/>
      </w:tabs>
      <w:ind w:left="720" w:firstLine="0"/>
    </w:pPr>
    <w:rPr>
      <w:rFonts w:ascii="Times New Roman" w:cs="Times New Roman" w:eastAsia="Times New Roman" w:hAnsi="Times New Roman"/>
      <w:b w:val="1"/>
      <w:sz w:val="24"/>
      <w:szCs w:val="24"/>
    </w:rPr>
  </w:style>
  <w:style w:type="paragraph" w:styleId="Heading4">
    <w:name w:val="heading 4"/>
    <w:basedOn w:val="Normal"/>
    <w:next w:val="Normal"/>
    <w:pPr>
      <w:keepNext w:val="1"/>
      <w:keepLines w:val="1"/>
      <w:ind w:left="720" w:firstLine="0"/>
    </w:pPr>
    <w:rPr>
      <w:rFonts w:ascii="Times New Roman" w:cs="Times New Roman" w:eastAsia="Times New Roman" w:hAnsi="Times New Roman"/>
      <w:i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
    <w:qFormat w:val="1"/>
    <w:rsid w:val="001C321A"/>
    <w:pPr>
      <w:keepNext w:val="1"/>
      <w:keepLines w:val="1"/>
      <w:spacing w:before="240"/>
      <w:outlineLvl w:val="0"/>
    </w:pPr>
    <w:rPr>
      <w:rFonts w:asciiTheme="majorHAnsi" w:cstheme="majorBidi" w:eastAsiaTheme="majorEastAsia" w:hAnsiTheme="majorHAnsi"/>
      <w:color w:val="365f91" w:themeColor="accent1" w:themeShade="0000BF"/>
      <w:sz w:val="32"/>
      <w:szCs w:val="32"/>
    </w:rPr>
  </w:style>
  <w:style w:type="paragraph" w:styleId="Heading2">
    <w:name w:val="heading 2"/>
    <w:basedOn w:val="Normal"/>
    <w:next w:val="Normal"/>
    <w:link w:val="Heading2Char"/>
    <w:uiPriority w:val="9"/>
    <w:unhideWhenUsed w:val="1"/>
    <w:qFormat w:val="1"/>
    <w:rsid w:val="0079572A"/>
    <w:pPr>
      <w:keepNext w:val="1"/>
      <w:keepLines w:val="1"/>
      <w:spacing w:before="40"/>
      <w:outlineLvl w:val="1"/>
    </w:pPr>
    <w:rPr>
      <w:rFonts w:asciiTheme="majorHAnsi" w:cstheme="majorBidi" w:eastAsiaTheme="majorEastAsia" w:hAnsiTheme="majorHAnsi"/>
      <w:color w:val="365f91" w:themeColor="accent1" w:themeShade="0000BF"/>
      <w:sz w:val="26"/>
      <w:szCs w:val="26"/>
    </w:rPr>
  </w:style>
  <w:style w:type="paragraph" w:styleId="Heading3">
    <w:name w:val="heading 3"/>
    <w:basedOn w:val="Normal"/>
    <w:next w:val="Normal"/>
    <w:link w:val="Heading3Char"/>
    <w:uiPriority w:val="9"/>
    <w:semiHidden w:val="1"/>
    <w:unhideWhenUsed w:val="1"/>
    <w:qFormat w:val="1"/>
    <w:rsid w:val="001C321A"/>
    <w:pPr>
      <w:keepNext w:val="1"/>
      <w:keepLines w:val="1"/>
      <w:spacing w:before="40"/>
      <w:outlineLvl w:val="2"/>
    </w:pPr>
    <w:rPr>
      <w:rFonts w:asciiTheme="majorHAnsi" w:cstheme="majorBidi" w:eastAsiaTheme="majorEastAsia" w:hAnsiTheme="majorHAnsi"/>
      <w:color w:val="243f60" w:themeColor="accent1" w:themeShade="00007F"/>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E5738"/>
    <w:pPr>
      <w:tabs>
        <w:tab w:val="center" w:pos="4680"/>
        <w:tab w:val="right" w:pos="9360"/>
      </w:tabs>
    </w:pPr>
  </w:style>
  <w:style w:type="character" w:styleId="HeaderChar" w:customStyle="1">
    <w:name w:val="Header Char"/>
    <w:basedOn w:val="DefaultParagraphFont"/>
    <w:link w:val="Header"/>
    <w:uiPriority w:val="99"/>
    <w:rsid w:val="00EE5738"/>
  </w:style>
  <w:style w:type="paragraph" w:styleId="Footer">
    <w:name w:val="footer"/>
    <w:basedOn w:val="Normal"/>
    <w:link w:val="FooterChar"/>
    <w:unhideWhenUsed w:val="1"/>
    <w:rsid w:val="00EE5738"/>
    <w:pPr>
      <w:tabs>
        <w:tab w:val="center" w:pos="4680"/>
        <w:tab w:val="right" w:pos="9360"/>
      </w:tabs>
    </w:pPr>
  </w:style>
  <w:style w:type="character" w:styleId="FooterChar" w:customStyle="1">
    <w:name w:val="Footer Char"/>
    <w:basedOn w:val="DefaultParagraphFont"/>
    <w:link w:val="Footer"/>
    <w:rsid w:val="00EE5738"/>
  </w:style>
  <w:style w:type="character" w:styleId="PageNumber">
    <w:name w:val="page number"/>
    <w:basedOn w:val="DefaultParagraphFont"/>
    <w:rsid w:val="00401734"/>
  </w:style>
  <w:style w:type="paragraph" w:styleId="FootnoteText">
    <w:name w:val="footnote text"/>
    <w:basedOn w:val="Normal"/>
    <w:link w:val="FootnoteTextChar"/>
    <w:uiPriority w:val="99"/>
    <w:semiHidden w:val="1"/>
    <w:unhideWhenUsed w:val="1"/>
    <w:rsid w:val="00401734"/>
    <w:rPr>
      <w:sz w:val="20"/>
      <w:szCs w:val="20"/>
    </w:rPr>
  </w:style>
  <w:style w:type="character" w:styleId="FootnoteTextChar" w:customStyle="1">
    <w:name w:val="Footnote Text Char"/>
    <w:basedOn w:val="DefaultParagraphFont"/>
    <w:link w:val="FootnoteText"/>
    <w:uiPriority w:val="99"/>
    <w:semiHidden w:val="1"/>
    <w:rsid w:val="00401734"/>
    <w:rPr>
      <w:sz w:val="20"/>
      <w:szCs w:val="20"/>
    </w:rPr>
  </w:style>
  <w:style w:type="character" w:styleId="FootnoteReference">
    <w:name w:val="footnote reference"/>
    <w:basedOn w:val="DefaultParagraphFont"/>
    <w:uiPriority w:val="99"/>
    <w:semiHidden w:val="1"/>
    <w:unhideWhenUsed w:val="1"/>
    <w:rsid w:val="00401734"/>
    <w:rPr>
      <w:vertAlign w:val="superscript"/>
    </w:rPr>
  </w:style>
  <w:style w:type="character" w:styleId="Hyperlink">
    <w:name w:val="Hyperlink"/>
    <w:basedOn w:val="DefaultParagraphFont"/>
    <w:uiPriority w:val="99"/>
    <w:unhideWhenUsed w:val="1"/>
    <w:rsid w:val="009F6153"/>
    <w:rPr>
      <w:strike w:val="0"/>
      <w:dstrike w:val="0"/>
      <w:color w:val="007cba"/>
      <w:u w:val="none"/>
      <w:effect w:val="none"/>
      <w:shd w:color="auto" w:fill="auto" w:val="clear"/>
    </w:rPr>
  </w:style>
  <w:style w:type="character" w:styleId="CommentReference">
    <w:name w:val="annotation reference"/>
    <w:basedOn w:val="DefaultParagraphFont"/>
    <w:uiPriority w:val="99"/>
    <w:unhideWhenUsed w:val="1"/>
    <w:rsid w:val="001328F3"/>
    <w:rPr>
      <w:sz w:val="16"/>
      <w:szCs w:val="16"/>
    </w:rPr>
  </w:style>
  <w:style w:type="paragraph" w:styleId="CommentText">
    <w:name w:val="annotation text"/>
    <w:basedOn w:val="Normal"/>
    <w:link w:val="CommentTextChar"/>
    <w:uiPriority w:val="99"/>
    <w:unhideWhenUsed w:val="1"/>
    <w:rsid w:val="009F6153"/>
    <w:rPr>
      <w:sz w:val="20"/>
      <w:szCs w:val="20"/>
    </w:rPr>
  </w:style>
  <w:style w:type="character" w:styleId="CommentTextChar" w:customStyle="1">
    <w:name w:val="Comment Text Char"/>
    <w:basedOn w:val="DefaultParagraphFont"/>
    <w:link w:val="CommentText"/>
    <w:uiPriority w:val="99"/>
    <w:rsid w:val="001328F3"/>
    <w:rPr>
      <w:sz w:val="20"/>
      <w:szCs w:val="20"/>
    </w:rPr>
  </w:style>
  <w:style w:type="paragraph" w:styleId="BalloonText">
    <w:name w:val="Balloon Text"/>
    <w:basedOn w:val="Normal"/>
    <w:link w:val="BalloonTextChar"/>
    <w:uiPriority w:val="99"/>
    <w:semiHidden w:val="1"/>
    <w:unhideWhenUsed w:val="1"/>
    <w:rsid w:val="001328F3"/>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1328F3"/>
    <w:rPr>
      <w:rFonts w:ascii="Segoe UI" w:cs="Segoe UI" w:hAnsi="Segoe UI"/>
      <w:sz w:val="18"/>
      <w:szCs w:val="18"/>
    </w:rPr>
  </w:style>
  <w:style w:type="paragraph" w:styleId="CommentSubject">
    <w:name w:val="annotation subject"/>
    <w:basedOn w:val="CommentText"/>
    <w:next w:val="CommentText"/>
    <w:link w:val="CommentSubjectChar"/>
    <w:uiPriority w:val="99"/>
    <w:semiHidden w:val="1"/>
    <w:unhideWhenUsed w:val="1"/>
    <w:rsid w:val="001328F3"/>
    <w:rPr>
      <w:b w:val="1"/>
      <w:bCs w:val="1"/>
    </w:rPr>
  </w:style>
  <w:style w:type="character" w:styleId="CommentSubjectChar" w:customStyle="1">
    <w:name w:val="Comment Subject Char"/>
    <w:basedOn w:val="CommentTextChar"/>
    <w:link w:val="CommentSubject"/>
    <w:uiPriority w:val="99"/>
    <w:semiHidden w:val="1"/>
    <w:rsid w:val="001328F3"/>
    <w:rPr>
      <w:b w:val="1"/>
      <w:bCs w:val="1"/>
      <w:sz w:val="20"/>
      <w:szCs w:val="20"/>
    </w:rPr>
  </w:style>
  <w:style w:type="paragraph" w:styleId="ListParagraph">
    <w:name w:val="List Paragraph"/>
    <w:basedOn w:val="Normal"/>
    <w:uiPriority w:val="34"/>
    <w:qFormat w:val="1"/>
    <w:rsid w:val="00A055C4"/>
    <w:pPr>
      <w:spacing w:after="160" w:line="259" w:lineRule="auto"/>
      <w:ind w:left="720"/>
      <w:contextualSpacing w:val="1"/>
    </w:pPr>
    <w:rPr>
      <w:rFonts w:eastAsiaTheme="minorHAnsi"/>
      <w:lang w:eastAsia="en-US"/>
    </w:rPr>
  </w:style>
  <w:style w:type="paragraph" w:styleId="NoSpacing">
    <w:name w:val="No Spacing"/>
    <w:aliases w:val="KMR Outline"/>
    <w:uiPriority w:val="1"/>
    <w:qFormat w:val="1"/>
    <w:rsid w:val="00A055C4"/>
    <w:rPr>
      <w:rFonts w:eastAsiaTheme="minorHAnsi"/>
      <w:lang w:eastAsia="en-US"/>
    </w:rPr>
  </w:style>
  <w:style w:type="character" w:styleId="Heading2Char" w:customStyle="1">
    <w:name w:val="Heading 2 Char"/>
    <w:basedOn w:val="DefaultParagraphFont"/>
    <w:link w:val="Heading2"/>
    <w:uiPriority w:val="9"/>
    <w:rsid w:val="0079572A"/>
    <w:rPr>
      <w:rFonts w:asciiTheme="majorHAnsi" w:cstheme="majorBidi" w:eastAsiaTheme="majorEastAsia" w:hAnsiTheme="majorHAnsi"/>
      <w:color w:val="365f91" w:themeColor="accent1" w:themeShade="0000BF"/>
      <w:sz w:val="26"/>
      <w:szCs w:val="26"/>
    </w:rPr>
  </w:style>
  <w:style w:type="character" w:styleId="UnresolvedMention">
    <w:name w:val="Unresolved Mention"/>
    <w:basedOn w:val="DefaultParagraphFont"/>
    <w:uiPriority w:val="99"/>
    <w:semiHidden w:val="1"/>
    <w:unhideWhenUsed w:val="1"/>
    <w:rsid w:val="00DD4240"/>
    <w:rPr>
      <w:color w:val="605e5c"/>
      <w:shd w:color="auto" w:fill="e1dfdd" w:val="clear"/>
    </w:rPr>
  </w:style>
  <w:style w:type="paragraph" w:styleId="Revision">
    <w:name w:val="Revision"/>
    <w:hidden w:val="1"/>
    <w:uiPriority w:val="99"/>
    <w:semiHidden w:val="1"/>
    <w:rsid w:val="00DD4240"/>
  </w:style>
  <w:style w:type="character" w:styleId="FollowedHyperlink">
    <w:name w:val="FollowedHyperlink"/>
    <w:basedOn w:val="DefaultParagraphFont"/>
    <w:uiPriority w:val="99"/>
    <w:semiHidden w:val="1"/>
    <w:unhideWhenUsed w:val="1"/>
    <w:rsid w:val="00953B66"/>
    <w:rPr>
      <w:color w:val="800080" w:themeColor="followedHyperlink"/>
      <w:u w:val="single"/>
    </w:rPr>
  </w:style>
  <w:style w:type="table" w:styleId="TableGrid">
    <w:name w:val="Table Grid"/>
    <w:basedOn w:val="TableNormal"/>
    <w:uiPriority w:val="39"/>
    <w:rsid w:val="00690E8A"/>
    <w:rPr>
      <w:rFonts w:eastAsiaTheme="minorHAnsi"/>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1" w:customStyle="1">
    <w:name w:val="Table Grid1"/>
    <w:basedOn w:val="TableNormal"/>
    <w:next w:val="TableGrid"/>
    <w:uiPriority w:val="59"/>
    <w:rsid w:val="007033B8"/>
    <w:rPr>
      <w:rFonts w:eastAsiaTheme="minorHAnsi"/>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eading3Char" w:customStyle="1">
    <w:name w:val="Heading 3 Char"/>
    <w:basedOn w:val="DefaultParagraphFont"/>
    <w:link w:val="Heading3"/>
    <w:uiPriority w:val="9"/>
    <w:semiHidden w:val="1"/>
    <w:rsid w:val="001C321A"/>
    <w:rPr>
      <w:rFonts w:asciiTheme="majorHAnsi" w:cstheme="majorBidi" w:eastAsiaTheme="majorEastAsia" w:hAnsiTheme="majorHAnsi"/>
      <w:color w:val="243f60" w:themeColor="accent1" w:themeShade="00007F"/>
      <w:sz w:val="24"/>
      <w:szCs w:val="24"/>
    </w:rPr>
  </w:style>
  <w:style w:type="character" w:styleId="Heading1Char" w:customStyle="1">
    <w:name w:val="Heading 1 Char"/>
    <w:basedOn w:val="DefaultParagraphFont"/>
    <w:link w:val="Heading1"/>
    <w:uiPriority w:val="9"/>
    <w:rsid w:val="001C321A"/>
    <w:rPr>
      <w:rFonts w:asciiTheme="majorHAnsi" w:cstheme="majorBidi" w:eastAsiaTheme="majorEastAsia" w:hAnsiTheme="majorHAnsi"/>
      <w:color w:val="365f91" w:themeColor="accent1" w:themeShade="0000BF"/>
      <w:sz w:val="32"/>
      <w:szCs w:val="3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footer" Target="footer3.xml"/><Relationship Id="rId11" Type="http://schemas.openxmlformats.org/officeDocument/2006/relationships/image" Target="media/image4.png"/><Relationship Id="rId10" Type="http://schemas.openxmlformats.org/officeDocument/2006/relationships/hyperlink" Target="https://primer-monitor.neb.com/" TargetMode="External"/><Relationship Id="rId21" Type="http://schemas.openxmlformats.org/officeDocument/2006/relationships/footer" Target="footer2.xml"/><Relationship Id="rId13" Type="http://schemas.openxmlformats.org/officeDocument/2006/relationships/image" Target="media/image3.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www.cdc.gov/coronavirus/2019-ncov/lab/guidelines-clinical-specimens.html" TargetMode="External"/><Relationship Id="rId15" Type="http://schemas.openxmlformats.org/officeDocument/2006/relationships/image" Target="media/image1.png"/><Relationship Id="rId14" Type="http://schemas.openxmlformats.org/officeDocument/2006/relationships/image" Target="media/image2.png"/><Relationship Id="rId17" Type="http://schemas.openxmlformats.org/officeDocument/2006/relationships/header" Target="header1.xml"/><Relationship Id="rId16" Type="http://schemas.openxmlformats.org/officeDocument/2006/relationships/header" Target="header2.xml"/><Relationship Id="rId5" Type="http://schemas.openxmlformats.org/officeDocument/2006/relationships/numbering" Target="numbering.xml"/><Relationship Id="rId19" Type="http://schemas.openxmlformats.org/officeDocument/2006/relationships/footer" Target="footer1.xml"/><Relationship Id="rId6" Type="http://schemas.openxmlformats.org/officeDocument/2006/relationships/styles" Target="styles.xml"/><Relationship Id="rId18" Type="http://schemas.openxmlformats.org/officeDocument/2006/relationships/header" Target="header3.xml"/><Relationship Id="rId7" Type="http://schemas.openxmlformats.org/officeDocument/2006/relationships/customXml" Target="../customXML/item1.xml"/><Relationship Id="rId8" Type="http://schemas.microsoft.com/office/2011/relationships/commentsExtended" Target="commentsExtended.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zpPmM06oiUqX14138w6+K0gf8A==">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2020-07-28T22:47:00Z</dcterms:created>
  <dc:creator>Takai, Erica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0x010100076A08FBD5310342BF958ADCB470BE9A</vt:lpwstr>
  </property>
  <property fmtid="{D5CDD505-2E9C-101B-9397-08002B2CF9AE}" pid="3" name="_dlc_DocIdItemGuid">
    <vt:lpwstr>c5df89a3-9a6c-4ee0-8687-4895fcc1b7ff</vt:lpwstr>
  </property>
</Properties>
</file>