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276" w:lineRule="auto"/>
        <w:jc w:val="center"/>
      </w:pPr>
      <w:r>
        <w:rPr>
          <w:rFonts w:ascii="Arial" w:hAnsi="Arial"/>
          <w:b/>
          <w:i w:val="0"/>
          <w:sz w:val="32"/>
        </w:rPr>
        <w:t>"Art Thou He That Should Come, or Look We for Another?"</w:t>
      </w:r>
    </w:p>
    <w:p>
      <w:pPr>
        <w:spacing w:after="160" w:line="276" w:lineRule="auto"/>
      </w:pPr>
      <w:r>
        <w:rPr>
          <w:rFonts w:ascii="Arial" w:hAnsi="Arial"/>
          <w:b w:val="0"/>
          <w:i w:val="0"/>
          <w:sz w:val="22"/>
        </w:rPr>
        <w:t>Jesus stood up in the synagogue that day and was handed the scroll of Isaiah. He found the passage, and read this out loud:</w:t>
      </w:r>
    </w:p>
    <w:p>
      <w:pPr>
        <w:spacing w:after="160" w:line="276" w:lineRule="auto"/>
      </w:pPr>
      <w:r>
        <w:rPr>
          <w:rFonts w:ascii="Arial" w:hAnsi="Arial"/>
          <w:b w:val="0"/>
          <w:i/>
          <w:sz w:val="22"/>
        </w:rPr>
        <w:t>"The Spirit of the Lord is upon me, because he has anointed me to preach good news to the poor... to proclaim the acceptable year of the Lord."</w:t>
      </w:r>
    </w:p>
    <w:p>
      <w:pPr>
        <w:spacing w:after="160" w:line="276" w:lineRule="auto"/>
      </w:pPr>
      <w:r>
        <w:rPr>
          <w:rFonts w:ascii="Arial" w:hAnsi="Arial"/>
          <w:b w:val="0"/>
          <w:i w:val="0"/>
          <w:sz w:val="22"/>
        </w:rPr>
        <w:t>Then he stopped. He rolled the scroll back up, handed it to the attendant, sat down — the normal position for teaching — and said: "Today this Scripture has been fulfilled in your hearing."</w:t>
      </w:r>
    </w:p>
    <w:p>
      <w:pPr>
        <w:spacing w:after="160" w:line="276" w:lineRule="auto"/>
      </w:pPr>
      <w:r>
        <w:rPr>
          <w:rFonts w:ascii="Arial" w:hAnsi="Arial"/>
          <w:b w:val="0"/>
          <w:i w:val="0"/>
          <w:sz w:val="22"/>
        </w:rPr>
        <w:t>Here's the part easy to miss on a first read: that's not where the sentence actually ends. The verse he was reading, Isaiah 61:2, keeps going in the original text:</w:t>
      </w:r>
    </w:p>
    <w:p>
      <w:pPr>
        <w:spacing w:after="160" w:line="276" w:lineRule="auto"/>
      </w:pPr>
      <w:r>
        <w:rPr>
          <w:rFonts w:ascii="Arial" w:hAnsi="Arial"/>
          <w:b w:val="0"/>
          <w:i/>
          <w:sz w:val="22"/>
        </w:rPr>
        <w:t>"...to proclaim the acceptable year of the Lord, and the day of vengeance of our God."</w:t>
      </w:r>
    </w:p>
    <w:p>
      <w:pPr>
        <w:spacing w:after="160" w:line="276" w:lineRule="auto"/>
      </w:pPr>
      <w:r>
        <w:rPr>
          <w:rFonts w:ascii="Arial" w:hAnsi="Arial"/>
          <w:b w:val="0"/>
          <w:i w:val="0"/>
          <w:sz w:val="22"/>
        </w:rPr>
        <w:t>Jesus read the first half. He left out the second half — on purpose, mid-sentence, in front of a room full of people who knew that passage as well as he did.</w:t>
      </w:r>
    </w:p>
    <w:p>
      <w:pPr>
        <w:spacing w:after="160" w:line="276" w:lineRule="auto"/>
      </w:pPr>
      <w:r>
        <w:rPr>
          <w:rFonts w:ascii="Arial" w:hAnsi="Arial"/>
          <w:b w:val="0"/>
          <w:i w:val="0"/>
          <w:sz w:val="22"/>
        </w:rPr>
        <w:t>Nobody accidentally stops reading in the middle of a sentence they know by heart, in a room full of people who'd immediately notice. Stopping there wasn't Jesus forgetting the rest of the verse — it was Jesus drawing a line, in public, between two things: a promise he was claiming right then, and a second promise he was pointedly leaving for later.</w:t>
      </w:r>
    </w:p>
    <w:p>
      <w:pPr>
        <w:spacing w:after="160" w:line="276" w:lineRule="auto"/>
      </w:pPr>
      <w:r>
        <w:rPr>
          <w:rFonts w:ascii="Arial" w:hAnsi="Arial"/>
          <w:b w:val="0"/>
          <w:i w:val="0"/>
          <w:sz w:val="22"/>
        </w:rPr>
        <w:t>"The day of vengeance" isn't a throwaway phrase — it's the title of an entire coming event: God's final judgment on evil, described later in the same book. Isaiah 63 picks that exact phrase back up: "the day of vengeance is in my heart, and the year of my redeemed is come" — the same two-part pairing from 61:2, now flipped in order. Isaiah wrote these as one prophecy with two halves: a rescue that comes first, and a judgment that comes after. Jesus, standing in that synagogue, was telling the room: the first half starts today. The second half is still ahead.</w:t>
      </w:r>
    </w:p>
    <w:p>
      <w:pPr>
        <w:pStyle w:val="Heading1"/>
      </w:pPr>
      <w:r>
        <w:t>"Go Your Way, Tell John What Ye Have Seen"</w:t>
      </w:r>
    </w:p>
    <w:p>
      <w:pPr>
        <w:spacing w:after="160" w:line="276" w:lineRule="auto"/>
      </w:pPr>
      <w:r>
        <w:rPr>
          <w:rFonts w:ascii="Arial" w:hAnsi="Arial"/>
          <w:b w:val="0"/>
          <w:i w:val="0"/>
          <w:sz w:val="22"/>
        </w:rPr>
        <w:t>Later in his ministry, John the Baptist — now in prison, uncertain — sends messengers to ask Jesus the question this paper takes its title from: "Art thou he that should come, or look we for another?" (Luke 7:19).</w:t>
      </w:r>
    </w:p>
    <w:p>
      <w:pPr>
        <w:spacing w:after="160" w:line="276" w:lineRule="auto"/>
      </w:pPr>
      <w:r>
        <w:rPr>
          <w:rFonts w:ascii="Arial" w:hAnsi="Arial"/>
          <w:b w:val="0"/>
          <w:i w:val="0"/>
          <w:sz w:val="22"/>
        </w:rPr>
        <w:t>Jesus doesn't answer yes or no. He answers by pointing back to that day in the synagogue:</w:t>
      </w:r>
    </w:p>
    <w:p>
      <w:pPr>
        <w:spacing w:after="160" w:line="276" w:lineRule="auto"/>
      </w:pPr>
      <w:r>
        <w:rPr>
          <w:rFonts w:ascii="Arial" w:hAnsi="Arial"/>
          <w:b w:val="0"/>
          <w:i/>
          <w:sz w:val="22"/>
        </w:rPr>
        <w:t>"Go your way, and tell John what things ye have seen and heard; how that the blind see, the lame walk, the lepers are cleansed, the deaf hear, the dead are raised, to the poor the gospel is preached." (Luke 7:22)</w:t>
      </w:r>
    </w:p>
    <w:p>
      <w:pPr>
        <w:spacing w:after="160" w:line="276" w:lineRule="auto"/>
      </w:pPr>
      <w:r>
        <w:rPr>
          <w:rFonts w:ascii="Arial" w:hAnsi="Arial"/>
          <w:b w:val="0"/>
          <w:i w:val="0"/>
          <w:sz w:val="22"/>
        </w:rPr>
        <w:t>This is deliberate. It's the same list, the same words, from Isaiah's own vocabulary (Isaiah 61:1, joined with Isaiah 35:5-6). When asked directly whether he is the Messiah, Jesus doesn't offer a new claim — he points to the record and says: check what I read that day. It's already happened. This is the strongest piece of evidence in the whole argument, because it isn't this paper connecting the reading to his deeds. It's Jesus himself making that connection, under direct questioning about his identity.</w:t>
      </w:r>
    </w:p>
    <w:p>
      <w:pPr>
        <w:spacing w:after="160" w:line="276" w:lineRule="auto"/>
      </w:pPr>
      <w:r>
        <w:rPr>
          <w:rFonts w:ascii="Arial" w:hAnsi="Arial"/>
          <w:b w:val="0"/>
          <w:i w:val="0"/>
          <w:sz w:val="22"/>
        </w:rPr>
        <w:t>Each of these was a real, physical event, and each was also a sign of something deeper. John's Gospel calls Jesus' miracles "signs" (Greek sēmeia; John 2:11; 20:30-31), things that point past themselves, and Jesus told his disciples he had been speaking to them in figures (John 16:25). Luke's account of the reading follows the Greek translation of Isaiah in places, so a few clauses below come from Isaiah's Hebrew rather than from Luke's wording. The record reads each clause at both levels.</w:t>
      </w:r>
    </w:p>
    <w:tbl>
      <w:tblPr>
        <w:tblStyle w:val="TableGrid"/>
        <w:tblW w:type="auto" w:w="0"/>
        <w:jc w:val="center"/>
        <w:tblLook w:firstColumn="1" w:firstRow="1" w:lastColumn="0" w:lastRow="0" w:noHBand="0" w:noVBand="1" w:val="04A0"/>
      </w:tblPr>
      <w:tblGrid>
        <w:gridCol w:w="3120"/>
        <w:gridCol w:w="3120"/>
        <w:gridCol w:w="3120"/>
      </w:tblGrid>
      <w:tr>
        <w:tc>
          <w:tcPr>
            <w:tcW w:type="dxa" w:w="2880"/>
            <w:shd w:fill="EDE4CE" w:val="clear"/>
          </w:tcPr>
          <w:p>
            <w:r/>
            <w:r>
              <w:rPr>
                <w:rFonts w:ascii="Arial" w:hAnsi="Arial"/>
                <w:b/>
                <w:color w:val="2B2318"/>
                <w:sz w:val="20"/>
              </w:rPr>
              <w:t>Isaiah 61:1-2 alongside Luke 4:18-19</w:t>
            </w:r>
          </w:p>
        </w:tc>
        <w:tc>
          <w:tcPr>
            <w:tcW w:type="dxa" w:w="3312"/>
            <w:shd w:fill="EDE4CE" w:val="clear"/>
          </w:tcPr>
          <w:p>
            <w:r/>
            <w:r>
              <w:rPr>
                <w:rFonts w:ascii="Arial" w:hAnsi="Arial"/>
                <w:b/>
                <w:color w:val="2B2318"/>
                <w:sz w:val="20"/>
              </w:rPr>
              <w:t>What followed (physical)</w:t>
            </w:r>
          </w:p>
        </w:tc>
        <w:tc>
          <w:tcPr>
            <w:tcW w:type="dxa" w:w="3168"/>
            <w:shd w:fill="EDE4CE" w:val="clear"/>
          </w:tcPr>
          <w:p>
            <w:r/>
            <w:r>
              <w:rPr>
                <w:rFonts w:ascii="Arial" w:hAnsi="Arial"/>
                <w:b/>
                <w:color w:val="2B2318"/>
                <w:sz w:val="20"/>
              </w:rPr>
              <w:t>Spiritual meaning</w:t>
            </w:r>
          </w:p>
        </w:tc>
      </w:tr>
      <w:tr>
        <w:trPr>
          <w:cantSplit/>
        </w:trPr>
        <w:tc>
          <w:tcPr>
            <w:tcW w:type="dxa" w:w="2880"/>
          </w:tcPr>
          <w:p>
            <w:pPr>
              <w:spacing w:after="20" w:before="20"/>
            </w:pPr>
            <w:r/>
            <w:r>
              <w:rPr>
                <w:rFonts w:ascii="Arial" w:hAnsi="Arial"/>
                <w:sz w:val="20"/>
              </w:rPr>
              <w:t>"The Spirit of the Lord is upon me... hath anointed me"</w:t>
            </w:r>
          </w:p>
        </w:tc>
        <w:tc>
          <w:tcPr>
            <w:tcW w:type="dxa" w:w="3312"/>
          </w:tcPr>
          <w:p>
            <w:pPr>
              <w:spacing w:after="20" w:before="20"/>
            </w:pPr>
            <w:r/>
            <w:r>
              <w:rPr>
                <w:rFonts w:ascii="Arial" w:hAnsi="Arial"/>
                <w:sz w:val="20"/>
              </w:rPr>
              <w:t>The baptism, with the Spirit visibly descending (Luke 3:21-22) — the same event this reading opens</w:t>
            </w:r>
          </w:p>
        </w:tc>
        <w:tc>
          <w:tcPr>
            <w:tcW w:type="dxa" w:w="3168"/>
          </w:tcPr>
          <w:p>
            <w:pPr>
              <w:spacing w:after="20" w:before="20"/>
            </w:pPr>
            <w:r/>
            <w:r>
              <w:rPr>
                <w:rFonts w:ascii="Arial" w:hAnsi="Arial"/>
                <w:sz w:val="20"/>
              </w:rPr>
              <w:t>"Christ" means "Anointed One," so the descent of the Spirit publicly names the office (Acts 10:38). He later passes that Spirit to his followers (John 20:22), so the anointing is shared, not just displayed.</w:t>
            </w:r>
          </w:p>
        </w:tc>
      </w:tr>
      <w:tr>
        <w:trPr>
          <w:cantSplit/>
        </w:trPr>
        <w:tc>
          <w:tcPr>
            <w:tcW w:type="dxa" w:w="2880"/>
          </w:tcPr>
          <w:p>
            <w:pPr>
              <w:spacing w:after="20" w:before="20"/>
            </w:pPr>
            <w:r/>
            <w:r>
              <w:rPr>
                <w:rFonts w:ascii="Arial" w:hAnsi="Arial"/>
                <w:sz w:val="20"/>
              </w:rPr>
              <w:t>"preach good tidings to the poor"</w:t>
            </w:r>
          </w:p>
        </w:tc>
        <w:tc>
          <w:tcPr>
            <w:tcW w:type="dxa" w:w="3312"/>
          </w:tcPr>
          <w:p>
            <w:pPr>
              <w:spacing w:after="20" w:before="20"/>
            </w:pPr>
            <w:r/>
            <w:r>
              <w:rPr>
                <w:rFonts w:ascii="Arial" w:hAnsi="Arial"/>
                <w:sz w:val="20"/>
              </w:rPr>
              <w:t>"Blessed are the poor" (Luke 6:20); "the poor have the gospel preached to them" as Jesus' own standing evidence of who he is (Matt 11:5)</w:t>
            </w:r>
          </w:p>
        </w:tc>
        <w:tc>
          <w:tcPr>
            <w:tcW w:type="dxa" w:w="3168"/>
          </w:tcPr>
          <w:p>
            <w:pPr>
              <w:spacing w:after="20" w:before="20"/>
            </w:pPr>
            <w:r/>
            <w:r>
              <w:rPr>
                <w:rFonts w:ascii="Arial" w:hAnsi="Arial"/>
                <w:sz w:val="20"/>
              </w:rPr>
              <w:t>Matthew records the same blessing as "poor in spirit" (Matt 5:3). The good news is for those who know they have nothing to bring, and the kingdom is given, not earned (Luke 12:32).</w:t>
            </w:r>
          </w:p>
        </w:tc>
      </w:tr>
      <w:tr>
        <w:trPr>
          <w:cantSplit/>
        </w:trPr>
        <w:tc>
          <w:tcPr>
            <w:tcW w:type="dxa" w:w="2880"/>
          </w:tcPr>
          <w:p>
            <w:pPr>
              <w:spacing w:after="20" w:before="20"/>
            </w:pPr>
            <w:r/>
            <w:r>
              <w:rPr>
                <w:rFonts w:ascii="Arial" w:hAnsi="Arial"/>
                <w:sz w:val="20"/>
              </w:rPr>
              <w:t>"bind up the brokenhearted"</w:t>
            </w:r>
          </w:p>
        </w:tc>
        <w:tc>
          <w:tcPr>
            <w:tcW w:type="dxa" w:w="3312"/>
          </w:tcPr>
          <w:p>
            <w:pPr>
              <w:spacing w:after="20" w:before="20"/>
            </w:pPr>
            <w:r/>
            <w:r>
              <w:rPr>
                <w:rFonts w:ascii="Arial" w:hAnsi="Arial"/>
                <w:sz w:val="20"/>
              </w:rPr>
              <w:t>Weeping with Mary and Martha at Lazarus's tomb (John 11:33-35); raising the widow of Nain's only son and giving him back to her (Luke 7:11-15)</w:t>
            </w:r>
          </w:p>
        </w:tc>
        <w:tc>
          <w:tcPr>
            <w:tcW w:type="dxa" w:w="3168"/>
          </w:tcPr>
          <w:p>
            <w:pPr>
              <w:spacing w:after="20" w:before="20"/>
            </w:pPr>
            <w:r/>
            <w:r>
              <w:rPr>
                <w:rFonts w:ascii="Arial" w:hAnsi="Arial"/>
                <w:sz w:val="20"/>
              </w:rPr>
              <w:t>The raisings point past the tomb: "is passed from death unto life" (John 5:24-25); "I am the resurrection and the life" (John 11:25). Comfort in grief is the sign; life for the spiritually dead is the substance.</w:t>
            </w:r>
          </w:p>
        </w:tc>
      </w:tr>
      <w:tr>
        <w:trPr>
          <w:cantSplit/>
        </w:trPr>
        <w:tc>
          <w:tcPr>
            <w:tcW w:type="dxa" w:w="2880"/>
          </w:tcPr>
          <w:p>
            <w:pPr>
              <w:spacing w:after="20" w:before="20"/>
            </w:pPr>
            <w:r/>
            <w:r>
              <w:rPr>
                <w:rFonts w:ascii="Arial" w:hAnsi="Arial"/>
                <w:sz w:val="20"/>
              </w:rPr>
              <w:t>"proclaim liberty to the captives"</w:t>
            </w:r>
          </w:p>
        </w:tc>
        <w:tc>
          <w:tcPr>
            <w:tcW w:type="dxa" w:w="3312"/>
          </w:tcPr>
          <w:p>
            <w:pPr>
              <w:spacing w:after="20" w:before="20"/>
            </w:pPr>
            <w:r/>
            <w:r>
              <w:rPr>
                <w:rFonts w:ascii="Arial" w:hAnsi="Arial"/>
                <w:sz w:val="20"/>
              </w:rPr>
              <w:t>Those held by unclean spirits set free (Luke 4:33-36; Mark 5:1-20)</w:t>
            </w:r>
          </w:p>
        </w:tc>
        <w:tc>
          <w:tcPr>
            <w:tcW w:type="dxa" w:w="3168"/>
          </w:tcPr>
          <w:p>
            <w:pPr>
              <w:spacing w:after="20" w:before="20"/>
            </w:pPr>
            <w:r/>
            <w:r>
              <w:rPr>
                <w:rFonts w:ascii="Arial" w:hAnsi="Arial"/>
                <w:sz w:val="20"/>
              </w:rPr>
              <w:t>The captivity is sin: "Whosoever committeth sin is the servant of sin... If the Son therefore shall make you free, ye shall be free indeed" (John 8:34-36).</w:t>
            </w:r>
          </w:p>
        </w:tc>
      </w:tr>
      <w:tr>
        <w:trPr>
          <w:cantSplit/>
        </w:trPr>
        <w:tc>
          <w:tcPr>
            <w:tcW w:type="dxa" w:w="2880"/>
          </w:tcPr>
          <w:p>
            <w:pPr>
              <w:spacing w:after="20" w:before="20"/>
            </w:pPr>
            <w:r/>
            <w:r>
              <w:rPr>
                <w:rFonts w:ascii="Arial" w:hAnsi="Arial"/>
                <w:sz w:val="20"/>
              </w:rPr>
              <w:t>"recovering of sight to the blind"</w:t>
            </w:r>
          </w:p>
        </w:tc>
        <w:tc>
          <w:tcPr>
            <w:tcW w:type="dxa" w:w="3312"/>
          </w:tcPr>
          <w:p>
            <w:pPr>
              <w:spacing w:after="20" w:before="20"/>
            </w:pPr>
            <w:r/>
            <w:r>
              <w:rPr>
                <w:rFonts w:ascii="Arial" w:hAnsi="Arial"/>
                <w:sz w:val="20"/>
              </w:rPr>
              <w:t>Bartimaeus (Mark 10:46-52), the man born blind (John 9:1-7), two blind men (Matt 9:27-31)</w:t>
            </w:r>
          </w:p>
        </w:tc>
        <w:tc>
          <w:tcPr>
            <w:tcW w:type="dxa" w:w="3168"/>
          </w:tcPr>
          <w:p>
            <w:pPr>
              <w:spacing w:after="20" w:before="20"/>
            </w:pPr>
            <w:r/>
            <w:r>
              <w:rPr>
                <w:rFonts w:ascii="Arial" w:hAnsi="Arial"/>
                <w:sz w:val="20"/>
              </w:rPr>
              <w:t>Jesus states the deeper purpose himself: "that they which see not might see; and that they which see might be made blind" (John 9:39). The healed man goes on to worship (John 9:35-38), while the Pharisees who claim to see are called blind.</w:t>
            </w:r>
          </w:p>
        </w:tc>
      </w:tr>
      <w:tr>
        <w:trPr>
          <w:cantSplit/>
        </w:trPr>
        <w:tc>
          <w:tcPr>
            <w:tcW w:type="dxa" w:w="2880"/>
          </w:tcPr>
          <w:p>
            <w:pPr>
              <w:spacing w:after="20" w:before="20"/>
            </w:pPr>
            <w:r/>
            <w:r>
              <w:rPr>
                <w:rFonts w:ascii="Arial" w:hAnsi="Arial"/>
                <w:sz w:val="20"/>
              </w:rPr>
              <w:t>"set at liberty them that are bruised"</w:t>
            </w:r>
          </w:p>
        </w:tc>
        <w:tc>
          <w:tcPr>
            <w:tcW w:type="dxa" w:w="3312"/>
          </w:tcPr>
          <w:p>
            <w:pPr>
              <w:spacing w:after="20" w:before="20"/>
            </w:pPr>
            <w:r/>
            <w:r>
              <w:rPr>
                <w:rFonts w:ascii="Arial" w:hAnsi="Arial"/>
                <w:sz w:val="20"/>
              </w:rPr>
              <w:t>The woman bound eighteen years, healed and explicitly called "loosed" (Luke 13:16); the man with the withered hand (Luke 6:6-10)</w:t>
            </w:r>
          </w:p>
        </w:tc>
        <w:tc>
          <w:tcPr>
            <w:tcW w:type="dxa" w:w="3168"/>
          </w:tcPr>
          <w:p>
            <w:pPr>
              <w:spacing w:after="20" w:before="20"/>
            </w:pPr>
            <w:r/>
            <w:r>
              <w:rPr>
                <w:rFonts w:ascii="Arial" w:hAnsi="Arial"/>
                <w:sz w:val="20"/>
              </w:rPr>
              <w:t>Jesus names her bond as Satan's (Luke 13:16). Both healings fall on the Sabbath, where he asks whether the day is for saving life (Luke 6:9). This is the Sabbath and Jubilee release, fulfilled in persons.</w:t>
            </w:r>
          </w:p>
        </w:tc>
      </w:tr>
      <w:tr>
        <w:trPr>
          <w:cantSplit/>
        </w:trPr>
        <w:tc>
          <w:tcPr>
            <w:tcW w:type="dxa" w:w="2880"/>
          </w:tcPr>
          <w:p>
            <w:pPr>
              <w:spacing w:after="20" w:before="20"/>
            </w:pPr>
            <w:r/>
            <w:r>
              <w:rPr>
                <w:rFonts w:ascii="Arial" w:hAnsi="Arial"/>
                <w:sz w:val="20"/>
              </w:rPr>
              <w:t>"the acceptable year of the Lord"</w:t>
            </w:r>
          </w:p>
        </w:tc>
        <w:tc>
          <w:tcPr>
            <w:tcW w:type="dxa" w:w="3312"/>
          </w:tcPr>
          <w:p>
            <w:pPr>
              <w:spacing w:after="20" w:before="20"/>
            </w:pPr>
            <w:r/>
            <w:r>
              <w:rPr>
                <w:rFonts w:ascii="Arial" w:hAnsi="Arial"/>
                <w:sz w:val="20"/>
              </w:rPr>
              <w:t>The reading itself, early in the final seven-year unit before the AD 34 Jubilee (see the Continuous Jubilee Calendar section below)</w:t>
            </w:r>
          </w:p>
        </w:tc>
        <w:tc>
          <w:tcPr>
            <w:tcW w:type="dxa" w:w="3168"/>
          </w:tcPr>
          <w:p>
            <w:pPr>
              <w:spacing w:after="20" w:before="20"/>
            </w:pPr>
            <w:r/>
            <w:r>
              <w:rPr>
                <w:rFonts w:ascii="Arial" w:hAnsi="Arial"/>
                <w:sz w:val="20"/>
              </w:rPr>
              <w:t>The Jubilee's release of debts, land, and slaves (Lev 25) becomes release from the debt of sin: "Thy sins are forgiven thee" (Luke 5:20-24); "forgive us our debts" (Matt 6:12).</w:t>
            </w:r>
          </w:p>
        </w:tc>
      </w:tr>
    </w:tbl>
    <w:p>
      <w:pPr>
        <w:spacing w:after="160" w:line="276" w:lineRule="auto"/>
      </w:pPr>
      <w:r>
        <w:rPr>
          <w:rFonts w:ascii="Arial" w:hAnsi="Arial"/>
          <w:b w:val="0"/>
          <w:i w:val="0"/>
          <w:sz w:val="22"/>
        </w:rPr>
        <w:t>Luke's own placement backs this further. In the very same chapter as the reading, Luke shows Jesus casting out an unclean spirit in Capernaum, the next town he visits, and healing "all they that had any sick" (Luke 4:33-40) — the fulfillment beginning to play out before the chapter even ends.</w:t>
      </w:r>
    </w:p>
    <w:p>
      <w:pPr>
        <w:spacing w:after="160" w:line="276" w:lineRule="auto"/>
      </w:pPr>
      <w:r>
        <w:rPr>
          <w:rFonts w:ascii="Arial" w:hAnsi="Arial"/>
          <w:b w:val="0"/>
          <w:i w:val="0"/>
          <w:sz w:val="22"/>
        </w:rPr>
        <w:t>One clause in Isaiah's Hebrew, "the opening of the prison to them that are bound," isn't in Luke's record of the reading and has no separate event of its own. It reads as Hebrew poetic parallelism with "liberty to captives," restating the same claim rather than adding a new one — worth saying plainly rather than forcing a separate fulfillment onto it.</w:t>
      </w:r>
    </w:p>
    <w:p>
      <w:pPr>
        <w:pStyle w:val="Heading1"/>
      </w:pPr>
      <w:r>
        <w:t>What Kind of Prison, What Kind of Freedom</w:t>
      </w:r>
    </w:p>
    <w:p>
      <w:pPr>
        <w:spacing w:after="160" w:line="276" w:lineRule="auto"/>
      </w:pPr>
      <w:r>
        <w:rPr>
          <w:rFonts w:ascii="Arial" w:hAnsi="Arial"/>
          <w:b w:val="0"/>
          <w:i w:val="0"/>
          <w:sz w:val="22"/>
        </w:rPr>
        <w:t>"Liberty to the captives" is worth pausing on, because the natural first question is: what captivity? The table gives Jesus' own answer: the bondage is sin, and the liberty is what he came to give from it (John 8:34-36).</w:t>
      </w:r>
    </w:p>
    <w:p>
      <w:pPr>
        <w:spacing w:after="160" w:line="276" w:lineRule="auto"/>
      </w:pPr>
      <w:r>
        <w:rPr>
          <w:rFonts w:ascii="Arial" w:hAnsi="Arial"/>
          <w:b w:val="0"/>
          <w:i w:val="0"/>
          <w:sz w:val="22"/>
        </w:rPr>
        <w:t>The word itself points the same way. Luke's word for "release" is aphesis, the same word the ancient Greek translation of Leviticus 25:10 uses for the Jubilee's proclamation of liberty. Luke uses the same word elsewhere for the forgiveness of sins (Luke 1:77). Luke's record of the reading also includes a phrase drawn from Isaiah 58:6, "to set at liberty them that are bruised," which uses the same Greek word. The physical release of the Jubilee and the spiritual release Jesus announces share one word.</w:t>
      </w:r>
    </w:p>
    <w:p>
      <w:pPr>
        <w:spacing w:after="160" w:line="276" w:lineRule="auto"/>
      </w:pPr>
      <w:r>
        <w:rPr>
          <w:rFonts w:ascii="Arial" w:hAnsi="Arial"/>
          <w:b w:val="0"/>
          <w:i w:val="0"/>
          <w:sz w:val="22"/>
        </w:rPr>
        <w:t>This isn't a category foreign to Jewish thought, either. The idea of being enslaved to something within oneself — the yetzer hara, the inclination toward wrongdoing — and needing to be freed from it through repentance and return to God is already native to Jewish tradition. Read this way, "liberty to the captives" isn't Jesus importing a new concept; it's Jesus naming, in the language of his own prophetic tradition, the same inward bondage that tradition already recognized — and announcing that he is the one who breaks it.</w:t>
      </w:r>
    </w:p>
    <w:p>
      <w:pPr>
        <w:pStyle w:val="Heading1"/>
      </w:pPr>
      <w:r>
        <w:t>The Continuous Jubilee Calendar: How the Positions Are Calculated</w:t>
      </w:r>
    </w:p>
    <w:p>
      <w:pPr>
        <w:spacing w:after="160" w:line="276" w:lineRule="auto"/>
      </w:pPr>
      <w:r>
        <w:rPr>
          <w:rFonts w:ascii="Arial" w:hAnsi="Arial"/>
          <w:b w:val="0"/>
          <w:i w:val="0"/>
          <w:sz w:val="22"/>
        </w:rPr>
        <w:t>The Continuous Jubilee Calendar (CJC) tracks a 49-year Jubilee cycle (Leviticus 25:8-10) as an unbroken count across history. Within each 49-year cycle, every year also falls at a specific position within a nested seven-year unit — the same unit Daniel 9:25-27 uses for its "sevens." The formula is simple arithmetic that any reader can verify:</w:t>
      </w:r>
    </w:p>
    <w:p>
      <w:pPr>
        <w:spacing w:after="80" w:line="276" w:lineRule="auto"/>
      </w:pPr>
      <w:r>
        <w:rPr>
          <w:rFonts w:ascii="Arial" w:hAnsi="Arial"/>
          <w:b/>
          <w:i w:val="0"/>
          <w:sz w:val="22"/>
        </w:rPr>
        <w:t>B = 1437 + year (AD)  or  B = 1438 − year (BC)</w:t>
      </w:r>
    </w:p>
    <w:p>
      <w:pPr>
        <w:spacing w:after="80" w:line="276" w:lineRule="auto"/>
      </w:pPr>
      <w:r>
        <w:rPr>
          <w:rFonts w:ascii="Arial" w:hAnsi="Arial"/>
          <w:b w:val="0"/>
          <w:i w:val="0"/>
          <w:sz w:val="22"/>
        </w:rPr>
        <w:t>Cycle = floor((B − 1) / 49) + 1</w:t>
      </w:r>
    </w:p>
    <w:p>
      <w:pPr>
        <w:spacing w:after="80" w:line="276" w:lineRule="auto"/>
      </w:pPr>
      <w:r>
        <w:rPr>
          <w:rFonts w:ascii="Arial" w:hAnsi="Arial"/>
          <w:b w:val="0"/>
          <w:i w:val="0"/>
          <w:sz w:val="22"/>
        </w:rPr>
        <w:t>Y = B − ((Cycle − 1) × 49)    (Y ranges from 1 to 49)</w:t>
      </w:r>
    </w:p>
    <w:p>
      <w:pPr>
        <w:spacing w:after="160" w:line="276" w:lineRule="auto"/>
      </w:pPr>
      <w:r>
        <w:rPr>
          <w:rFonts w:ascii="Arial" w:hAnsi="Arial"/>
          <w:b w:val="0"/>
          <w:i w:val="0"/>
          <w:sz w:val="22"/>
        </w:rPr>
        <w:t>Position = Y mod 7    (remainder 1 = Position 1, ..., remainder 0 = Position 7)</w:t>
      </w:r>
    </w:p>
    <w:p>
      <w:pPr>
        <w:spacing w:after="160" w:line="276" w:lineRule="auto"/>
      </w:pPr>
      <w:r>
        <w:rPr>
          <w:rFonts w:ascii="Arial" w:hAnsi="Arial"/>
          <w:b w:val="0"/>
          <w:i w:val="0"/>
          <w:sz w:val="22"/>
        </w:rPr>
        <w:t>A year is a Jubilee when Y = 1. Position 4 (Y mod 7 = 4) marks the middle year of a nested seven-year unit — there are seven such mid-points in every 49-year cycle (Y = 4, 11, 18, 25, 32, 39, 46). The value 1437 is a counting offset; it is not an independently established historical claim about the Exodus. The calendar's phase is anchored on AD 30 (Y = 46, Position 4), and the test is whether the independently dated decree then falls where Daniel's count requires: 457 BC, Y = 1, a Jubilee. The four key calculations this paper relies on:</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584"/>
            <w:shd w:fill="EDE4CE" w:val="clear"/>
          </w:tcPr>
          <w:p>
            <w:r/>
            <w:r>
              <w:rPr>
                <w:rFonts w:ascii="Arial" w:hAnsi="Arial"/>
                <w:b/>
                <w:color w:val="2B2318"/>
                <w:sz w:val="18"/>
              </w:rPr>
              <w:t>Year</w:t>
            </w:r>
          </w:p>
        </w:tc>
        <w:tc>
          <w:tcPr>
            <w:tcW w:type="dxa" w:w="1296"/>
            <w:shd w:fill="EDE4CE" w:val="clear"/>
          </w:tcPr>
          <w:p>
            <w:r/>
            <w:r>
              <w:rPr>
                <w:rFonts w:ascii="Arial" w:hAnsi="Arial"/>
                <w:b/>
                <w:color w:val="2B2318"/>
                <w:sz w:val="18"/>
              </w:rPr>
              <w:t>B</w:t>
            </w:r>
          </w:p>
        </w:tc>
        <w:tc>
          <w:tcPr>
            <w:tcW w:type="dxa" w:w="1152"/>
            <w:shd w:fill="EDE4CE" w:val="clear"/>
          </w:tcPr>
          <w:p>
            <w:r/>
            <w:r>
              <w:rPr>
                <w:rFonts w:ascii="Arial" w:hAnsi="Arial"/>
                <w:b/>
                <w:color w:val="2B2318"/>
                <w:sz w:val="18"/>
              </w:rPr>
              <w:t>Cycle</w:t>
            </w:r>
          </w:p>
        </w:tc>
        <w:tc>
          <w:tcPr>
            <w:tcW w:type="dxa" w:w="1440"/>
            <w:shd w:fill="EDE4CE" w:val="clear"/>
          </w:tcPr>
          <w:p>
            <w:r/>
            <w:r>
              <w:rPr>
                <w:rFonts w:ascii="Arial" w:hAnsi="Arial"/>
                <w:b/>
                <w:color w:val="2B2318"/>
                <w:sz w:val="18"/>
              </w:rPr>
              <w:t>Y</w:t>
            </w:r>
          </w:p>
        </w:tc>
        <w:tc>
          <w:tcPr>
            <w:tcW w:type="dxa" w:w="1440"/>
            <w:shd w:fill="EDE4CE" w:val="clear"/>
          </w:tcPr>
          <w:p>
            <w:r/>
            <w:r>
              <w:rPr>
                <w:rFonts w:ascii="Arial" w:hAnsi="Arial"/>
                <w:b/>
                <w:color w:val="2B2318"/>
                <w:sz w:val="18"/>
              </w:rPr>
              <w:t>Position</w:t>
            </w:r>
          </w:p>
        </w:tc>
        <w:tc>
          <w:tcPr>
            <w:tcW w:type="dxa" w:w="1728"/>
            <w:shd w:fill="EDE4CE" w:val="clear"/>
          </w:tcPr>
          <w:p>
            <w:r/>
            <w:r>
              <w:rPr>
                <w:rFonts w:ascii="Arial" w:hAnsi="Arial"/>
                <w:b/>
                <w:color w:val="2B2318"/>
                <w:sz w:val="18"/>
              </w:rPr>
              <w:t>Status</w:t>
            </w:r>
          </w:p>
        </w:tc>
      </w:tr>
      <w:tr>
        <w:trPr>
          <w:cantSplit/>
        </w:trPr>
        <w:tc>
          <w:tcPr>
            <w:tcW w:type="dxa" w:w="1584"/>
          </w:tcPr>
          <w:p>
            <w:pPr>
              <w:spacing w:after="20" w:before="20"/>
            </w:pPr>
            <w:r/>
            <w:r>
              <w:rPr>
                <w:rFonts w:ascii="Arial" w:hAnsi="Arial"/>
                <w:sz w:val="18"/>
              </w:rPr>
              <w:t>457 BC</w:t>
            </w:r>
          </w:p>
        </w:tc>
        <w:tc>
          <w:tcPr>
            <w:tcW w:type="dxa" w:w="1296"/>
          </w:tcPr>
          <w:p>
            <w:pPr>
              <w:spacing w:after="20" w:before="20"/>
            </w:pPr>
            <w:r/>
            <w:r>
              <w:rPr>
                <w:rFonts w:ascii="Arial" w:hAnsi="Arial"/>
                <w:sz w:val="18"/>
              </w:rPr>
              <w:t>981</w:t>
            </w:r>
          </w:p>
        </w:tc>
        <w:tc>
          <w:tcPr>
            <w:tcW w:type="dxa" w:w="1152"/>
          </w:tcPr>
          <w:p>
            <w:pPr>
              <w:spacing w:after="20" w:before="20"/>
            </w:pPr>
            <w:r/>
            <w:r>
              <w:rPr>
                <w:rFonts w:ascii="Arial" w:hAnsi="Arial"/>
                <w:sz w:val="18"/>
              </w:rPr>
              <w:t>21</w:t>
            </w:r>
          </w:p>
        </w:tc>
        <w:tc>
          <w:tcPr>
            <w:tcW w:type="dxa" w:w="1440"/>
          </w:tcPr>
          <w:p>
            <w:pPr>
              <w:spacing w:after="20" w:before="20"/>
            </w:pPr>
            <w:r/>
            <w:r>
              <w:rPr>
                <w:rFonts w:ascii="Arial" w:hAnsi="Arial"/>
                <w:sz w:val="18"/>
              </w:rPr>
              <w:t>1</w:t>
            </w:r>
          </w:p>
        </w:tc>
        <w:tc>
          <w:tcPr>
            <w:tcW w:type="dxa" w:w="1440"/>
          </w:tcPr>
          <w:p>
            <w:pPr>
              <w:spacing w:after="20" w:before="20"/>
            </w:pPr>
            <w:r/>
            <w:r>
              <w:rPr>
                <w:rFonts w:ascii="Arial" w:hAnsi="Arial"/>
                <w:sz w:val="18"/>
              </w:rPr>
              <w:t>1</w:t>
            </w:r>
          </w:p>
        </w:tc>
        <w:tc>
          <w:tcPr>
            <w:tcW w:type="dxa" w:w="1728"/>
          </w:tcPr>
          <w:p>
            <w:pPr>
              <w:spacing w:after="20" w:before="20"/>
            </w:pPr>
            <w:r/>
            <w:r>
              <w:rPr>
                <w:rFonts w:ascii="Arial" w:hAnsi="Arial"/>
                <w:sz w:val="18"/>
              </w:rPr>
              <w:t>Jubilee; opens Daniel's 483-year count</w:t>
            </w:r>
          </w:p>
        </w:tc>
      </w:tr>
      <w:tr>
        <w:trPr>
          <w:cantSplit/>
        </w:trPr>
        <w:tc>
          <w:tcPr>
            <w:tcW w:type="dxa" w:w="1584"/>
          </w:tcPr>
          <w:p>
            <w:pPr>
              <w:spacing w:after="20" w:before="20"/>
            </w:pPr>
            <w:r/>
            <w:r>
              <w:rPr>
                <w:rFonts w:ascii="Arial" w:hAnsi="Arial"/>
                <w:sz w:val="18"/>
              </w:rPr>
              <w:t>AD 27</w:t>
            </w:r>
          </w:p>
        </w:tc>
        <w:tc>
          <w:tcPr>
            <w:tcW w:type="dxa" w:w="1296"/>
          </w:tcPr>
          <w:p>
            <w:pPr>
              <w:spacing w:after="20" w:before="20"/>
            </w:pPr>
            <w:r/>
            <w:r>
              <w:rPr>
                <w:rFonts w:ascii="Arial" w:hAnsi="Arial"/>
                <w:sz w:val="18"/>
              </w:rPr>
              <w:t>1464</w:t>
            </w:r>
          </w:p>
        </w:tc>
        <w:tc>
          <w:tcPr>
            <w:tcW w:type="dxa" w:w="1152"/>
          </w:tcPr>
          <w:p>
            <w:pPr>
              <w:spacing w:after="20" w:before="20"/>
            </w:pPr>
            <w:r/>
            <w:r>
              <w:rPr>
                <w:rFonts w:ascii="Arial" w:hAnsi="Arial"/>
                <w:sz w:val="18"/>
              </w:rPr>
              <w:t>30</w:t>
            </w:r>
          </w:p>
        </w:tc>
        <w:tc>
          <w:tcPr>
            <w:tcW w:type="dxa" w:w="1440"/>
          </w:tcPr>
          <w:p>
            <w:pPr>
              <w:spacing w:after="20" w:before="20"/>
            </w:pPr>
            <w:r/>
            <w:r>
              <w:rPr>
                <w:rFonts w:ascii="Arial" w:hAnsi="Arial"/>
                <w:sz w:val="18"/>
              </w:rPr>
              <w:t>43</w:t>
            </w:r>
          </w:p>
        </w:tc>
        <w:tc>
          <w:tcPr>
            <w:tcW w:type="dxa" w:w="1440"/>
          </w:tcPr>
          <w:p>
            <w:pPr>
              <w:spacing w:after="20" w:before="20"/>
            </w:pPr>
            <w:r/>
            <w:r>
              <w:rPr>
                <w:rFonts w:ascii="Arial" w:hAnsi="Arial"/>
                <w:sz w:val="18"/>
              </w:rPr>
              <w:t>1</w:t>
            </w:r>
          </w:p>
        </w:tc>
        <w:tc>
          <w:tcPr>
            <w:tcW w:type="dxa" w:w="1728"/>
          </w:tcPr>
          <w:p>
            <w:pPr>
              <w:spacing w:after="20" w:before="20"/>
            </w:pPr>
            <w:r/>
            <w:r>
              <w:rPr>
                <w:rFonts w:ascii="Arial" w:hAnsi="Arial"/>
                <w:sz w:val="18"/>
              </w:rPr>
              <w:t>Position 1 — opens final 7-year unit</w:t>
            </w:r>
          </w:p>
        </w:tc>
      </w:tr>
      <w:tr>
        <w:trPr>
          <w:cantSplit/>
        </w:trPr>
        <w:tc>
          <w:tcPr>
            <w:tcW w:type="dxa" w:w="1584"/>
          </w:tcPr>
          <w:p>
            <w:pPr>
              <w:spacing w:after="20" w:before="20"/>
            </w:pPr>
            <w:r/>
            <w:r>
              <w:rPr>
                <w:rFonts w:ascii="Arial" w:hAnsi="Arial"/>
                <w:sz w:val="18"/>
              </w:rPr>
              <w:t>AD 30</w:t>
            </w:r>
          </w:p>
        </w:tc>
        <w:tc>
          <w:tcPr>
            <w:tcW w:type="dxa" w:w="1296"/>
          </w:tcPr>
          <w:p>
            <w:pPr>
              <w:spacing w:after="20" w:before="20"/>
            </w:pPr>
            <w:r/>
            <w:r>
              <w:rPr>
                <w:rFonts w:ascii="Arial" w:hAnsi="Arial"/>
                <w:sz w:val="18"/>
              </w:rPr>
              <w:t>1467</w:t>
            </w:r>
          </w:p>
        </w:tc>
        <w:tc>
          <w:tcPr>
            <w:tcW w:type="dxa" w:w="1152"/>
          </w:tcPr>
          <w:p>
            <w:pPr>
              <w:spacing w:after="20" w:before="20"/>
            </w:pPr>
            <w:r/>
            <w:r>
              <w:rPr>
                <w:rFonts w:ascii="Arial" w:hAnsi="Arial"/>
                <w:sz w:val="18"/>
              </w:rPr>
              <w:t>30</w:t>
            </w:r>
          </w:p>
        </w:tc>
        <w:tc>
          <w:tcPr>
            <w:tcW w:type="dxa" w:w="1440"/>
          </w:tcPr>
          <w:p>
            <w:pPr>
              <w:spacing w:after="20" w:before="20"/>
            </w:pPr>
            <w:r/>
            <w:r>
              <w:rPr>
                <w:rFonts w:ascii="Arial" w:hAnsi="Arial"/>
                <w:sz w:val="18"/>
              </w:rPr>
              <w:t>46</w:t>
            </w:r>
          </w:p>
        </w:tc>
        <w:tc>
          <w:tcPr>
            <w:tcW w:type="dxa" w:w="1440"/>
          </w:tcPr>
          <w:p>
            <w:pPr>
              <w:spacing w:after="20" w:before="20"/>
            </w:pPr>
            <w:r/>
            <w:r>
              <w:rPr>
                <w:rFonts w:ascii="Arial" w:hAnsi="Arial"/>
                <w:sz w:val="18"/>
              </w:rPr>
              <w:t>4</w:t>
            </w:r>
          </w:p>
        </w:tc>
        <w:tc>
          <w:tcPr>
            <w:tcW w:type="dxa" w:w="1728"/>
          </w:tcPr>
          <w:p>
            <w:pPr>
              <w:spacing w:after="20" w:before="20"/>
            </w:pPr>
            <w:r/>
            <w:r>
              <w:rPr>
                <w:rFonts w:ascii="Arial" w:hAnsi="Arial"/>
                <w:sz w:val="18"/>
              </w:rPr>
              <w:t>Mid-point ("midst of the week")</w:t>
            </w:r>
          </w:p>
        </w:tc>
      </w:tr>
      <w:tr>
        <w:trPr>
          <w:cantSplit/>
        </w:trPr>
        <w:tc>
          <w:tcPr>
            <w:tcW w:type="dxa" w:w="1584"/>
          </w:tcPr>
          <w:p>
            <w:pPr>
              <w:spacing w:after="20" w:before="20"/>
            </w:pPr>
            <w:r/>
            <w:r>
              <w:rPr>
                <w:rFonts w:ascii="Arial" w:hAnsi="Arial"/>
                <w:sz w:val="18"/>
              </w:rPr>
              <w:t>AD 34</w:t>
            </w:r>
          </w:p>
        </w:tc>
        <w:tc>
          <w:tcPr>
            <w:tcW w:type="dxa" w:w="1296"/>
          </w:tcPr>
          <w:p>
            <w:pPr>
              <w:spacing w:after="20" w:before="20"/>
            </w:pPr>
            <w:r/>
            <w:r>
              <w:rPr>
                <w:rFonts w:ascii="Arial" w:hAnsi="Arial"/>
                <w:sz w:val="18"/>
              </w:rPr>
              <w:t>1471</w:t>
            </w:r>
          </w:p>
        </w:tc>
        <w:tc>
          <w:tcPr>
            <w:tcW w:type="dxa" w:w="1152"/>
          </w:tcPr>
          <w:p>
            <w:pPr>
              <w:spacing w:after="20" w:before="20"/>
            </w:pPr>
            <w:r/>
            <w:r>
              <w:rPr>
                <w:rFonts w:ascii="Arial" w:hAnsi="Arial"/>
                <w:sz w:val="18"/>
              </w:rPr>
              <w:t>31</w:t>
            </w:r>
          </w:p>
        </w:tc>
        <w:tc>
          <w:tcPr>
            <w:tcW w:type="dxa" w:w="1440"/>
          </w:tcPr>
          <w:p>
            <w:pPr>
              <w:spacing w:after="20" w:before="20"/>
            </w:pPr>
            <w:r/>
            <w:r>
              <w:rPr>
                <w:rFonts w:ascii="Arial" w:hAnsi="Arial"/>
                <w:sz w:val="18"/>
              </w:rPr>
              <w:t>1</w:t>
            </w:r>
          </w:p>
        </w:tc>
        <w:tc>
          <w:tcPr>
            <w:tcW w:type="dxa" w:w="1440"/>
          </w:tcPr>
          <w:p>
            <w:pPr>
              <w:spacing w:after="20" w:before="20"/>
            </w:pPr>
            <w:r/>
            <w:r>
              <w:rPr>
                <w:rFonts w:ascii="Arial" w:hAnsi="Arial"/>
                <w:sz w:val="18"/>
              </w:rPr>
              <w:t>1</w:t>
            </w:r>
          </w:p>
        </w:tc>
        <w:tc>
          <w:tcPr>
            <w:tcW w:type="dxa" w:w="1728"/>
          </w:tcPr>
          <w:p>
            <w:pPr>
              <w:spacing w:after="20" w:before="20"/>
            </w:pPr>
            <w:r/>
            <w:r>
              <w:rPr>
                <w:rFonts w:ascii="Arial" w:hAnsi="Arial"/>
                <w:sz w:val="18"/>
              </w:rPr>
              <w:t>Jubilee</w:t>
            </w:r>
          </w:p>
        </w:tc>
      </w:tr>
    </w:tbl>
    <w:p>
      <w:pPr>
        <w:spacing w:after="160" w:line="276" w:lineRule="auto"/>
      </w:pPr>
      <w:r>
        <w:rPr>
          <w:rFonts w:ascii="Arial" w:hAnsi="Arial"/>
          <w:b w:val="0"/>
          <w:i w:val="0"/>
          <w:sz w:val="22"/>
        </w:rPr>
        <w:t>The 483-year span from 457 BC to AD 27 (B difference: 1464 − 981 = 483) matches Daniel 9:25's sixty-nine "sevens" exactly. Every figure above is verifiable by hand using the formula stated. The CJC framework is treated here as a tool for testing alignments, not as a claim whose phase is independently proven by the alignments themselves.</w:t>
      </w:r>
    </w:p>
    <w:p>
      <w:pPr>
        <w:pStyle w:val="Heading1"/>
      </w:pPr>
      <w:r>
        <w:t>One Seven-Year Unit, Three Moments</w:t>
      </w:r>
    </w:p>
    <w:p>
      <w:pPr>
        <w:spacing w:after="160" w:line="276" w:lineRule="auto"/>
      </w:pPr>
      <w:r>
        <w:rPr>
          <w:rFonts w:ascii="Arial" w:hAnsi="Arial"/>
          <w:b w:val="0"/>
          <w:i w:val="0"/>
          <w:sz w:val="22"/>
        </w:rPr>
        <w:t>Jesus' anointing at his baptism (AD 27), the event that ends Daniel's 483 years, opens the final seven-year unit before the next real Jubilee, and the reading in the synagogue falls early in that same unit. On the Continuous Jubilee Calendar, AD 27 is not itself a Jubilee year; it is the opening position of the unit that runs to the AD 34 Jubilee. That makes Jesus' proclamation a Jubilee-shaped announcement of release, not a claim that the civil Jubilee year had already arrived.</w:t>
      </w:r>
    </w:p>
    <w:p>
      <w:pPr>
        <w:spacing w:after="160" w:line="276" w:lineRule="auto"/>
      </w:pPr>
      <w:r>
        <w:rPr>
          <w:rFonts w:ascii="Arial" w:hAnsi="Arial"/>
          <w:b w:val="0"/>
          <w:i w:val="0"/>
          <w:sz w:val="22"/>
        </w:rPr>
        <w:t>The Gospels don't fix the exact year of the reading. Luke 4:23 already refers to works done in Capernaum, so the reading may fall in AD 27 or early AD 28; either way it sits inside the same seven-year unit. The exact seven-year distance to the AD 34 Jubilee belongs to the anointing, not to the reading.</w:t>
      </w:r>
    </w:p>
    <w:p>
      <w:pPr>
        <w:spacing w:after="160" w:line="276" w:lineRule="auto"/>
      </w:pPr>
      <w:r>
        <w:rPr>
          <w:rFonts w:ascii="Arial" w:hAnsi="Arial"/>
          <w:b w:val="0"/>
          <w:i w:val="0"/>
          <w:sz w:val="22"/>
        </w:rPr>
        <w:t>Within the CJC's stated phase, these positions are exact, not approximate. They are also linked by arithmetic: 483 years is sixty-nine sevens, so once the 457 BC decree sits at Position 1, AD 27 must sit at Position 1 as well, and 490 years from the decree is ten full Jubilee cycles, so AD 34 must be a Jubilee. The positions are one arithmetic fact, not three separate confirmations. What can be tested against independent evidence is whether the events themselves date to those years: the decree from the Persian regnal chronology, the crucifixion from Pilate's term and the Passover calendar, and AD 34 from the sequence in Acts. The one position stated in advance is the middle of the week, which Daniel 9:27 names five centuries before the event.</w:t>
      </w:r>
    </w:p>
    <w:p>
      <w:pPr>
        <w:spacing w:after="160" w:line="276" w:lineRule="auto"/>
      </w:pPr>
      <w:r>
        <w:rPr>
          <w:rFonts w:ascii="Arial" w:hAnsi="Arial"/>
          <w:b w:val="0"/>
          <w:i w:val="0"/>
          <w:sz w:val="22"/>
        </w:rPr>
        <w:t>Run the calendar forward from the anointing:</w:t>
      </w:r>
    </w:p>
    <w:p>
      <w:pPr>
        <w:pStyle w:val="ListBullet"/>
        <w:spacing w:after="80" w:line="276" w:lineRule="auto"/>
      </w:pPr>
      <w:r>
        <w:rPr>
          <w:rFonts w:ascii="Arial" w:hAnsi="Arial"/>
          <w:sz w:val="22"/>
        </w:rPr>
        <w:t>The anointing (AD 27) falls at Position 1 — the opening of a fresh seven-year unit. The same seven-year-unit position the 457 BC decree occupied when it launched Daniel's 483-year countdown five centuries earlier — though 457 BC is stronger still: it is Y=1, a Jubilee, while AD 27 is Y=43, Position 1 within the unit only. The decree that launched Daniel's countdown opened on a Jubilee; the anointing that ended it opened the unit that leads to the next one.</w:t>
      </w:r>
    </w:p>
    <w:p>
      <w:pPr>
        <w:pStyle w:val="ListBullet"/>
        <w:spacing w:after="80" w:line="276" w:lineRule="auto"/>
      </w:pPr>
      <w:r>
        <w:rPr>
          <w:rFonts w:ascii="Arial" w:hAnsi="Arial"/>
          <w:sz w:val="22"/>
        </w:rPr>
        <w:t>The crucifixion (AD 30), three years later, falls at Position 4 — the exact structural middle of that unit. The "cut off... in the midst of the week" moment Daniel 9:27 named five centuries in advance.</w:t>
      </w:r>
    </w:p>
    <w:p>
      <w:pPr>
        <w:pStyle w:val="ListBullet"/>
        <w:spacing w:after="80" w:line="276" w:lineRule="auto"/>
      </w:pPr>
      <w:r>
        <w:rPr>
          <w:rFonts w:ascii="Arial" w:hAnsi="Arial"/>
          <w:sz w:val="22"/>
        </w:rPr>
        <w:t>AD 33 closes that same seven-year unit, at Position 7.</w:t>
      </w:r>
    </w:p>
    <w:p>
      <w:pPr>
        <w:pStyle w:val="ListBullet"/>
        <w:spacing w:after="80" w:line="276" w:lineRule="auto"/>
      </w:pPr>
      <w:r>
        <w:rPr>
          <w:rFonts w:ascii="Arial" w:hAnsi="Arial"/>
          <w:sz w:val="22"/>
        </w:rPr>
        <w:t>The next Jubilee follows immediately after — AD 34, seven years after the anointing, the year Acts 8:1 records the gospel breaking out of Jerusalem for the first time. This placement depends on Acts' narrative sequence around Stephen's martyrdom and the scattering of the church, not on an independent secular inscription; it should be treated as a strong internal biblical fit, not the same class of external anchor as AD 30 or 457 BC.</w:t>
      </w:r>
    </w:p>
    <w:p>
      <w:pPr>
        <w:spacing w:after="160" w:line="276" w:lineRule="auto"/>
      </w:pPr>
      <w:r>
        <w:rPr>
          <w:rFonts w:ascii="Arial" w:hAnsi="Arial"/>
          <w:b w:val="0"/>
          <w:i w:val="0"/>
          <w:sz w:val="22"/>
        </w:rPr>
        <w:t>Opening, middle, and the next Jubilee: one continuous span, with two of its anchors, the decree and the crucifixion, dated from outside the calendar. That is one shape, not three separate coincidences.</w:t>
      </w:r>
    </w:p>
    <w:p>
      <w:pPr>
        <w:spacing w:after="160" w:line="276" w:lineRule="auto"/>
      </w:pPr>
      <w:r>
        <w:rPr>
          <w:rFonts w:ascii="Arial" w:hAnsi="Arial"/>
          <w:b w:val="0"/>
          <w:i w:val="0"/>
          <w:sz w:val="22"/>
        </w:rPr>
        <w:t>This is why the reading matters beyond a dramatic moment in a synagogue: it's the announcement of a kingdom the crucifixion itself would go on to inaugurate. Daniel 7:13-14 describes "one like a son of man" given "dominion, glory, and a kingdom" that "will never be destroyed" — the same everlasting kingdom Daniel 9:24 says the seventy sevens were given to establish. Jesus opens that seven-year unit announcing the kingdom has arrived ("The time has come... the kingdom of God has come near," Mark 1:15); its middle is where Daniel 9:27 says sacrifice itself would end.</w:t>
      </w:r>
    </w:p>
    <w:p>
      <w:pPr>
        <w:pStyle w:val="Heading1"/>
      </w:pPr>
      <w:r>
        <w:t>Evidence Outside His Own Control</w:t>
      </w:r>
    </w:p>
    <w:p>
      <w:pPr>
        <w:spacing w:after="160" w:line="276" w:lineRule="auto"/>
      </w:pPr>
      <w:r>
        <w:rPr>
          <w:rFonts w:ascii="Arial" w:hAnsi="Arial"/>
          <w:b w:val="0"/>
          <w:i w:val="0"/>
          <w:sz w:val="22"/>
        </w:rPr>
        <w:t>Some things Jesus fulfilled, he could have arranged himself. Riding into Jerusalem on a donkey (Zechariah 9:9) was his own choice.</w:t>
      </w:r>
    </w:p>
    <w:p>
      <w:pPr>
        <w:spacing w:after="160" w:line="276" w:lineRule="auto"/>
      </w:pPr>
      <w:r>
        <w:rPr>
          <w:rFonts w:ascii="Arial" w:hAnsi="Arial"/>
          <w:b w:val="0"/>
          <w:i w:val="0"/>
          <w:sz w:val="22"/>
        </w:rPr>
        <w:t>What happened three years into that same unit couldn't be arranged by him at all:</w:t>
      </w:r>
    </w:p>
    <w:p>
      <w:pPr>
        <w:pStyle w:val="ListBullet"/>
        <w:spacing w:after="80" w:line="276" w:lineRule="auto"/>
      </w:pPr>
      <w:r>
        <w:rPr>
          <w:rFonts w:ascii="Arial" w:hAnsi="Arial"/>
          <w:sz w:val="22"/>
        </w:rPr>
        <w:t>Zechariah 12:10 — "they shall look upon me whom they have pierced." A Roman soldier, checking whether the execution was complete, drove a spear into his side (John 19:34), and John himself cites this verse (John 19:37). The soldier was following execution procedure; he had never read the prophets.</w:t>
      </w:r>
    </w:p>
    <w:p>
      <w:pPr>
        <w:pStyle w:val="ListBullet"/>
        <w:spacing w:after="80" w:line="276" w:lineRule="auto"/>
      </w:pPr>
      <w:r>
        <w:rPr>
          <w:rFonts w:ascii="Arial" w:hAnsi="Arial"/>
          <w:sz w:val="22"/>
        </w:rPr>
        <w:t>Isaiah 53:12 — "numbered with the transgressors." Rome decided who else would be crucified that day. Jesus was placed between two convicted criminals (Luke 23:32-33) — a Roman logistical decision.</w:t>
      </w:r>
    </w:p>
    <w:p>
      <w:pPr>
        <w:pStyle w:val="ListBullet"/>
        <w:spacing w:after="80" w:line="276" w:lineRule="auto"/>
      </w:pPr>
      <w:r>
        <w:rPr>
          <w:rFonts w:ascii="Arial" w:hAnsi="Arial"/>
          <w:sz w:val="22"/>
        </w:rPr>
        <w:t>Isaiah 53:9 — "with the rich in his death." Executed criminals were normally thrown into a common grave. Instead, a wealthy Sanhedrin member, Joseph of Arimathea, unexpectedly gave up his own new tomb (Matt 27:57-60) — a stranger's private decision.</w:t>
      </w:r>
    </w:p>
    <w:p>
      <w:pPr>
        <w:spacing w:after="160" w:line="276" w:lineRule="auto"/>
      </w:pPr>
      <w:r>
        <w:rPr>
          <w:rFonts w:ascii="Arial" w:hAnsi="Arial"/>
          <w:b w:val="0"/>
          <w:i w:val="0"/>
          <w:sz w:val="22"/>
        </w:rPr>
        <w:t>None of these were things Jesus did. They were things done to him, by people inside the story who had no stake in fulfilling scripture — and they landed exactly where the prophets said they would, centuries early, at Position 4, the precise middle of the seven-year unit that opened with his anointing. The people who reported these events, the Gospel writers, did know the prophecies, and a skeptic can fairly say they shaped what they recorded; the claim here is only about the people inside the story, who were not trying to fulfill anything.</w:t>
      </w:r>
    </w:p>
    <w:p>
      <w:pPr>
        <w:pStyle w:val="Heading1"/>
      </w:pPr>
      <w:r>
        <w:t>Not Isaiah Alone: The Wider Testimony</w:t>
      </w:r>
    </w:p>
    <w:p>
      <w:pPr>
        <w:spacing w:after="160" w:line="276" w:lineRule="auto"/>
      </w:pPr>
      <w:r>
        <w:rPr>
          <w:rFonts w:ascii="Arial" w:hAnsi="Arial"/>
          <w:b w:val="0"/>
          <w:i w:val="0"/>
          <w:sz w:val="22"/>
        </w:rPr>
        <w:t>The Isaiah 61 reading and the Passion fulfillments in Isaiah 53 and Zechariah 12 are not isolated. The same life that stopped mid-sentence in the synagogue also matched specific, detailed prophecies from every major section of the Old Testament — Genesis through Malachi, written across a thousand years by authors who never met each other, converging on a single person. The table below collects the clearest examples where the New Testament itself cites the Old Testament passage as fulfilled, beyond those already covered above.</w:t>
      </w:r>
    </w:p>
    <w:tbl>
      <w:tblPr>
        <w:tblStyle w:val="TableGrid"/>
        <w:tblW w:type="auto" w:w="0"/>
        <w:jc w:val="center"/>
        <w:tblLook w:firstColumn="1" w:firstRow="1" w:lastColumn="0" w:lastRow="0" w:noHBand="0" w:noVBand="1" w:val="04A0"/>
      </w:tblPr>
      <w:tblGrid>
        <w:gridCol w:w="3120"/>
        <w:gridCol w:w="3120"/>
        <w:gridCol w:w="3120"/>
      </w:tblGrid>
      <w:tr>
        <w:tc>
          <w:tcPr>
            <w:tcW w:type="dxa" w:w="2016"/>
            <w:shd w:fill="EDE4CE" w:val="clear"/>
          </w:tcPr>
          <w:p>
            <w:r/>
            <w:r>
              <w:rPr>
                <w:rFonts w:ascii="Arial" w:hAnsi="Arial"/>
                <w:b/>
                <w:color w:val="2B2318"/>
                <w:sz w:val="18"/>
              </w:rPr>
              <w:t>Old Testament prophecy</w:t>
            </w:r>
          </w:p>
        </w:tc>
        <w:tc>
          <w:tcPr>
            <w:tcW w:type="dxa" w:w="3312"/>
            <w:shd w:fill="EDE4CE" w:val="clear"/>
          </w:tcPr>
          <w:p>
            <w:r/>
            <w:r>
              <w:rPr>
                <w:rFonts w:ascii="Arial" w:hAnsi="Arial"/>
                <w:b/>
                <w:color w:val="2B2318"/>
                <w:sz w:val="18"/>
              </w:rPr>
              <w:t>What was foretold</w:t>
            </w:r>
          </w:p>
        </w:tc>
        <w:tc>
          <w:tcPr>
            <w:tcW w:type="dxa" w:w="4032"/>
            <w:shd w:fill="EDE4CE" w:val="clear"/>
          </w:tcPr>
          <w:p>
            <w:r/>
            <w:r>
              <w:rPr>
                <w:rFonts w:ascii="Arial" w:hAnsi="Arial"/>
                <w:b/>
                <w:color w:val="2B2318"/>
                <w:sz w:val="18"/>
              </w:rPr>
              <w:t>How it was fulfilled</w:t>
            </w:r>
          </w:p>
        </w:tc>
      </w:tr>
      <w:tr>
        <w:trPr>
          <w:cantSplit/>
        </w:trPr>
        <w:tc>
          <w:tcPr>
            <w:tcW w:type="dxa" w:w="2016"/>
          </w:tcPr>
          <w:p>
            <w:pPr>
              <w:spacing w:after="20" w:before="20"/>
            </w:pPr>
            <w:r/>
            <w:r>
              <w:rPr>
                <w:rFonts w:ascii="Arial" w:hAnsi="Arial"/>
                <w:sz w:val="18"/>
              </w:rPr>
              <w:t>Micah 5:2 (~700 BC)</w:t>
            </w:r>
          </w:p>
        </w:tc>
        <w:tc>
          <w:tcPr>
            <w:tcW w:type="dxa" w:w="3312"/>
          </w:tcPr>
          <w:p>
            <w:pPr>
              <w:spacing w:after="20" w:before="20"/>
            </w:pPr>
            <w:r/>
            <w:r>
              <w:rPr>
                <w:rFonts w:ascii="Arial" w:hAnsi="Arial"/>
                <w:sz w:val="18"/>
              </w:rPr>
              <w:t>A ruler born in Bethlehem Ephrathah</w:t>
            </w:r>
          </w:p>
        </w:tc>
        <w:tc>
          <w:tcPr>
            <w:tcW w:type="dxa" w:w="4032"/>
          </w:tcPr>
          <w:p>
            <w:pPr>
              <w:spacing w:after="20" w:before="20"/>
            </w:pPr>
            <w:r/>
            <w:r>
              <w:rPr>
                <w:rFonts w:ascii="Arial" w:hAnsi="Arial"/>
                <w:sz w:val="18"/>
              </w:rPr>
              <w:t>Matthew 2:4-6 — the chief priests cite Micah directly when Herod asks where the Messiah would be born</w:t>
            </w:r>
          </w:p>
        </w:tc>
      </w:tr>
      <w:tr>
        <w:trPr>
          <w:cantSplit/>
        </w:trPr>
        <w:tc>
          <w:tcPr>
            <w:tcW w:type="dxa" w:w="2016"/>
          </w:tcPr>
          <w:p>
            <w:pPr>
              <w:spacing w:after="20" w:before="20"/>
            </w:pPr>
            <w:r/>
            <w:r>
              <w:rPr>
                <w:rFonts w:ascii="Arial" w:hAnsi="Arial"/>
                <w:sz w:val="18"/>
              </w:rPr>
              <w:t>Genesis 49:10 (~1400 BC)</w:t>
            </w:r>
          </w:p>
        </w:tc>
        <w:tc>
          <w:tcPr>
            <w:tcW w:type="dxa" w:w="3312"/>
          </w:tcPr>
          <w:p>
            <w:pPr>
              <w:spacing w:after="20" w:before="20"/>
            </w:pPr>
            <w:r/>
            <w:r>
              <w:rPr>
                <w:rFonts w:ascii="Arial" w:hAnsi="Arial"/>
                <w:sz w:val="18"/>
              </w:rPr>
              <w:t>The scepter shall not depart from Judah, until Shiloh comes</w:t>
            </w:r>
          </w:p>
        </w:tc>
        <w:tc>
          <w:tcPr>
            <w:tcW w:type="dxa" w:w="4032"/>
          </w:tcPr>
          <w:p>
            <w:pPr>
              <w:spacing w:after="20" w:before="20"/>
            </w:pPr>
            <w:r/>
            <w:r>
              <w:rPr>
                <w:rFonts w:ascii="Arial" w:hAnsi="Arial"/>
                <w:sz w:val="18"/>
              </w:rPr>
              <w:t>Luke 3:33; Hebrews 7:14 — Jesus from the tribe of Judah</w:t>
            </w:r>
          </w:p>
        </w:tc>
      </w:tr>
      <w:tr>
        <w:trPr>
          <w:cantSplit/>
        </w:trPr>
        <w:tc>
          <w:tcPr>
            <w:tcW w:type="dxa" w:w="2016"/>
          </w:tcPr>
          <w:p>
            <w:pPr>
              <w:spacing w:after="20" w:before="20"/>
            </w:pPr>
            <w:r/>
            <w:r>
              <w:rPr>
                <w:rFonts w:ascii="Arial" w:hAnsi="Arial"/>
                <w:sz w:val="18"/>
              </w:rPr>
              <w:t>Genesis 12:3 (~1400 BC)</w:t>
            </w:r>
          </w:p>
        </w:tc>
        <w:tc>
          <w:tcPr>
            <w:tcW w:type="dxa" w:w="3312"/>
          </w:tcPr>
          <w:p>
            <w:pPr>
              <w:spacing w:after="20" w:before="20"/>
            </w:pPr>
            <w:r/>
            <w:r>
              <w:rPr>
                <w:rFonts w:ascii="Arial" w:hAnsi="Arial"/>
                <w:sz w:val="18"/>
              </w:rPr>
              <w:t>In you all the families of the earth shall be blessed</w:t>
            </w:r>
          </w:p>
        </w:tc>
        <w:tc>
          <w:tcPr>
            <w:tcW w:type="dxa" w:w="4032"/>
          </w:tcPr>
          <w:p>
            <w:pPr>
              <w:spacing w:after="20" w:before="20"/>
            </w:pPr>
            <w:r/>
            <w:r>
              <w:rPr>
                <w:rFonts w:ascii="Arial" w:hAnsi="Arial"/>
                <w:sz w:val="18"/>
              </w:rPr>
              <w:t>Matthew 1:1; Galatians 3:8,16 — Jesus traced to Abraham; the blessing extended to all nations</w:t>
            </w:r>
          </w:p>
        </w:tc>
      </w:tr>
      <w:tr>
        <w:trPr>
          <w:cantSplit/>
        </w:trPr>
        <w:tc>
          <w:tcPr>
            <w:tcW w:type="dxa" w:w="2016"/>
          </w:tcPr>
          <w:p>
            <w:pPr>
              <w:spacing w:after="20" w:before="20"/>
            </w:pPr>
            <w:r/>
            <w:r>
              <w:rPr>
                <w:rFonts w:ascii="Arial" w:hAnsi="Arial"/>
                <w:sz w:val="18"/>
              </w:rPr>
              <w:t>Deuteronomy 18:15 (~1400 BC)</w:t>
            </w:r>
          </w:p>
        </w:tc>
        <w:tc>
          <w:tcPr>
            <w:tcW w:type="dxa" w:w="3312"/>
          </w:tcPr>
          <w:p>
            <w:pPr>
              <w:spacing w:after="20" w:before="20"/>
            </w:pPr>
            <w:r/>
            <w:r>
              <w:rPr>
                <w:rFonts w:ascii="Arial" w:hAnsi="Arial"/>
                <w:sz w:val="18"/>
              </w:rPr>
              <w:t>A prophet like Moses, raised up from among Israel</w:t>
            </w:r>
          </w:p>
        </w:tc>
        <w:tc>
          <w:tcPr>
            <w:tcW w:type="dxa" w:w="4032"/>
          </w:tcPr>
          <w:p>
            <w:pPr>
              <w:spacing w:after="20" w:before="20"/>
            </w:pPr>
            <w:r/>
            <w:r>
              <w:rPr>
                <w:rFonts w:ascii="Arial" w:hAnsi="Arial"/>
                <w:sz w:val="18"/>
              </w:rPr>
              <w:t>Acts 3:20-22 — Peter cites this directly in his temple sermon</w:t>
            </w:r>
          </w:p>
        </w:tc>
      </w:tr>
      <w:tr>
        <w:trPr>
          <w:cantSplit/>
        </w:trPr>
        <w:tc>
          <w:tcPr>
            <w:tcW w:type="dxa" w:w="2016"/>
          </w:tcPr>
          <w:p>
            <w:pPr>
              <w:spacing w:after="20" w:before="20"/>
            </w:pPr>
            <w:r/>
            <w:r>
              <w:rPr>
                <w:rFonts w:ascii="Arial" w:hAnsi="Arial"/>
                <w:sz w:val="18"/>
              </w:rPr>
              <w:t>Malachi 3:1 (~400 BC)</w:t>
            </w:r>
          </w:p>
        </w:tc>
        <w:tc>
          <w:tcPr>
            <w:tcW w:type="dxa" w:w="3312"/>
          </w:tcPr>
          <w:p>
            <w:pPr>
              <w:spacing w:after="20" w:before="20"/>
            </w:pPr>
            <w:r/>
            <w:r>
              <w:rPr>
                <w:rFonts w:ascii="Arial" w:hAnsi="Arial"/>
                <w:sz w:val="18"/>
              </w:rPr>
              <w:t>A messenger preparing the way before the Lord</w:t>
            </w:r>
          </w:p>
        </w:tc>
        <w:tc>
          <w:tcPr>
            <w:tcW w:type="dxa" w:w="4032"/>
          </w:tcPr>
          <w:p>
            <w:pPr>
              <w:spacing w:after="20" w:before="20"/>
            </w:pPr>
            <w:r/>
            <w:r>
              <w:rPr>
                <w:rFonts w:ascii="Arial" w:hAnsi="Arial"/>
                <w:sz w:val="18"/>
              </w:rPr>
              <w:t>Matthew 11:10; Mark 1:2-3 — applied to John the Baptist</w:t>
            </w:r>
          </w:p>
        </w:tc>
      </w:tr>
      <w:tr>
        <w:trPr>
          <w:cantSplit/>
        </w:trPr>
        <w:tc>
          <w:tcPr>
            <w:tcW w:type="dxa" w:w="2016"/>
          </w:tcPr>
          <w:p>
            <w:pPr>
              <w:spacing w:after="20" w:before="20"/>
            </w:pPr>
            <w:r/>
            <w:r>
              <w:rPr>
                <w:rFonts w:ascii="Arial" w:hAnsi="Arial"/>
                <w:sz w:val="18"/>
              </w:rPr>
              <w:t>Malachi 4:5 (~400 BC)</w:t>
            </w:r>
          </w:p>
        </w:tc>
        <w:tc>
          <w:tcPr>
            <w:tcW w:type="dxa" w:w="3312"/>
          </w:tcPr>
          <w:p>
            <w:pPr>
              <w:spacing w:after="20" w:before="20"/>
            </w:pPr>
            <w:r/>
            <w:r>
              <w:rPr>
                <w:rFonts w:ascii="Arial" w:hAnsi="Arial"/>
                <w:sz w:val="18"/>
              </w:rPr>
              <w:t>Elijah the prophet before the great day of the Lord</w:t>
            </w:r>
          </w:p>
        </w:tc>
        <w:tc>
          <w:tcPr>
            <w:tcW w:type="dxa" w:w="4032"/>
          </w:tcPr>
          <w:p>
            <w:pPr>
              <w:spacing w:after="20" w:before="20"/>
            </w:pPr>
            <w:r/>
            <w:r>
              <w:rPr>
                <w:rFonts w:ascii="Arial" w:hAnsi="Arial"/>
                <w:sz w:val="18"/>
              </w:rPr>
              <w:t>Matthew 11:13-14; 17:12-13 — Jesus identifies John the Baptist as the Elijah to come</w:t>
            </w:r>
          </w:p>
        </w:tc>
      </w:tr>
      <w:tr>
        <w:trPr>
          <w:cantSplit/>
        </w:trPr>
        <w:tc>
          <w:tcPr>
            <w:tcW w:type="dxa" w:w="2016"/>
          </w:tcPr>
          <w:p>
            <w:pPr>
              <w:spacing w:after="20" w:before="20"/>
            </w:pPr>
            <w:r/>
            <w:r>
              <w:rPr>
                <w:rFonts w:ascii="Arial" w:hAnsi="Arial"/>
                <w:sz w:val="18"/>
              </w:rPr>
              <w:t>Psalm 22:1 (~1000 BC)</w:t>
            </w:r>
          </w:p>
        </w:tc>
        <w:tc>
          <w:tcPr>
            <w:tcW w:type="dxa" w:w="3312"/>
          </w:tcPr>
          <w:p>
            <w:pPr>
              <w:spacing w:after="20" w:before="20"/>
            </w:pPr>
            <w:r/>
            <w:r>
              <w:rPr>
                <w:rFonts w:ascii="Arial" w:hAnsi="Arial"/>
                <w:sz w:val="18"/>
              </w:rPr>
              <w:t>"My God, my God, why have you forsaken me?"</w:t>
            </w:r>
          </w:p>
        </w:tc>
        <w:tc>
          <w:tcPr>
            <w:tcW w:type="dxa" w:w="4032"/>
          </w:tcPr>
          <w:p>
            <w:pPr>
              <w:spacing w:after="20" w:before="20"/>
            </w:pPr>
            <w:r/>
            <w:r>
              <w:rPr>
                <w:rFonts w:ascii="Arial" w:hAnsi="Arial"/>
                <w:sz w:val="18"/>
              </w:rPr>
              <w:t>Matthew 27:46 — Jesus' exact words on the cross</w:t>
            </w:r>
          </w:p>
        </w:tc>
      </w:tr>
      <w:tr>
        <w:trPr>
          <w:cantSplit/>
        </w:trPr>
        <w:tc>
          <w:tcPr>
            <w:tcW w:type="dxa" w:w="2016"/>
          </w:tcPr>
          <w:p>
            <w:pPr>
              <w:spacing w:after="20" w:before="20"/>
            </w:pPr>
            <w:r/>
            <w:r>
              <w:rPr>
                <w:rFonts w:ascii="Arial" w:hAnsi="Arial"/>
                <w:sz w:val="18"/>
              </w:rPr>
              <w:t>Psalm 22:7-8 (~1000 BC)</w:t>
            </w:r>
          </w:p>
        </w:tc>
        <w:tc>
          <w:tcPr>
            <w:tcW w:type="dxa" w:w="3312"/>
          </w:tcPr>
          <w:p>
            <w:pPr>
              <w:spacing w:after="20" w:before="20"/>
            </w:pPr>
            <w:r/>
            <w:r>
              <w:rPr>
                <w:rFonts w:ascii="Arial" w:hAnsi="Arial"/>
                <w:sz w:val="18"/>
              </w:rPr>
              <w:t>"He trusted in the Lord; let him deliver him" — mocked by spectators</w:t>
            </w:r>
          </w:p>
        </w:tc>
        <w:tc>
          <w:tcPr>
            <w:tcW w:type="dxa" w:w="4032"/>
          </w:tcPr>
          <w:p>
            <w:pPr>
              <w:spacing w:after="20" w:before="20"/>
            </w:pPr>
            <w:r/>
            <w:r>
              <w:rPr>
                <w:rFonts w:ascii="Arial" w:hAnsi="Arial"/>
                <w:sz w:val="18"/>
              </w:rPr>
              <w:t>Matthew 27:39-43 — the crowd's exact mockery</w:t>
            </w:r>
          </w:p>
        </w:tc>
      </w:tr>
      <w:tr>
        <w:trPr>
          <w:cantSplit/>
        </w:trPr>
        <w:tc>
          <w:tcPr>
            <w:tcW w:type="dxa" w:w="2016"/>
          </w:tcPr>
          <w:p>
            <w:pPr>
              <w:spacing w:after="20" w:before="20"/>
            </w:pPr>
            <w:r/>
            <w:r>
              <w:rPr>
                <w:rFonts w:ascii="Arial" w:hAnsi="Arial"/>
                <w:sz w:val="18"/>
              </w:rPr>
              <w:t>Psalm 22:16 (~1000 BC)</w:t>
            </w:r>
          </w:p>
        </w:tc>
        <w:tc>
          <w:tcPr>
            <w:tcW w:type="dxa" w:w="3312"/>
          </w:tcPr>
          <w:p>
            <w:pPr>
              <w:spacing w:after="20" w:before="20"/>
            </w:pPr>
            <w:r/>
            <w:r>
              <w:rPr>
                <w:rFonts w:ascii="Arial" w:hAnsi="Arial"/>
                <w:sz w:val="18"/>
              </w:rPr>
              <w:t>"They have pierced my hands and feet"</w:t>
            </w:r>
          </w:p>
        </w:tc>
        <w:tc>
          <w:tcPr>
            <w:tcW w:type="dxa" w:w="4032"/>
          </w:tcPr>
          <w:p>
            <w:pPr>
              <w:spacing w:after="20" w:before="20"/>
            </w:pPr>
            <w:r/>
            <w:r>
              <w:rPr>
                <w:rFonts w:ascii="Arial" w:hAnsi="Arial"/>
                <w:sz w:val="18"/>
              </w:rPr>
              <w:t>John 20:25 — Thomas sees the marks. Written centuries before Rome invented crucifixion</w:t>
            </w:r>
          </w:p>
        </w:tc>
      </w:tr>
      <w:tr>
        <w:trPr>
          <w:cantSplit/>
        </w:trPr>
        <w:tc>
          <w:tcPr>
            <w:tcW w:type="dxa" w:w="2016"/>
          </w:tcPr>
          <w:p>
            <w:pPr>
              <w:spacing w:after="20" w:before="20"/>
            </w:pPr>
            <w:r/>
            <w:r>
              <w:rPr>
                <w:rFonts w:ascii="Arial" w:hAnsi="Arial"/>
                <w:sz w:val="18"/>
              </w:rPr>
              <w:t>Psalm 22:18 (~1000 BC)</w:t>
            </w:r>
          </w:p>
        </w:tc>
        <w:tc>
          <w:tcPr>
            <w:tcW w:type="dxa" w:w="3312"/>
          </w:tcPr>
          <w:p>
            <w:pPr>
              <w:spacing w:after="20" w:before="20"/>
            </w:pPr>
            <w:r/>
            <w:r>
              <w:rPr>
                <w:rFonts w:ascii="Arial" w:hAnsi="Arial"/>
                <w:sz w:val="18"/>
              </w:rPr>
              <w:t>Garments divided, lots cast for clothing</w:t>
            </w:r>
          </w:p>
        </w:tc>
        <w:tc>
          <w:tcPr>
            <w:tcW w:type="dxa" w:w="4032"/>
          </w:tcPr>
          <w:p>
            <w:pPr>
              <w:spacing w:after="20" w:before="20"/>
            </w:pPr>
            <w:r/>
            <w:r>
              <w:rPr>
                <w:rFonts w:ascii="Arial" w:hAnsi="Arial"/>
                <w:sz w:val="18"/>
              </w:rPr>
              <w:t>John 19:23-24 — Roman soldiers who had never read the Psalm</w:t>
            </w:r>
          </w:p>
        </w:tc>
      </w:tr>
      <w:tr>
        <w:trPr>
          <w:cantSplit/>
        </w:trPr>
        <w:tc>
          <w:tcPr>
            <w:tcW w:type="dxa" w:w="2016"/>
          </w:tcPr>
          <w:p>
            <w:pPr>
              <w:spacing w:after="20" w:before="20"/>
            </w:pPr>
            <w:r/>
            <w:r>
              <w:rPr>
                <w:rFonts w:ascii="Arial" w:hAnsi="Arial"/>
                <w:sz w:val="18"/>
              </w:rPr>
              <w:t>Psalm 69:21 (~1000 BC)</w:t>
            </w:r>
          </w:p>
        </w:tc>
        <w:tc>
          <w:tcPr>
            <w:tcW w:type="dxa" w:w="3312"/>
          </w:tcPr>
          <w:p>
            <w:pPr>
              <w:spacing w:after="20" w:before="20"/>
            </w:pPr>
            <w:r/>
            <w:r>
              <w:rPr>
                <w:rFonts w:ascii="Arial" w:hAnsi="Arial"/>
                <w:sz w:val="18"/>
              </w:rPr>
              <w:t>"For my thirst they gave me sour wine to drink"</w:t>
            </w:r>
          </w:p>
        </w:tc>
        <w:tc>
          <w:tcPr>
            <w:tcW w:type="dxa" w:w="4032"/>
          </w:tcPr>
          <w:p>
            <w:pPr>
              <w:spacing w:after="20" w:before="20"/>
            </w:pPr>
            <w:r/>
            <w:r>
              <w:rPr>
                <w:rFonts w:ascii="Arial" w:hAnsi="Arial"/>
                <w:sz w:val="18"/>
              </w:rPr>
              <w:t>John 19:28-29; Matthew 27:34</w:t>
            </w:r>
          </w:p>
        </w:tc>
      </w:tr>
      <w:tr>
        <w:trPr>
          <w:cantSplit/>
        </w:trPr>
        <w:tc>
          <w:tcPr>
            <w:tcW w:type="dxa" w:w="2016"/>
          </w:tcPr>
          <w:p>
            <w:pPr>
              <w:spacing w:after="20" w:before="20"/>
            </w:pPr>
            <w:r/>
            <w:r>
              <w:rPr>
                <w:rFonts w:ascii="Arial" w:hAnsi="Arial"/>
                <w:sz w:val="18"/>
              </w:rPr>
              <w:t>Psalm 34:20 (~1000 BC)</w:t>
            </w:r>
          </w:p>
        </w:tc>
        <w:tc>
          <w:tcPr>
            <w:tcW w:type="dxa" w:w="3312"/>
          </w:tcPr>
          <w:p>
            <w:pPr>
              <w:spacing w:after="20" w:before="20"/>
            </w:pPr>
            <w:r/>
            <w:r>
              <w:rPr>
                <w:rFonts w:ascii="Arial" w:hAnsi="Arial"/>
                <w:sz w:val="18"/>
              </w:rPr>
              <w:t>"He keeps all his bones; not one of them is broken"</w:t>
            </w:r>
          </w:p>
        </w:tc>
        <w:tc>
          <w:tcPr>
            <w:tcW w:type="dxa" w:w="4032"/>
          </w:tcPr>
          <w:p>
            <w:pPr>
              <w:spacing w:after="20" w:before="20"/>
            </w:pPr>
            <w:r/>
            <w:r>
              <w:rPr>
                <w:rFonts w:ascii="Arial" w:hAnsi="Arial"/>
                <w:sz w:val="18"/>
              </w:rPr>
              <w:t>John 19:33,36 — the soldiers found him already dead; John cites the Psalm directly</w:t>
            </w:r>
          </w:p>
        </w:tc>
      </w:tr>
      <w:tr>
        <w:trPr>
          <w:cantSplit/>
        </w:trPr>
        <w:tc>
          <w:tcPr>
            <w:tcW w:type="dxa" w:w="2016"/>
          </w:tcPr>
          <w:p>
            <w:pPr>
              <w:spacing w:after="20" w:before="20"/>
            </w:pPr>
            <w:r/>
            <w:r>
              <w:rPr>
                <w:rFonts w:ascii="Arial" w:hAnsi="Arial"/>
                <w:sz w:val="18"/>
              </w:rPr>
              <w:t>Psalm 41:9 (~1000 BC)</w:t>
            </w:r>
          </w:p>
        </w:tc>
        <w:tc>
          <w:tcPr>
            <w:tcW w:type="dxa" w:w="3312"/>
          </w:tcPr>
          <w:p>
            <w:pPr>
              <w:spacing w:after="20" w:before="20"/>
            </w:pPr>
            <w:r/>
            <w:r>
              <w:rPr>
                <w:rFonts w:ascii="Arial" w:hAnsi="Arial"/>
                <w:sz w:val="18"/>
              </w:rPr>
              <w:t>"My close friend, who ate my bread, has lifted his heel against me"</w:t>
            </w:r>
          </w:p>
        </w:tc>
        <w:tc>
          <w:tcPr>
            <w:tcW w:type="dxa" w:w="4032"/>
          </w:tcPr>
          <w:p>
            <w:pPr>
              <w:spacing w:after="20" w:before="20"/>
            </w:pPr>
            <w:r/>
            <w:r>
              <w:rPr>
                <w:rFonts w:ascii="Arial" w:hAnsi="Arial"/>
                <w:sz w:val="18"/>
              </w:rPr>
              <w:t>John 13:18 — Judas, at the Last Supper itself</w:t>
            </w:r>
          </w:p>
        </w:tc>
      </w:tr>
      <w:tr>
        <w:trPr>
          <w:cantSplit/>
        </w:trPr>
        <w:tc>
          <w:tcPr>
            <w:tcW w:type="dxa" w:w="2016"/>
          </w:tcPr>
          <w:p>
            <w:pPr>
              <w:spacing w:after="20" w:before="20"/>
            </w:pPr>
            <w:r/>
            <w:r>
              <w:rPr>
                <w:rFonts w:ascii="Arial" w:hAnsi="Arial"/>
                <w:sz w:val="18"/>
              </w:rPr>
              <w:t>Zechariah 11:12-13 (~520 BC)</w:t>
            </w:r>
          </w:p>
        </w:tc>
        <w:tc>
          <w:tcPr>
            <w:tcW w:type="dxa" w:w="3312"/>
          </w:tcPr>
          <w:p>
            <w:pPr>
              <w:spacing w:after="20" w:before="20"/>
            </w:pPr>
            <w:r/>
            <w:r>
              <w:rPr>
                <w:rFonts w:ascii="Arial" w:hAnsi="Arial"/>
                <w:sz w:val="18"/>
              </w:rPr>
              <w:t>Thirty shekels of silver, thrown into the temple, given to a potter</w:t>
            </w:r>
          </w:p>
        </w:tc>
        <w:tc>
          <w:tcPr>
            <w:tcW w:type="dxa" w:w="4032"/>
          </w:tcPr>
          <w:p>
            <w:pPr>
              <w:spacing w:after="20" w:before="20"/>
            </w:pPr>
            <w:r/>
            <w:r>
              <w:rPr>
                <w:rFonts w:ascii="Arial" w:hAnsi="Arial"/>
                <w:sz w:val="18"/>
              </w:rPr>
              <w:t>Matthew 26:15; 27:3-10 — both the exact price and the disposal of the money, five centuries in advance</w:t>
            </w:r>
          </w:p>
        </w:tc>
      </w:tr>
      <w:tr>
        <w:trPr>
          <w:cantSplit/>
        </w:trPr>
        <w:tc>
          <w:tcPr>
            <w:tcW w:type="dxa" w:w="2016"/>
          </w:tcPr>
          <w:p>
            <w:pPr>
              <w:spacing w:after="20" w:before="20"/>
            </w:pPr>
            <w:r/>
            <w:r>
              <w:rPr>
                <w:rFonts w:ascii="Arial" w:hAnsi="Arial"/>
                <w:sz w:val="18"/>
              </w:rPr>
              <w:t>Zechariah 13:7 (~520 BC)</w:t>
            </w:r>
          </w:p>
        </w:tc>
        <w:tc>
          <w:tcPr>
            <w:tcW w:type="dxa" w:w="3312"/>
          </w:tcPr>
          <w:p>
            <w:pPr>
              <w:spacing w:after="20" w:before="20"/>
            </w:pPr>
            <w:r/>
            <w:r>
              <w:rPr>
                <w:rFonts w:ascii="Arial" w:hAnsi="Arial"/>
                <w:sz w:val="18"/>
              </w:rPr>
              <w:t>"Strike the shepherd, and the sheep will be scattered"</w:t>
            </w:r>
          </w:p>
        </w:tc>
        <w:tc>
          <w:tcPr>
            <w:tcW w:type="dxa" w:w="4032"/>
          </w:tcPr>
          <w:p>
            <w:pPr>
              <w:spacing w:after="20" w:before="20"/>
            </w:pPr>
            <w:r/>
            <w:r>
              <w:rPr>
                <w:rFonts w:ascii="Arial" w:hAnsi="Arial"/>
                <w:sz w:val="18"/>
              </w:rPr>
              <w:t>Matthew 26:31; Mark 14:27 — all the disciples flee</w:t>
            </w:r>
          </w:p>
        </w:tc>
      </w:tr>
      <w:tr>
        <w:trPr>
          <w:cantSplit/>
        </w:trPr>
        <w:tc>
          <w:tcPr>
            <w:tcW w:type="dxa" w:w="2016"/>
          </w:tcPr>
          <w:p>
            <w:pPr>
              <w:spacing w:after="20" w:before="20"/>
            </w:pPr>
            <w:r/>
            <w:r>
              <w:rPr>
                <w:rFonts w:ascii="Arial" w:hAnsi="Arial"/>
                <w:sz w:val="18"/>
              </w:rPr>
              <w:t>Psalm 118:22 (~1000 BC)</w:t>
            </w:r>
          </w:p>
        </w:tc>
        <w:tc>
          <w:tcPr>
            <w:tcW w:type="dxa" w:w="3312"/>
          </w:tcPr>
          <w:p>
            <w:pPr>
              <w:spacing w:after="20" w:before="20"/>
            </w:pPr>
            <w:r/>
            <w:r>
              <w:rPr>
                <w:rFonts w:ascii="Arial" w:hAnsi="Arial"/>
                <w:sz w:val="18"/>
              </w:rPr>
              <w:t>"The stone that the builders rejected has become the cornerstone"</w:t>
            </w:r>
          </w:p>
        </w:tc>
        <w:tc>
          <w:tcPr>
            <w:tcW w:type="dxa" w:w="4032"/>
          </w:tcPr>
          <w:p>
            <w:pPr>
              <w:spacing w:after="20" w:before="20"/>
            </w:pPr>
            <w:r/>
            <w:r>
              <w:rPr>
                <w:rFonts w:ascii="Arial" w:hAnsi="Arial"/>
                <w:sz w:val="18"/>
              </w:rPr>
              <w:t>Matthew 21:42; Acts 4:11 — Jesus cites it against the chief priests; Peter at Pentecost</w:t>
            </w:r>
          </w:p>
        </w:tc>
      </w:tr>
      <w:tr>
        <w:trPr>
          <w:cantSplit/>
        </w:trPr>
        <w:tc>
          <w:tcPr>
            <w:tcW w:type="dxa" w:w="2016"/>
          </w:tcPr>
          <w:p>
            <w:pPr>
              <w:spacing w:after="20" w:before="20"/>
            </w:pPr>
            <w:r/>
            <w:r>
              <w:rPr>
                <w:rFonts w:ascii="Arial" w:hAnsi="Arial"/>
                <w:sz w:val="18"/>
              </w:rPr>
              <w:t>Psalm 118:26 (~1000 BC)</w:t>
            </w:r>
          </w:p>
        </w:tc>
        <w:tc>
          <w:tcPr>
            <w:tcW w:type="dxa" w:w="3312"/>
          </w:tcPr>
          <w:p>
            <w:pPr>
              <w:spacing w:after="20" w:before="20"/>
            </w:pPr>
            <w:r/>
            <w:r>
              <w:rPr>
                <w:rFonts w:ascii="Arial" w:hAnsi="Arial"/>
                <w:sz w:val="18"/>
              </w:rPr>
              <w:t>"Blessed is he who comes in the name of the Lord"</w:t>
            </w:r>
          </w:p>
        </w:tc>
        <w:tc>
          <w:tcPr>
            <w:tcW w:type="dxa" w:w="4032"/>
          </w:tcPr>
          <w:p>
            <w:pPr>
              <w:spacing w:after="20" w:before="20"/>
            </w:pPr>
            <w:r/>
            <w:r>
              <w:rPr>
                <w:rFonts w:ascii="Arial" w:hAnsi="Arial"/>
                <w:sz w:val="18"/>
              </w:rPr>
              <w:t>Matthew 21:9 — the crowd's exact words on Palm Sunday</w:t>
            </w:r>
          </w:p>
        </w:tc>
      </w:tr>
      <w:tr>
        <w:trPr>
          <w:cantSplit/>
        </w:trPr>
        <w:tc>
          <w:tcPr>
            <w:tcW w:type="dxa" w:w="2016"/>
          </w:tcPr>
          <w:p>
            <w:pPr>
              <w:spacing w:after="20" w:before="20"/>
            </w:pPr>
            <w:r/>
            <w:r>
              <w:rPr>
                <w:rFonts w:ascii="Arial" w:hAnsi="Arial"/>
                <w:sz w:val="18"/>
              </w:rPr>
              <w:t>Psalm 110:1 (~1000 BC)</w:t>
            </w:r>
          </w:p>
        </w:tc>
        <w:tc>
          <w:tcPr>
            <w:tcW w:type="dxa" w:w="3312"/>
          </w:tcPr>
          <w:p>
            <w:pPr>
              <w:spacing w:after="20" w:before="20"/>
            </w:pPr>
            <w:r/>
            <w:r>
              <w:rPr>
                <w:rFonts w:ascii="Arial" w:hAnsi="Arial"/>
                <w:sz w:val="18"/>
              </w:rPr>
              <w:t>"The Lord said to my Lord: Sit at my right hand"</w:t>
            </w:r>
          </w:p>
        </w:tc>
        <w:tc>
          <w:tcPr>
            <w:tcW w:type="dxa" w:w="4032"/>
          </w:tcPr>
          <w:p>
            <w:pPr>
              <w:spacing w:after="20" w:before="20"/>
            </w:pPr>
            <w:r/>
            <w:r>
              <w:rPr>
                <w:rFonts w:ascii="Arial" w:hAnsi="Arial"/>
                <w:sz w:val="18"/>
              </w:rPr>
              <w:t>Matthew 22:44; Acts 2:34-35 — Jesus uses it to silence his challengers; Peter at Pentecost</w:t>
            </w:r>
          </w:p>
        </w:tc>
      </w:tr>
      <w:tr>
        <w:trPr>
          <w:cantSplit/>
        </w:trPr>
        <w:tc>
          <w:tcPr>
            <w:tcW w:type="dxa" w:w="2016"/>
          </w:tcPr>
          <w:p>
            <w:pPr>
              <w:spacing w:after="20" w:before="20"/>
            </w:pPr>
            <w:r/>
            <w:r>
              <w:rPr>
                <w:rFonts w:ascii="Arial" w:hAnsi="Arial"/>
                <w:sz w:val="18"/>
              </w:rPr>
              <w:t>Psalm 110:4 (~1000 BC)</w:t>
            </w:r>
          </w:p>
        </w:tc>
        <w:tc>
          <w:tcPr>
            <w:tcW w:type="dxa" w:w="3312"/>
          </w:tcPr>
          <w:p>
            <w:pPr>
              <w:spacing w:after="20" w:before="20"/>
            </w:pPr>
            <w:r/>
            <w:r>
              <w:rPr>
                <w:rFonts w:ascii="Arial" w:hAnsi="Arial"/>
                <w:sz w:val="18"/>
              </w:rPr>
              <w:t>"A priest forever after the order of Melchizedek"</w:t>
            </w:r>
          </w:p>
        </w:tc>
        <w:tc>
          <w:tcPr>
            <w:tcW w:type="dxa" w:w="4032"/>
          </w:tcPr>
          <w:p>
            <w:pPr>
              <w:spacing w:after="20" w:before="20"/>
            </w:pPr>
            <w:r/>
            <w:r>
              <w:rPr>
                <w:rFonts w:ascii="Arial" w:hAnsi="Arial"/>
                <w:sz w:val="18"/>
              </w:rPr>
              <w:t>Hebrews 5:6; 7:17 — a king who is also a priest, combining offices no Davidic descendant held</w:t>
            </w:r>
          </w:p>
        </w:tc>
      </w:tr>
      <w:tr>
        <w:trPr>
          <w:cantSplit/>
        </w:trPr>
        <w:tc>
          <w:tcPr>
            <w:tcW w:type="dxa" w:w="2016"/>
          </w:tcPr>
          <w:p>
            <w:pPr>
              <w:spacing w:after="20" w:before="20"/>
            </w:pPr>
            <w:r/>
            <w:r>
              <w:rPr>
                <w:rFonts w:ascii="Arial" w:hAnsi="Arial"/>
                <w:sz w:val="18"/>
              </w:rPr>
              <w:t>Psalm 16:10 (~1000 BC)</w:t>
            </w:r>
          </w:p>
        </w:tc>
        <w:tc>
          <w:tcPr>
            <w:tcW w:type="dxa" w:w="3312"/>
          </w:tcPr>
          <w:p>
            <w:pPr>
              <w:spacing w:after="20" w:before="20"/>
            </w:pPr>
            <w:r/>
            <w:r>
              <w:rPr>
                <w:rFonts w:ascii="Arial" w:hAnsi="Arial"/>
                <w:sz w:val="18"/>
              </w:rPr>
              <w:t>"You will not let your holy one see corruption"</w:t>
            </w:r>
          </w:p>
        </w:tc>
        <w:tc>
          <w:tcPr>
            <w:tcW w:type="dxa" w:w="4032"/>
          </w:tcPr>
          <w:p>
            <w:pPr>
              <w:spacing w:after="20" w:before="20"/>
            </w:pPr>
            <w:r/>
            <w:r>
              <w:rPr>
                <w:rFonts w:ascii="Arial" w:hAnsi="Arial"/>
                <w:sz w:val="18"/>
              </w:rPr>
              <w:t>Acts 2:24-32 — Peter at Pentecost: David died and was buried and his tomb is still here, so he was looking ahead</w:t>
            </w:r>
          </w:p>
        </w:tc>
      </w:tr>
    </w:tbl>
    <w:p>
      <w:pPr>
        <w:spacing w:after="160" w:line="276" w:lineRule="auto"/>
      </w:pPr>
      <w:r>
        <w:rPr>
          <w:rFonts w:ascii="Arial" w:hAnsi="Arial"/>
          <w:b w:val="0"/>
          <w:i w:val="0"/>
          <w:sz w:val="22"/>
        </w:rPr>
        <w:t>The most striking cluster is Psalm 22. Written roughly a thousand years before Jesus, it describes crucifixion — a Roman method of execution that did not yet exist. It specifies pierced hands and feet (v. 16), garments divided and lots cast (v. 18), mocking spectators (vv. 7-8), and sour wine (Psalm 69:21). Each of these was carried out by Roman soldiers who had never read the Psalm and had no stake in fulfilling it — the same standard this paper applies throughout: the people inside the story were not trying to fulfill anything.</w:t>
      </w:r>
    </w:p>
    <w:p>
      <w:pPr>
        <w:spacing w:after="160" w:line="276" w:lineRule="auto"/>
      </w:pPr>
      <w:r>
        <w:rPr>
          <w:rFonts w:ascii="Arial" w:hAnsi="Arial"/>
          <w:b w:val="0"/>
          <w:i w:val="0"/>
          <w:sz w:val="22"/>
        </w:rPr>
        <w:t>Nor is the pattern confined to the Passion. The same life fulfilled prophecies about birthplace (Micah 5:2), tribal lineage (Genesis 49:10), the role of a forerunner (Malachi 3:1; 4:5), a combined king-priest office no Davidic descendant was supposed to hold (Psalm 110:4), and a resurrection David's own words seem to look past (Psalm 16:10 — "You will not let your holy one see corruption," which Peter argues at Pentecost cannot apply to David himself, since David died and his tomb was still there).</w:t>
      </w:r>
    </w:p>
    <w:p>
      <w:pPr>
        <w:spacing w:after="160" w:line="276" w:lineRule="auto"/>
      </w:pPr>
      <w:r>
        <w:rPr>
          <w:rFonts w:ascii="Arial" w:hAnsi="Arial"/>
          <w:b w:val="0"/>
          <w:i w:val="0"/>
          <w:sz w:val="22"/>
        </w:rPr>
        <w:t>One life. One shape. Prophecies written across a millennium, by multiple authors who never met each other, converging on the same person — and many of the most specific details fulfilled by people who had no idea they were fulfilling anything at all.</w:t>
      </w:r>
    </w:p>
    <w:p>
      <w:pPr>
        <w:pStyle w:val="Heading1"/>
      </w:pPr>
      <w:r>
        <w:t>An Honest Objection</w:t>
      </w:r>
    </w:p>
    <w:p>
      <w:pPr>
        <w:spacing w:after="160" w:line="276" w:lineRule="auto"/>
      </w:pPr>
      <w:r>
        <w:rPr>
          <w:rFonts w:ascii="Arial" w:hAnsi="Arial"/>
          <w:b w:val="0"/>
          <w:i w:val="0"/>
          <w:sz w:val="22"/>
        </w:rPr>
        <w:t>A fair reader will ask: if this reading really points to the Messiah, why do most Jewish readers of this same text not see it that way?</w:t>
      </w:r>
    </w:p>
    <w:p>
      <w:pPr>
        <w:spacing w:after="160" w:line="276" w:lineRule="auto"/>
      </w:pPr>
      <w:r>
        <w:rPr>
          <w:rFonts w:ascii="Arial" w:hAnsi="Arial"/>
          <w:b w:val="0"/>
          <w:i w:val="0"/>
          <w:sz w:val="22"/>
        </w:rPr>
        <w:t>The most common objection is that the Messiah was expected to bring visible, national restoration — exiles gathered home, the Temple permanently secured, war ended — and none of that happened in Jesus' lifetime or since. This deserves to be taken seriously, because it isn't really a separate objection — it's the same observation from the other direction. Every item on that list belongs to the second half of Isaiah 61:2, the half Jesus didn't read that day. A critic pointing out the physical restoration never arrived is, without intending to, confirming exactly what this paper has already shown from the text itself. The table above shows the other side of the same division: the promises Jesus did claim were fulfilled on both levels, in physical signs a crowd could see and in the spiritual release those signs pointed to, while the physical restoration of the nation belongs to the half he left unread.</w:t>
      </w:r>
    </w:p>
    <w:p>
      <w:pPr>
        <w:spacing w:after="160" w:line="276" w:lineRule="auto"/>
      </w:pPr>
      <w:r>
        <w:rPr>
          <w:rFonts w:ascii="Arial" w:hAnsi="Arial"/>
          <w:b w:val="0"/>
          <w:i w:val="0"/>
          <w:sz w:val="22"/>
        </w:rPr>
        <w:t>The next question usually follows: doesn't a "second coming" solve this too conveniently? It's worth knowing a two-stage messianic expectation isn't only a Christian idea invented to patch the gap. Rabbinic tradition developed its own two-figure expectation — Mashiach ben Yosef, who suffers, and Mashiach ben David, who reigns — discussed as early as the Babylonian Talmud (Sukkah 52a). The split this paper describes isn't a Christian graft onto Judaism from outside.</w:t>
      </w:r>
    </w:p>
    <w:p>
      <w:pPr>
        <w:spacing w:after="160" w:line="276" w:lineRule="auto"/>
      </w:pPr>
      <w:r>
        <w:rPr>
          <w:rFonts w:ascii="Arial" w:hAnsi="Arial"/>
          <w:b w:val="0"/>
          <w:i w:val="0"/>
          <w:sz w:val="22"/>
        </w:rPr>
        <w:t>What this paper has tried to do is narrower and more checkable: show that Jesus' choice of where to stop reading was deliberate; that he later cited that same reading, unprompted, as his direct answer to "are you the one"; that the moment itself sits at a fixed, precise position on an independently-verifiable calendar; and that what happened to him three years later matched, in specific and uncontrollable detail, what had been written centuries earlier.</w:t>
      </w:r>
    </w:p>
    <w:p>
      <w:pPr>
        <w:pStyle w:val="Heading1"/>
      </w:pPr>
      <w:r>
        <w:t>Sources and References</w:t>
      </w:r>
    </w:p>
    <w:p>
      <w:pPr>
        <w:pStyle w:val="Heading2"/>
      </w:pPr>
      <w:r>
        <w:t>Scripture</w:t>
      </w:r>
    </w:p>
    <w:p>
      <w:pPr>
        <w:spacing w:after="160" w:line="276" w:lineRule="auto"/>
      </w:pPr>
      <w:r>
        <w:rPr>
          <w:rFonts w:ascii="Arial" w:hAnsi="Arial"/>
          <w:b w:val="0"/>
          <w:i w:val="0"/>
          <w:sz w:val="20"/>
        </w:rPr>
        <w:t>All Scripture quotations are from the King James Version (KJV), with occasional modern paraphrase for readability. References to Luke, Matthew, Mark, John, Acts, Isaiah, Daniel, Leviticus, Zechariah, Genesis, Deuteronomy, Numbers, Micah, Malachi, Psalms, and Exodus are cited inline by chapter and verse. The Greek wording discussed in the section on liberty (aphesis) is that of Luke 4:18 and of the Septuagint, the ancient Greek translation of the Hebrew Bible, at Leviticus 25:10.</w:t>
      </w:r>
    </w:p>
    <w:p>
      <w:pPr>
        <w:pStyle w:val="Heading2"/>
      </w:pPr>
      <w:r>
        <w:t>Continuous Jubilee Calendar (CJC)</w:t>
      </w:r>
    </w:p>
    <w:p>
      <w:pPr>
        <w:spacing w:after="80" w:line="276" w:lineRule="auto"/>
      </w:pPr>
      <w:r>
        <w:rPr>
          <w:rFonts w:ascii="Arial" w:hAnsi="Arial"/>
          <w:b w:val="0"/>
          <w:i w:val="0"/>
          <w:sz w:val="20"/>
        </w:rPr>
        <w:t>Welsh, Chip. The CJC Research Kit: A Self-Contained Tool for AI-Assisted Verification. Version 12.14, September 19, 2026. Available at: https://github.com/Greysmokez/Continuous-Jubilee-Calendar</w:t>
      </w:r>
    </w:p>
    <w:p>
      <w:pPr>
        <w:spacing w:after="80" w:line="276" w:lineRule="auto"/>
      </w:pPr>
      <w:r>
        <w:rPr>
          <w:rFonts w:ascii="Arial" w:hAnsi="Arial"/>
          <w:b w:val="0"/>
          <w:i w:val="0"/>
          <w:sz w:val="20"/>
        </w:rPr>
        <w:t>Welsh, Chip. CJC Research — Chapter 1: Core Framework and the Exodus Spring Era. Available at: https://github.com/Greysmokez/Continuous-Jubilee-Calendar/blob/main/Chapter1.pdf</w:t>
      </w:r>
    </w:p>
    <w:p>
      <w:pPr>
        <w:spacing w:after="160" w:line="276" w:lineRule="auto"/>
      </w:pPr>
      <w:r>
        <w:rPr>
          <w:rFonts w:ascii="Arial" w:hAnsi="Arial"/>
          <w:b w:val="0"/>
          <w:i w:val="0"/>
          <w:sz w:val="20"/>
        </w:rPr>
        <w:t>Welsh, Chip. God's Clock: How Scripture's Own Calendar Marks the Coming of the Messiah (Isaiah 61 CJC Math). Available at: https://github.com/Greysmokez/Continuous-Jubilee-Calendar/blob/main/Isaiah61CJCMath.pdf</w:t>
      </w:r>
    </w:p>
    <w:p>
      <w:pPr>
        <w:pStyle w:val="Heading2"/>
      </w:pPr>
      <w:r>
        <w:t>Rabbinic Source</w:t>
      </w:r>
    </w:p>
    <w:p>
      <w:pPr>
        <w:spacing w:after="160" w:line="276" w:lineRule="auto"/>
      </w:pPr>
      <w:r>
        <w:rPr>
          <w:rFonts w:ascii="Arial" w:hAnsi="Arial"/>
          <w:b w:val="0"/>
          <w:i w:val="0"/>
          <w:sz w:val="20"/>
        </w:rPr>
        <w:t>Babylonian Talmud, Sukkah 52a. Referenced for the two-Messiah tradition (Mashiach ben Yosef and Mashiach ben David).</w:t>
      </w:r>
    </w:p>
    <w:p>
      <w:pPr>
        <w:pStyle w:val="Heading2"/>
      </w:pPr>
      <w:r>
        <w:t>Note on the CJC Framework</w:t>
      </w:r>
    </w:p>
    <w:p>
      <w:pPr>
        <w:spacing w:after="80" w:line="276" w:lineRule="auto"/>
      </w:pPr>
      <w:r>
        <w:rPr>
          <w:rFonts w:ascii="Arial" w:hAnsi="Arial"/>
          <w:b w:val="0"/>
          <w:i w:val="0"/>
          <w:sz w:val="20"/>
        </w:rPr>
        <w:t>The CJC is a mathematical tool for testing chronological alignments against Scripture, astronomy, and historical records. It is designed to be consistent with Scripture's own calendrical rules. The 1437 BC numbering constant is a counting offset, not an independently established historical claim about the Exodus; the calendar's phase is anchored on AD 30. The CJC's own documentation notes that an internal alignment can establish a date's position within the system but cannot by itself prove the system's starting point is historically correct. For full methodology, caveats, and revision history, see the CJC Research Kit cited above.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28282"/>
        <w:sz w:val="16"/>
      </w:rPr>
      <w:t>© 2026 Chip Welsh. All Rights Reserved. Continuous Jubilee Calendar™ and CJC™ are trademarks of Chip Welsh.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B231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2B2318"/>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2B231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