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COULD IT HAVE BEEN PLANNED?</w:t>
      </w:r>
    </w:p>
    <w:p>
      <w:pPr>
        <w:spacing w:after="500"/>
        <w:jc w:val="center"/>
      </w:pPr>
      <w:r>
        <w:rPr>
          <w:rFonts w:ascii="Garamond" w:cs="Garamond" w:eastAsia="Garamond" w:hAnsi="Garamond"/>
          <w:i/>
          <w:iCs/>
          <w:sz w:val="26"/>
          <w:szCs w:val="26"/>
        </w:rPr>
        <w:t xml:space="preserve">The Timeline of the Messiah and the Question of Providence</w:t>
      </w:r>
    </w:p>
    <w:p>
      <w:pPr>
        <w:spacing w:after="120"/>
        <w:jc w:val="center"/>
      </w:pPr>
      <w:r>
        <w:rPr>
          <w:rFonts w:ascii="Garamond" w:cs="Garamond" w:eastAsia="Garamond" w:hAnsi="Garamond"/>
          <w:color w:val="6B5B4B"/>
          <w:sz w:val="22"/>
          <w:szCs w:val="22"/>
        </w:rPr>
        <w:t xml:space="preserve">A Continuous Jubilee Calendar Study</w:t>
      </w:r>
    </w:p>
    <w:p>
      <w:pPr>
        <w:spacing w:after="2000"/>
      </w:pPr>
    </w:p>
    <w:p>
      <w:pPr>
        <w:jc w:val="center"/>
      </w:pPr>
      <w:r>
        <w:rPr>
          <w:rFonts w:ascii="Garamond" w:cs="Garamond" w:eastAsia="Garamond" w:hAnsi="Garamond"/>
          <w:i/>
          <w:iCs/>
          <w:color w:val="8A7A66"/>
          <w:sz w:val="20"/>
          <w:szCs w:val="20"/>
        </w:rPr>
        <w:t xml:space="preserve">“Declaring the end from the beginning, and from ancient times the things that are not yet done.” — Isaiah 46:10 (KJV)</w:t>
      </w:r>
    </w:p>
    <w:p>
      <w:r>
        <w:br w:type="page"/>
      </w:r>
    </w:p>
    <w:p>
      <w:pPr>
        <w:pStyle w:val="Heading1"/>
        <w:pBdr>
          <w:bottom w:val="single" w:color="5B3A29" w:sz="6" w:space="4"/>
        </w:pBdr>
        <w:spacing w:after="200" w:before="480"/>
      </w:pPr>
      <w:r>
        <w:rPr>
          <w:rFonts w:ascii="Garamond" w:cs="Garamond" w:eastAsia="Garamond" w:hAnsi="Garamond"/>
          <w:b/>
          <w:bCs/>
          <w:color w:val="5B3A29"/>
          <w:sz w:val="30"/>
          <w:szCs w:val="30"/>
        </w:rPr>
        <w:t xml:space="preserve">The question</w:t>
      </w:r>
    </w:p>
    <w:p>
      <w:pPr>
        <w:spacing w:after="200" w:line="300"/>
        <w:jc w:val="both"/>
      </w:pPr>
      <w:r>
        <w:rPr>
          <w:rFonts w:ascii="Garamond" w:cs="Garamond" w:eastAsia="Garamond" w:hAnsi="Garamond"/>
          <w:sz w:val="23"/>
          <w:szCs w:val="23"/>
        </w:rPr>
        <w:t xml:space="preserve">The Continuous Jubilee Calendar (CJC) lays out a remarkable chain of dates:</w:t>
      </w:r>
    </w:p>
    <w:p>
      <w:pPr>
        <w:pStyle w:val="ListParagraph"/>
        <w:numPr>
          <w:ilvl w:val="0"/>
          <w:numId w:val="2"/>
        </w:numPr>
        <w:spacing w:after="120" w:line="300"/>
        <w:jc w:val="both"/>
      </w:pPr>
      <w:r>
        <w:rPr>
          <w:rFonts w:ascii="Garamond" w:cs="Garamond" w:eastAsia="Garamond" w:hAnsi="Garamond"/>
          <w:sz w:val="23"/>
          <w:szCs w:val="23"/>
        </w:rPr>
        <w:t xml:space="preserve">a decree in </w:t>
      </w:r>
      <w:r>
        <w:rPr>
          <w:rFonts w:ascii="Garamond" w:cs="Garamond" w:eastAsia="Garamond" w:hAnsi="Garamond"/>
          <w:b/>
          <w:bCs/>
          <w:sz w:val="23"/>
          <w:szCs w:val="23"/>
        </w:rPr>
        <w:t xml:space="preserve">457 BC</w:t>
      </w:r>
      <w:r>
        <w:rPr>
          <w:rFonts w:ascii="Garamond" w:cs="Garamond" w:eastAsia="Garamond" w:hAnsi="Garamond"/>
          <w:sz w:val="23"/>
          <w:szCs w:val="23"/>
        </w:rPr>
        <w:t xml:space="preserve">, in a Jubilee year;</w:t>
      </w:r>
    </w:p>
    <w:p>
      <w:pPr>
        <w:pStyle w:val="ListParagraph"/>
        <w:numPr>
          <w:ilvl w:val="0"/>
          <w:numId w:val="2"/>
        </w:numPr>
        <w:spacing w:after="120" w:line="300"/>
        <w:jc w:val="both"/>
      </w:pPr>
      <w:r>
        <w:rPr>
          <w:rFonts w:ascii="Garamond" w:cs="Garamond" w:eastAsia="Garamond" w:hAnsi="Garamond"/>
          <w:b/>
          <w:bCs/>
          <w:sz w:val="23"/>
          <w:szCs w:val="23"/>
        </w:rPr>
        <w:t xml:space="preserve">483 years</w:t>
      </w:r>
      <w:r>
        <w:rPr>
          <w:rFonts w:ascii="Garamond" w:cs="Garamond" w:eastAsia="Garamond" w:hAnsi="Garamond"/>
          <w:sz w:val="23"/>
          <w:szCs w:val="23"/>
        </w:rPr>
        <w:t xml:space="preserve"> later, the Messiah anointed in </w:t>
      </w:r>
      <w:r>
        <w:rPr>
          <w:rFonts w:ascii="Garamond" w:cs="Garamond" w:eastAsia="Garamond" w:hAnsi="Garamond"/>
          <w:b/>
          <w:bCs/>
          <w:sz w:val="23"/>
          <w:szCs w:val="23"/>
        </w:rPr>
        <w:t xml:space="preserve">AD 27</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sz w:val="23"/>
          <w:szCs w:val="23"/>
        </w:rPr>
        <w:t xml:space="preserve">the cross in </w:t>
      </w:r>
      <w:r>
        <w:rPr>
          <w:rFonts w:ascii="Garamond" w:cs="Garamond" w:eastAsia="Garamond" w:hAnsi="Garamond"/>
          <w:b/>
          <w:bCs/>
          <w:sz w:val="23"/>
          <w:szCs w:val="23"/>
        </w:rPr>
        <w:t xml:space="preserve">AD 30</w:t>
      </w:r>
      <w:r>
        <w:rPr>
          <w:rFonts w:ascii="Garamond" w:cs="Garamond" w:eastAsia="Garamond" w:hAnsi="Garamond"/>
          <w:sz w:val="23"/>
          <w:szCs w:val="23"/>
        </w:rPr>
        <w:t xml:space="preserve">, “in the midst of the week”;</w:t>
      </w:r>
    </w:p>
    <w:p>
      <w:pPr>
        <w:pStyle w:val="ListParagraph"/>
        <w:numPr>
          <w:ilvl w:val="0"/>
          <w:numId w:val="2"/>
        </w:numPr>
        <w:spacing w:after="120" w:line="300"/>
        <w:jc w:val="both"/>
      </w:pPr>
      <w:r>
        <w:rPr>
          <w:rFonts w:ascii="Garamond" w:cs="Garamond" w:eastAsia="Garamond" w:hAnsi="Garamond"/>
          <w:sz w:val="23"/>
          <w:szCs w:val="23"/>
        </w:rPr>
        <w:t xml:space="preserve">the seventy weeks closing in the Jubilee of </w:t>
      </w:r>
      <w:r>
        <w:rPr>
          <w:rFonts w:ascii="Garamond" w:cs="Garamond" w:eastAsia="Garamond" w:hAnsi="Garamond"/>
          <w:b/>
          <w:bCs/>
          <w:sz w:val="23"/>
          <w:szCs w:val="23"/>
        </w:rPr>
        <w:t xml:space="preserve">AD 34</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sz w:val="23"/>
          <w:szCs w:val="23"/>
        </w:rPr>
        <w:t xml:space="preserve">the city and Temple destroyed in </w:t>
      </w:r>
      <w:r>
        <w:rPr>
          <w:rFonts w:ascii="Garamond" w:cs="Garamond" w:eastAsia="Garamond" w:hAnsi="Garamond"/>
          <w:b/>
          <w:bCs/>
          <w:sz w:val="23"/>
          <w:szCs w:val="23"/>
        </w:rPr>
        <w:t xml:space="preserve">AD 70</w:t>
      </w:r>
      <w:r>
        <w:rPr>
          <w:rFonts w:ascii="Garamond" w:cs="Garamond" w:eastAsia="Garamond" w:hAnsi="Garamond"/>
          <w:sz w:val="23"/>
          <w:szCs w:val="23"/>
        </w:rPr>
        <w:t xml:space="preserve">, </w:t>
      </w:r>
      <w:r>
        <w:rPr>
          <w:rFonts w:ascii="Garamond" w:cs="Garamond" w:eastAsia="Garamond" w:hAnsi="Garamond"/>
          <w:i/>
          <w:iCs/>
          <w:sz w:val="23"/>
          <w:szCs w:val="23"/>
        </w:rPr>
        <w:t xml:space="preserve">after</w:t>
      </w:r>
      <w:r>
        <w:rPr>
          <w:rFonts w:ascii="Garamond" w:cs="Garamond" w:eastAsia="Garamond" w:hAnsi="Garamond"/>
          <w:sz w:val="23"/>
          <w:szCs w:val="23"/>
        </w:rPr>
        <w:t xml:space="preserve"> the Messiah, exactly as Daniel foretold.</w:t>
      </w:r>
    </w:p>
    <w:p>
      <w:pPr>
        <w:spacing w:after="200" w:line="300"/>
        <w:jc w:val="both"/>
      </w:pPr>
      <w:r>
        <w:rPr>
          <w:rFonts w:ascii="Garamond" w:cs="Garamond" w:eastAsia="Garamond" w:hAnsi="Garamond"/>
          <w:sz w:val="23"/>
          <w:szCs w:val="23"/>
        </w:rPr>
        <w:t xml:space="preserve">The seven-year rhythm behind it matches records kept by people who never heard of the CJC, from the Maccabees to today.</w:t>
      </w:r>
    </w:p>
    <w:p>
      <w:pPr>
        <w:spacing w:after="200" w:line="300"/>
        <w:jc w:val="both"/>
      </w:pPr>
      <w:r>
        <w:rPr>
          <w:rFonts w:ascii="Garamond" w:cs="Garamond" w:eastAsia="Garamond" w:hAnsi="Garamond"/>
          <w:sz w:val="23"/>
          <w:szCs w:val="23"/>
        </w:rPr>
        <w:t xml:space="preserve">That raises a fair question. Could people have </w:t>
      </w:r>
      <w:r>
        <w:rPr>
          <w:rFonts w:ascii="Garamond" w:cs="Garamond" w:eastAsia="Garamond" w:hAnsi="Garamond"/>
          <w:b/>
          <w:bCs/>
          <w:sz w:val="23"/>
          <w:szCs w:val="23"/>
        </w:rPr>
        <w:t xml:space="preserve">arranged</w:t>
      </w:r>
      <w:r>
        <w:rPr>
          <w:rFonts w:ascii="Garamond" w:cs="Garamond" w:eastAsia="Garamond" w:hAnsi="Garamond"/>
          <w:sz w:val="23"/>
          <w:szCs w:val="23"/>
        </w:rPr>
        <w:t xml:space="preserve"> all this? Could a group of priests or prophets, starting around 600 BC, have put together a plan and carried it out, so that an anointed one would appear, die, and be proclaimed risen on schedule?</w:t>
      </w:r>
    </w:p>
    <w:p>
      <w:pPr>
        <w:spacing w:after="200" w:line="300"/>
        <w:jc w:val="both"/>
      </w:pPr>
      <w:r>
        <w:rPr>
          <w:rFonts w:ascii="Garamond" w:cs="Garamond" w:eastAsia="Garamond" w:hAnsi="Garamond"/>
          <w:sz w:val="23"/>
          <w:szCs w:val="23"/>
        </w:rPr>
        <w:t xml:space="preserve">It’s worth asking honestly, because the answer tells us something about what the timeline means.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The chain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700"/>
        <w:gridCol w:w="2160"/>
        <w:gridCol w:w="1500"/>
      </w:tblGrid>
      <w:tr>
        <w:trPr>
          <w:tblHeader/>
        </w:trPr>
        <w:tc>
          <w:tcPr>
            <w:tcW w:type="dxa" w:w="3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Link in the chain</w:t>
            </w:r>
          </w:p>
        </w:tc>
        <w:tc>
          <w:tcPr>
            <w:tcW w:type="dxa" w:w="27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Who or what decided it</w:t>
            </w:r>
          </w:p>
        </w:tc>
        <w:tc>
          <w:tcPr>
            <w:tcW w:type="dxa" w:w="21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CJC position</w:t>
            </w:r>
          </w:p>
        </w:tc>
        <w:tc>
          <w:tcPr>
            <w:tcW w:type="dxa" w:w="1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Could believers control it?</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count of sevens (Leviticus 25)</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Written into Israel’s law; the seven-year count is still kept by the Jewish community today</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The calendar itself</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Jerusalem delivered from Assyria, 702 BC (2 Kings 19:35-36; Isaiah 37:30)</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The Assyrian army’s withdrawal</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Year 1, a Jubilee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Babylonian captivity begins, 605 BC (Daniel 1:1; Jeremiah 25:11)</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A Babylonian king</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Year 49</w:t>
            </w:r>
            <w:r>
              <w:rPr>
                <w:rFonts w:ascii="Arial" w:cs="Arial" w:eastAsia="Arial" w:hAnsi="Arial"/>
                <w:b w:val="false"/>
                <w:bCs w:val="false"/>
                <w:sz w:val="18"/>
                <w:szCs w:val="18"/>
              </w:rPr>
              <w:t xml:space="preserve">, the eve of the double rest</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decree to restore Jerusalem, 457 BC (Ezra 7; Daniel 9:25)</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A Persian king</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Year 1, a Jubilee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Messiah anointed, AD 27</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483 years from the decree</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Year 1 of the final week</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cross “in the midst of the week,” AD 30 (Daniel 9:26-27)</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A Roman governor, under Roman law</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Position 4</w:t>
            </w:r>
            <w:r>
              <w:rPr>
                <w:rFonts w:ascii="Arial" w:cs="Arial" w:eastAsia="Arial" w:hAnsi="Arial"/>
                <w:b w:val="false"/>
                <w:bCs w:val="false"/>
                <w:sz w:val="18"/>
                <w:szCs w:val="18"/>
              </w:rPr>
              <w:t xml:space="preserve">, the exact middle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A Friday Passover</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The moon</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Friday, April 7</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seventy weeks close, AD 34 (Daniel 9:24)</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490 years from the decree, ten Jubilee cycles</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Year 1, a Jubilee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city and Temple destroyed </w:t>
            </w:r>
            <w:r>
              <w:rPr>
                <w:rFonts w:ascii="Arial" w:cs="Arial" w:eastAsia="Arial" w:hAnsi="Arial"/>
                <w:b w:val="false"/>
                <w:bCs w:val="false"/>
                <w:i/>
                <w:iCs/>
                <w:sz w:val="18"/>
                <w:szCs w:val="18"/>
              </w:rPr>
              <w:t xml:space="preserve">after</w:t>
            </w:r>
            <w:r>
              <w:rPr>
                <w:rFonts w:ascii="Arial" w:cs="Arial" w:eastAsia="Arial" w:hAnsi="Arial"/>
                <w:b w:val="false"/>
                <w:bCs w:val="false"/>
                <w:sz w:val="18"/>
                <w:szCs w:val="18"/>
              </w:rPr>
              <w:t xml:space="preserve"> the Messiah (Daniel 9:26)</w:t>
            </w:r>
          </w:p>
        </w:tc>
        <w:tc>
          <w:tcPr>
            <w:tcW w:type="dxa" w:w="2700"/>
            <w:tcMar>
              <w:top w:type="dxa" w:w="60"/>
              <w:left w:type="dxa" w:w="90"/>
              <w:bottom w:type="dxa" w:w="60"/>
              <w:right w:type="dxa" w:w="90"/>
            </w:tcMar>
          </w:tcPr>
          <w:p>
            <w:r>
              <w:rPr>
                <w:rFonts w:ascii="Arial" w:cs="Arial" w:eastAsia="Arial" w:hAnsi="Arial"/>
                <w:b w:val="false"/>
                <w:bCs w:val="false"/>
                <w:sz w:val="18"/>
                <w:szCs w:val="18"/>
              </w:rPr>
              <w:t xml:space="preserve">The Roman army, AD 70</w:t>
            </w:r>
          </w:p>
        </w:tc>
        <w:tc>
          <w:tcPr>
            <w:tcW w:type="dxa" w:w="2160"/>
            <w:tcMar>
              <w:top w:type="dxa" w:w="60"/>
              <w:left w:type="dxa" w:w="90"/>
              <w:bottom w:type="dxa" w:w="60"/>
              <w:right w:type="dxa" w:w="90"/>
            </w:tcMar>
          </w:tcPr>
          <w:p>
            <w:r>
              <w:rPr>
                <w:rFonts w:ascii="Arial" w:cs="Arial" w:eastAsia="Arial" w:hAnsi="Arial"/>
                <w:b w:val="false"/>
                <w:bCs w:val="false"/>
                <w:sz w:val="18"/>
                <w:szCs w:val="18"/>
              </w:rPr>
              <w:t xml:space="preserve">Forty years after the cross</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No</w:t>
            </w:r>
          </w:p>
        </w:tc>
      </w:tr>
    </w:tbl>
    <w:p>
      <w:pPr>
        <w:spacing w:after="120"/>
      </w:pPr>
    </w:p>
    <w:p>
      <w:pPr>
        <w:spacing w:after="200" w:line="300"/>
        <w:jc w:val="both"/>
      </w:pPr>
      <w:r>
        <w:rPr>
          <w:rFonts w:ascii="Garamond" w:cs="Garamond" w:eastAsia="Garamond" w:hAnsi="Garamond"/>
          <w:i/>
          <w:iCs/>
          <w:sz w:val="23"/>
          <w:szCs w:val="23"/>
        </w:rPr>
        <w:t xml:space="preserve">Some links follow from the count itself: AD 27 and AD 34 are 483 and 490 years after 457 BC. The others were decided by kings, armies, a governor, and the moon, none of whom were following Scripture’s prophecies.</w:t>
      </w:r>
    </w:p>
    <w:p>
      <w:pPr>
        <w:spacing w:after="200" w:line="300"/>
        <w:jc w:val="both"/>
      </w:pPr>
      <w:r>
        <w:rPr>
          <w:rFonts w:ascii="Garamond" w:cs="Garamond" w:eastAsia="Garamond" w:hAnsi="Garamond"/>
          <w:sz w:val="23"/>
          <w:szCs w:val="23"/>
        </w:rPr>
        <w:t xml:space="preserve">Four empires, </w:t>
      </w:r>
      <w:r>
        <w:rPr>
          <w:rFonts w:ascii="Garamond" w:cs="Garamond" w:eastAsia="Garamond" w:hAnsi="Garamond"/>
          <w:b/>
          <w:bCs/>
          <w:sz w:val="23"/>
          <w:szCs w:val="23"/>
        </w:rPr>
        <w:t xml:space="preserve">Assyria, Babylon, Persia, and Rome</w:t>
      </w:r>
      <w:r>
        <w:rPr>
          <w:rFonts w:ascii="Garamond" w:cs="Garamond" w:eastAsia="Garamond" w:hAnsi="Garamond"/>
          <w:sz w:val="23"/>
          <w:szCs w:val="23"/>
        </w:rPr>
        <w:t xml:space="preserve">, across seven centuries, each made decisions for its own reasons, and each decision landed on the calendar’s key years.</w:t>
      </w:r>
    </w:p>
    <w:p>
      <w:pPr>
        <w:spacing w:after="200" w:line="300"/>
        <w:jc w:val="left"/>
      </w:pPr>
      <w:r>
        <w:rPr>
          <w:rFonts w:ascii="Garamond" w:cs="Garamond" w:eastAsia="Garamond" w:hAnsi="Garamond"/>
          <w:b/>
          <w:bCs/>
          <w:sz w:val="23"/>
          <w:szCs w:val="23"/>
        </w:rPr>
        <w:t xml:space="preserve">Time is part of the evidence.</w:t>
      </w:r>
      <w:r>
        <w:rPr>
          <w:rFonts w:ascii="Garamond" w:cs="Garamond" w:eastAsia="Garamond" w:hAnsi="Garamond"/>
          <w:sz w:val="23"/>
          <w:szCs w:val="23"/>
        </w:rPr>
        <w:t xml:space="preserve"> The count of sevens was written into Israel’s law more than fourteen centuries before the cross (1437 BC on the CJC). Daniel’s prophecy came about six centuries before it by the traditional date, and still about two centuries before it by the latest date scholars propose. And the Temple fell forty years </w:t>
      </w:r>
      <w:r>
        <w:rPr>
          <w:rFonts w:ascii="Garamond" w:cs="Garamond" w:eastAsia="Garamond" w:hAnsi="Garamond"/>
          <w:i/>
          <w:iCs/>
          <w:sz w:val="23"/>
          <w:szCs w:val="23"/>
        </w:rPr>
        <w:t xml:space="preserve">after</w:t>
      </w:r>
      <w:r>
        <w:rPr>
          <w:rFonts w:ascii="Garamond" w:cs="Garamond" w:eastAsia="Garamond" w:hAnsi="Garamond"/>
          <w:sz w:val="23"/>
          <w:szCs w:val="23"/>
        </w:rPr>
        <w:t xml:space="preserve"> the cross. No human plan spans that much time.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What a human plan would need</w:t>
      </w:r>
    </w:p>
    <w:p>
      <w:pPr>
        <w:spacing w:after="200" w:line="300"/>
        <w:jc w:val="both"/>
      </w:pPr>
      <w:r>
        <w:rPr>
          <w:rFonts w:ascii="Garamond" w:cs="Garamond" w:eastAsia="Garamond" w:hAnsi="Garamond"/>
          <w:sz w:val="23"/>
          <w:szCs w:val="23"/>
        </w:rPr>
        <w:t xml:space="preserve">For people to engineer this timeline, they would have needed control over:</w:t>
      </w:r>
    </w:p>
    <w:p>
      <w:pPr>
        <w:pStyle w:val="ListParagraph"/>
        <w:numPr>
          <w:ilvl w:val="0"/>
          <w:numId w:val="2"/>
        </w:numPr>
        <w:spacing w:after="120" w:line="300"/>
        <w:jc w:val="both"/>
      </w:pPr>
      <w:r>
        <w:rPr>
          <w:rFonts w:ascii="Garamond" w:cs="Garamond" w:eastAsia="Garamond" w:hAnsi="Garamond"/>
          <w:b/>
          <w:bCs/>
          <w:sz w:val="23"/>
          <w:szCs w:val="23"/>
        </w:rPr>
        <w:t xml:space="preserve">A Persian king.</w:t>
      </w:r>
      <w:r>
        <w:rPr>
          <w:rFonts w:ascii="Garamond" w:cs="Garamond" w:eastAsia="Garamond" w:hAnsi="Garamond"/>
          <w:sz w:val="23"/>
          <w:szCs w:val="23"/>
        </w:rPr>
        <w:t xml:space="preserve"> The count starts with a decree issued by Artaxerxes, king of Persia, in 457 BC (Ezra 7). He was a foreign ruler with his own reasons: keeping order in a distant province.</w:t>
      </w:r>
    </w:p>
    <w:p>
      <w:pPr>
        <w:pStyle w:val="ListParagraph"/>
        <w:numPr>
          <w:ilvl w:val="0"/>
          <w:numId w:val="2"/>
        </w:numPr>
        <w:spacing w:after="120" w:line="300"/>
        <w:jc w:val="both"/>
      </w:pPr>
      <w:r>
        <w:rPr>
          <w:rFonts w:ascii="Garamond" w:cs="Garamond" w:eastAsia="Garamond" w:hAnsi="Garamond"/>
          <w:b/>
          <w:bCs/>
          <w:sz w:val="23"/>
          <w:szCs w:val="23"/>
        </w:rPr>
        <w:t xml:space="preserve">A Roman governor.</w:t>
      </w:r>
      <w:r>
        <w:rPr>
          <w:rFonts w:ascii="Garamond" w:cs="Garamond" w:eastAsia="Garamond" w:hAnsi="Garamond"/>
          <w:sz w:val="23"/>
          <w:szCs w:val="23"/>
        </w:rPr>
        <w:t xml:space="preserve"> The crucifixion was ordered by Pontius Pilate, a Roman official, under Roman law. The man who decided when and how Jesus died answered to Caesar, not to any Jewish prophecy.</w:t>
      </w:r>
    </w:p>
    <w:p>
      <w:pPr>
        <w:pStyle w:val="ListParagraph"/>
        <w:numPr>
          <w:ilvl w:val="0"/>
          <w:numId w:val="2"/>
        </w:numPr>
        <w:spacing w:after="120" w:line="300"/>
        <w:jc w:val="both"/>
      </w:pPr>
      <w:r>
        <w:rPr>
          <w:rFonts w:ascii="Garamond" w:cs="Garamond" w:eastAsia="Garamond" w:hAnsi="Garamond"/>
          <w:b/>
          <w:bCs/>
          <w:sz w:val="23"/>
          <w:szCs w:val="23"/>
        </w:rPr>
        <w:t xml:space="preserve">The moon.</w:t>
      </w:r>
      <w:r>
        <w:rPr>
          <w:rFonts w:ascii="Garamond" w:cs="Garamond" w:eastAsia="Garamond" w:hAnsi="Garamond"/>
          <w:sz w:val="23"/>
          <w:szCs w:val="23"/>
        </w:rPr>
        <w:t xml:space="preserve"> Passover falls on the fourteenth day of the month Nisan, and the month began with the new moon. Astronomy, not any person, placed Passover on Friday, April 7, AD 30.</w:t>
      </w:r>
    </w:p>
    <w:p>
      <w:pPr>
        <w:pStyle w:val="ListParagraph"/>
        <w:numPr>
          <w:ilvl w:val="0"/>
          <w:numId w:val="2"/>
        </w:numPr>
        <w:spacing w:after="120" w:line="300"/>
        <w:jc w:val="both"/>
      </w:pPr>
      <w:r>
        <w:rPr>
          <w:rFonts w:ascii="Garamond" w:cs="Garamond" w:eastAsia="Garamond" w:hAnsi="Garamond"/>
          <w:b/>
          <w:bCs/>
          <w:sz w:val="23"/>
          <w:szCs w:val="23"/>
        </w:rPr>
        <w:t xml:space="preserve">A Roman army, in the right order.</w:t>
      </w:r>
      <w:r>
        <w:rPr>
          <w:rFonts w:ascii="Garamond" w:cs="Garamond" w:eastAsia="Garamond" w:hAnsi="Garamond"/>
          <w:sz w:val="23"/>
          <w:szCs w:val="23"/>
        </w:rPr>
        <w:t xml:space="preserve"> Daniel had fixed the order of events centuries in advance: “after threescore and two weeks shall Messiah be cut off, but not for himself: and the people of the prince that shall come shall destroy the city and the sanctuary” (Daniel 9:26). </w:t>
      </w:r>
      <w:r>
        <w:rPr>
          <w:rFonts w:ascii="Garamond" w:cs="Garamond" w:eastAsia="Garamond" w:hAnsi="Garamond"/>
          <w:b/>
          <w:bCs/>
          <w:sz w:val="23"/>
          <w:szCs w:val="23"/>
        </w:rPr>
        <w:t xml:space="preserve">First the Messiah is cut off; then the city and the sanctuary are destroyed.</w:t>
      </w:r>
      <w:r>
        <w:rPr>
          <w:rFonts w:ascii="Garamond" w:cs="Garamond" w:eastAsia="Garamond" w:hAnsi="Garamond"/>
          <w:sz w:val="23"/>
          <w:szCs w:val="23"/>
        </w:rPr>
        <w:t xml:space="preserve"> It happened in exactly that order. Forty years after the cross, Roman legions ending a revolt burned the Temple, and Jesus Himself had warned it would come on “this generation” (Matthew 23:36).</w:t>
      </w:r>
    </w:p>
    <w:p>
      <w:pPr>
        <w:pStyle w:val="ListParagraph"/>
        <w:numPr>
          <w:ilvl w:val="0"/>
          <w:numId w:val="2"/>
        </w:numPr>
        <w:spacing w:after="120" w:line="300"/>
        <w:jc w:val="both"/>
      </w:pPr>
      <w:r>
        <w:rPr>
          <w:rFonts w:ascii="Garamond" w:cs="Garamond" w:eastAsia="Garamond" w:hAnsi="Garamond"/>
          <w:b/>
          <w:bCs/>
          <w:sz w:val="23"/>
          <w:szCs w:val="23"/>
        </w:rPr>
        <w:t xml:space="preserve">Six centuries of empires.</w:t>
      </w:r>
      <w:r>
        <w:rPr>
          <w:rFonts w:ascii="Garamond" w:cs="Garamond" w:eastAsia="Garamond" w:hAnsi="Garamond"/>
          <w:sz w:val="23"/>
          <w:szCs w:val="23"/>
        </w:rPr>
        <w:t xml:space="preserve"> Between Daniel and the cross, Babylon fell to Persia, Persia to Greece, and Greece gave way to Rome. No organization survived all of that with a plan in hand, and there’s no record of one.</w:t>
      </w:r>
    </w:p>
    <w:p>
      <w:pPr>
        <w:spacing w:after="200" w:line="300"/>
        <w:jc w:val="both"/>
      </w:pPr>
      <w:r>
        <w:rPr>
          <w:rFonts w:ascii="Garamond" w:cs="Garamond" w:eastAsia="Garamond" w:hAnsi="Garamond"/>
          <w:sz w:val="23"/>
          <w:szCs w:val="23"/>
        </w:rPr>
        <w:t xml:space="preserve">Even Jesus Himself, had He wanted to act out prophecy, could have chosen some of His actions, such as riding into Jerusalem on a donkey. But no one chooses the century of His birth, the year a foreign governor executes Him, the day of the week the moon sets for Passover, or what an army does forty years after His death.</w:t>
      </w:r>
    </w:p>
    <w:p>
      <w:pPr>
        <w:spacing w:after="200" w:line="300"/>
        <w:jc w:val="both"/>
      </w:pPr>
      <w:r>
        <w:rPr>
          <w:rFonts w:ascii="Garamond" w:cs="Garamond" w:eastAsia="Garamond" w:hAnsi="Garamond"/>
          <w:sz w:val="23"/>
          <w:szCs w:val="23"/>
        </w:rPr>
        <w:t xml:space="preserve">Scripture itself describes exactly this: human hands, carrying out a plan they didn’t write. “Him, being delivered by the determinate counsel and foreknowledge of God, ye have taken, and by wicked hands have crucified and slain” (Acts 2:23). “A man’s heart deviseth his way: but the LORD directeth his steps” (Proverbs 16:9).</w:t>
      </w:r>
    </w:p>
    <w:p>
      <w:pPr>
        <w:spacing w:after="200" w:line="300"/>
        <w:jc w:val="both"/>
      </w:pPr>
      <w:r>
        <w:rPr>
          <w:rFonts w:ascii="Garamond" w:cs="Garamond" w:eastAsia="Garamond" w:hAnsi="Garamond"/>
          <w:sz w:val="23"/>
          <w:szCs w:val="23"/>
        </w:rPr>
        <w:t xml:space="preserve">As a human plan, the timeline is hard to explain. The people who made it happen didn’t know they were fulfilling it.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What a skeptic would say</w:t>
      </w:r>
    </w:p>
    <w:p>
      <w:pPr>
        <w:spacing w:after="200" w:line="300"/>
        <w:jc w:val="both"/>
      </w:pPr>
      <w:r>
        <w:rPr>
          <w:rFonts w:ascii="Garamond" w:cs="Garamond" w:eastAsia="Garamond" w:hAnsi="Garamond"/>
          <w:sz w:val="23"/>
          <w:szCs w:val="23"/>
        </w:rPr>
        <w:t xml:space="preserve">A careful skeptic wouldn’t claim a conspiracy. They would raise three other points, and each deserves a fair answer.</w:t>
      </w:r>
    </w:p>
    <w:p>
      <w:pPr>
        <w:spacing w:after="200" w:line="300"/>
        <w:jc w:val="left"/>
      </w:pPr>
      <w:r>
        <w:rPr>
          <w:rFonts w:ascii="Garamond" w:cs="Garamond" w:eastAsia="Garamond" w:hAnsi="Garamond"/>
          <w:b/>
          <w:bCs/>
          <w:sz w:val="23"/>
          <w:szCs w:val="23"/>
        </w:rPr>
        <w:t xml:space="preserve">1. “Daniel was written later.”</w:t>
      </w:r>
      <w:r>
        <w:rPr>
          <w:rFonts w:ascii="Garamond" w:cs="Garamond" w:eastAsia="Garamond" w:hAnsi="Garamond"/>
          <w:sz w:val="23"/>
          <w:szCs w:val="23"/>
        </w:rPr>
        <w:t xml:space="preserve"> Many scholars date the book of Daniel to about 165 BC, not the 500s BC, and argue that its prophecies described events of that time. But even at 165 BC, Daniel was written </w:t>
      </w:r>
      <w:r>
        <w:rPr>
          <w:rFonts w:ascii="Garamond" w:cs="Garamond" w:eastAsia="Garamond" w:hAnsi="Garamond"/>
          <w:b/>
          <w:bCs/>
          <w:sz w:val="23"/>
          <w:szCs w:val="23"/>
        </w:rPr>
        <w:t xml:space="preserve">about two hundred years before Jesus</w:t>
      </w:r>
      <w:r>
        <w:rPr>
          <w:rFonts w:ascii="Garamond" w:cs="Garamond" w:eastAsia="Garamond" w:hAnsi="Garamond"/>
          <w:sz w:val="23"/>
          <w:szCs w:val="23"/>
        </w:rPr>
        <w:t xml:space="preserve">, and </w:t>
      </w:r>
      <w:r>
        <w:rPr>
          <w:rFonts w:ascii="Garamond" w:cs="Garamond" w:eastAsia="Garamond" w:hAnsi="Garamond"/>
          <w:b/>
          <w:bCs/>
          <w:sz w:val="23"/>
          <w:szCs w:val="23"/>
        </w:rPr>
        <w:t xml:space="preserve">more than two hundred years before Rome destroyed the Temple</w:t>
      </w:r>
      <w:r>
        <w:rPr>
          <w:rFonts w:ascii="Garamond" w:cs="Garamond" w:eastAsia="Garamond" w:hAnsi="Garamond"/>
          <w:sz w:val="23"/>
          <w:szCs w:val="23"/>
        </w:rPr>
        <w:t xml:space="preserve">. A late date might explain how Daniel described the second century BC. It can’t explain a fit to AD 27 and AD 30, or the order of events in Daniel 9:26.</w:t>
      </w:r>
    </w:p>
    <w:p>
      <w:pPr>
        <w:spacing w:after="200" w:line="300"/>
        <w:jc w:val="left"/>
      </w:pPr>
      <w:r>
        <w:rPr>
          <w:rFonts w:ascii="Garamond" w:cs="Garamond" w:eastAsia="Garamond" w:hAnsi="Garamond"/>
          <w:b/>
          <w:bCs/>
          <w:sz w:val="23"/>
          <w:szCs w:val="23"/>
        </w:rPr>
        <w:t xml:space="preserve">2. “You can always find a fit.”</w:t>
      </w:r>
      <w:r>
        <w:rPr>
          <w:rFonts w:ascii="Garamond" w:cs="Garamond" w:eastAsia="Garamond" w:hAnsi="Garamond"/>
          <w:sz w:val="23"/>
          <w:szCs w:val="23"/>
        </w:rPr>
        <w:t xml:space="preserve"> There were several decrees about Jerusalem, and historians debate AD 30 against AD 33. With enough choices, the argument goes, something will line up. That’s a real concern, and the CJC answers it by testing the alternatives. Counting 483 years from the other decrees lands on 55 BC, 37 BC, and AD 40, none of them near the Messiah. AD 33 lands at the </w:t>
      </w:r>
      <w:r>
        <w:rPr>
          <w:rFonts w:ascii="Garamond" w:cs="Garamond" w:eastAsia="Garamond" w:hAnsi="Garamond"/>
          <w:i/>
          <w:iCs/>
          <w:sz w:val="23"/>
          <w:szCs w:val="23"/>
        </w:rPr>
        <w:t xml:space="preserve">end</w:t>
      </w:r>
      <w:r>
        <w:rPr>
          <w:rFonts w:ascii="Garamond" w:cs="Garamond" w:eastAsia="Garamond" w:hAnsi="Garamond"/>
          <w:sz w:val="23"/>
          <w:szCs w:val="23"/>
        </w:rPr>
        <w:t xml:space="preserve"> of the week, not the middle. And the seven-year rhythm matches independent records, a test with honest odds of about 1 in 7 by chance. The CJC doesn’t hide its misses: the fall of Jerusalem in 586 BC and Cyrus’s decree in 538 BC land on ordinary years, and the CJC says so.</w:t>
      </w:r>
    </w:p>
    <w:p>
      <w:pPr>
        <w:spacing w:after="200" w:line="300"/>
        <w:jc w:val="left"/>
      </w:pPr>
      <w:r>
        <w:rPr>
          <w:rFonts w:ascii="Garamond" w:cs="Garamond" w:eastAsia="Garamond" w:hAnsi="Garamond"/>
          <w:b/>
          <w:bCs/>
          <w:sz w:val="23"/>
          <w:szCs w:val="23"/>
        </w:rPr>
        <w:t xml:space="preserve">3. “The Gospel writers told the story to fit.”</w:t>
      </w:r>
      <w:r>
        <w:rPr>
          <w:rFonts w:ascii="Garamond" w:cs="Garamond" w:eastAsia="Garamond" w:hAnsi="Garamond"/>
          <w:sz w:val="23"/>
          <w:szCs w:val="23"/>
        </w:rPr>
        <w:t xml:space="preserve"> A writer can shape a story, but not the world around it. Pilate’s time as governor, the Roman destruction of the Temple, the astronomy of Passover in AD 30, and the sabbatical years kept by the Jewish community for centuries were not written by the Gospel authors, and they’re what the timeline stands on.</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What the timeline can and cannot show</w:t>
      </w:r>
    </w:p>
    <w:p>
      <w:pPr>
        <w:spacing w:after="200" w:line="300"/>
        <w:jc w:val="both"/>
      </w:pPr>
      <w:r>
        <w:rPr>
          <w:rFonts w:ascii="Garamond" w:cs="Garamond" w:eastAsia="Garamond" w:hAnsi="Garamond"/>
          <w:sz w:val="23"/>
          <w:szCs w:val="23"/>
        </w:rPr>
        <w:t xml:space="preserve">Here is what the evidence supports. The timeline’s key points depend on </w:t>
      </w:r>
      <w:r>
        <w:rPr>
          <w:rFonts w:ascii="Garamond" w:cs="Garamond" w:eastAsia="Garamond" w:hAnsi="Garamond"/>
          <w:b/>
          <w:bCs/>
          <w:sz w:val="23"/>
          <w:szCs w:val="23"/>
        </w:rPr>
        <w:t xml:space="preserve">kings, governors, armies, and the moon</w:t>
      </w:r>
      <w:r>
        <w:rPr>
          <w:rFonts w:ascii="Garamond" w:cs="Garamond" w:eastAsia="Garamond" w:hAnsi="Garamond"/>
          <w:sz w:val="23"/>
          <w:szCs w:val="23"/>
        </w:rPr>
        <w:t xml:space="preserve">, not on the people who believed in the prophecy. No human group across those six centuries was in a position to arrange them. If the alignments are real, a human plan is the least likely explanation.</w:t>
      </w:r>
    </w:p>
    <w:p>
      <w:pPr>
        <w:spacing w:after="200" w:line="300"/>
        <w:jc w:val="both"/>
      </w:pPr>
      <w:r>
        <w:rPr>
          <w:rFonts w:ascii="Garamond" w:cs="Garamond" w:eastAsia="Garamond" w:hAnsi="Garamond"/>
          <w:sz w:val="23"/>
          <w:szCs w:val="23"/>
        </w:rPr>
        <w:t xml:space="preserve">Here is what it cannot do. Calendar math can’t prove </w:t>
      </w:r>
      <w:r>
        <w:rPr>
          <w:rFonts w:ascii="Garamond" w:cs="Garamond" w:eastAsia="Garamond" w:hAnsi="Garamond"/>
          <w:i/>
          <w:iCs/>
          <w:sz w:val="23"/>
          <w:szCs w:val="23"/>
        </w:rPr>
        <w:t xml:space="preserve">why</w:t>
      </w:r>
      <w:r>
        <w:rPr>
          <w:rFonts w:ascii="Garamond" w:cs="Garamond" w:eastAsia="Garamond" w:hAnsi="Garamond"/>
          <w:sz w:val="23"/>
          <w:szCs w:val="23"/>
        </w:rPr>
        <w:t xml:space="preserve"> the alignments exist, and it can’t prove the resurrection. Those are matters of faith and of historical judgment about the witnesses. A skeptic may still answer “coincidence,” and each reader must weigh that for himself.</w:t>
      </w:r>
    </w:p>
    <w:p>
      <w:pPr>
        <w:spacing w:after="200" w:line="300"/>
        <w:jc w:val="both"/>
      </w:pPr>
      <w:r>
        <w:rPr>
          <w:rFonts w:ascii="Garamond" w:cs="Garamond" w:eastAsia="Garamond" w:hAnsi="Garamond"/>
          <w:sz w:val="23"/>
          <w:szCs w:val="23"/>
        </w:rPr>
        <w:t xml:space="preserve">But Scripture never presented the timeline as a puzzle for people to solve and then act out. It presented it as God’s own schedule, announced in advance so that people could recognize it when it came: “Behold, the former things are come to pass, and new things do I declare: before they spring forth I tell you of them” (Isaiah 42:9). “He changeth the times and the seasons: he removeth kings, and setteth up kings” (Daniel 2:21).</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The fulness of the time</w:t>
      </w:r>
    </w:p>
    <w:p>
      <w:pPr>
        <w:spacing w:after="200" w:line="300"/>
        <w:jc w:val="both"/>
      </w:pPr>
      <w:r>
        <w:rPr>
          <w:rFonts w:ascii="Garamond" w:cs="Garamond" w:eastAsia="Garamond" w:hAnsi="Garamond"/>
          <w:sz w:val="23"/>
          <w:szCs w:val="23"/>
        </w:rPr>
        <w:t xml:space="preserve">Paul put it in one sentence: “But when the fulness of the time was come, God sent forth his Son” (Galatians 4:4). The timeline shows what that fulness looked like: an Assyrian retreat and a Babylonian captivity on the calendar’s key years, a Persian decree in a Jubilee year, a Roman governor, a Passover moon, a Temple fallen in the order Daniel foretold, and a count of sevens that no one but God could have kept.</w:t>
      </w:r>
    </w:p>
    <w:p>
      <w:pPr>
        <w:spacing w:after="200" w:line="300"/>
        <w:jc w:val="both"/>
      </w:pPr>
      <w:r>
        <w:rPr>
          <w:rFonts w:ascii="Garamond" w:cs="Garamond" w:eastAsia="Garamond" w:hAnsi="Garamond"/>
          <w:sz w:val="23"/>
          <w:szCs w:val="23"/>
        </w:rPr>
        <w:t xml:space="preserve">Could it have been planned? Yes. The evidence suggests it was, just not by us.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Sources and References</w:t>
      </w:r>
    </w:p>
    <w:p>
      <w:pPr>
        <w:spacing w:after="200" w:line="300"/>
        <w:jc w:val="left"/>
      </w:pPr>
      <w:r>
        <w:rPr>
          <w:rFonts w:ascii="Garamond" w:cs="Garamond" w:eastAsia="Garamond" w:hAnsi="Garamond"/>
          <w:b/>
          <w:bCs/>
          <w:sz w:val="23"/>
          <w:szCs w:val="23"/>
        </w:rPr>
        <w:t xml:space="preserve">Scripture:</w:t>
      </w:r>
      <w:r>
        <w:rPr>
          <w:rFonts w:ascii="Garamond" w:cs="Garamond" w:eastAsia="Garamond" w:hAnsi="Garamond"/>
          <w:sz w:val="23"/>
          <w:szCs w:val="23"/>
        </w:rPr>
        <w:t xml:space="preserve"> all quotations are from the King James Version (KJV).</w:t>
      </w:r>
    </w:p>
    <w:p>
      <w:pPr>
        <w:spacing w:after="200" w:line="300"/>
        <w:jc w:val="left"/>
      </w:pPr>
      <w:r>
        <w:rPr>
          <w:rFonts w:ascii="Garamond" w:cs="Garamond" w:eastAsia="Garamond" w:hAnsi="Garamond"/>
          <w:b/>
          <w:bCs/>
          <w:sz w:val="23"/>
          <w:szCs w:val="23"/>
        </w:rPr>
        <w:t xml:space="preserve">Continuous Jubilee Calendar:</w:t>
      </w:r>
      <w:r>
        <w:rPr>
          <w:rFonts w:ascii="Garamond" w:cs="Garamond" w:eastAsia="Garamond" w:hAnsi="Garamond"/>
          <w:sz w:val="23"/>
          <w:szCs w:val="23"/>
        </w:rPr>
        <w:t xml:space="preserve"> Welsh, Chip. </w:t>
      </w:r>
      <w:r>
        <w:rPr>
          <w:rFonts w:ascii="Garamond" w:cs="Garamond" w:eastAsia="Garamond" w:hAnsi="Garamond"/>
          <w:i/>
          <w:iCs/>
          <w:sz w:val="23"/>
          <w:szCs w:val="23"/>
        </w:rPr>
        <w:t xml:space="preserve">The CJC Research Kit</w:t>
      </w:r>
      <w:r>
        <w:rPr>
          <w:rFonts w:ascii="Garamond" w:cs="Garamond" w:eastAsia="Garamond" w:hAnsi="Garamond"/>
          <w:sz w:val="23"/>
          <w:szCs w:val="23"/>
        </w:rPr>
        <w:t xml:space="preserve">, Version 12.25, September 27, 2026, and the CJC papers </w:t>
      </w:r>
      <w:r>
        <w:rPr>
          <w:rFonts w:ascii="Garamond" w:cs="Garamond" w:eastAsia="Garamond" w:hAnsi="Garamond"/>
          <w:i/>
          <w:iCs/>
          <w:sz w:val="23"/>
          <w:szCs w:val="23"/>
        </w:rPr>
        <w:t xml:space="preserve">One Commandment</w:t>
      </w:r>
      <w:r>
        <w:rPr>
          <w:rFonts w:ascii="Garamond" w:cs="Garamond" w:eastAsia="Garamond" w:hAnsi="Garamond"/>
          <w:sz w:val="23"/>
          <w:szCs w:val="23"/>
        </w:rPr>
        <w:t xml:space="preserve">, </w:t>
      </w:r>
      <w:r>
        <w:rPr>
          <w:rFonts w:ascii="Garamond" w:cs="Garamond" w:eastAsia="Garamond" w:hAnsi="Garamond"/>
          <w:i/>
          <w:iCs/>
          <w:sz w:val="23"/>
          <w:szCs w:val="23"/>
        </w:rPr>
        <w:t xml:space="preserve">In Due Time</w:t>
      </w:r>
      <w:r>
        <w:rPr>
          <w:rFonts w:ascii="Garamond" w:cs="Garamond" w:eastAsia="Garamond" w:hAnsi="Garamond"/>
          <w:sz w:val="23"/>
          <w:szCs w:val="23"/>
        </w:rPr>
        <w:t xml:space="preserve">, </w:t>
      </w:r>
      <w:r>
        <w:rPr>
          <w:rFonts w:ascii="Garamond" w:cs="Garamond" w:eastAsia="Garamond" w:hAnsi="Garamond"/>
          <w:i/>
          <w:iCs/>
          <w:sz w:val="23"/>
          <w:szCs w:val="23"/>
        </w:rPr>
        <w:t xml:space="preserve">The Crucifixion Date</w:t>
      </w:r>
      <w:r>
        <w:rPr>
          <w:rFonts w:ascii="Garamond" w:cs="Garamond" w:eastAsia="Garamond" w:hAnsi="Garamond"/>
          <w:sz w:val="23"/>
          <w:szCs w:val="23"/>
        </w:rPr>
        <w:t xml:space="preserve">, </w:t>
      </w:r>
      <w:r>
        <w:rPr>
          <w:rFonts w:ascii="Garamond" w:cs="Garamond" w:eastAsia="Garamond" w:hAnsi="Garamond"/>
          <w:i/>
          <w:iCs/>
          <w:sz w:val="23"/>
          <w:szCs w:val="23"/>
        </w:rPr>
        <w:t xml:space="preserve">Chapter 1</w:t>
      </w:r>
      <w:r>
        <w:rPr>
          <w:rFonts w:ascii="Garamond" w:cs="Garamond" w:eastAsia="Garamond" w:hAnsi="Garamond"/>
          <w:sz w:val="23"/>
          <w:szCs w:val="23"/>
        </w:rPr>
        <w:t xml:space="preserve">, and </w:t>
      </w:r>
      <w:r>
        <w:rPr>
          <w:rFonts w:ascii="Garamond" w:cs="Garamond" w:eastAsia="Garamond" w:hAnsi="Garamond"/>
          <w:i/>
          <w:iCs/>
          <w:sz w:val="23"/>
          <w:szCs w:val="23"/>
        </w:rPr>
        <w:t xml:space="preserve">The Five Exoduses</w:t>
      </w:r>
      <w:r>
        <w:rPr>
          <w:rFonts w:ascii="Garamond" w:cs="Garamond" w:eastAsia="Garamond" w:hAnsi="Garamond"/>
          <w:sz w:val="23"/>
          <w:szCs w:val="23"/>
        </w:rPr>
        <w:t xml:space="preserve">, available at https://scripturescjc.com/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Could It Have Been Planned? — A CJC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2026-10-01T12:51:58.155Z</dcterms:created>
  <dcterms:modified xsi:type="dcterms:W3CDTF">2026-10-01T12:51:58.162Z</dcterms:modified>
</cp:coreProperties>
</file>

<file path=docProps/custom.xml><?xml version="1.0" encoding="utf-8"?>
<Properties xmlns="http://schemas.openxmlformats.org/officeDocument/2006/custom-properties" xmlns:vt="http://schemas.openxmlformats.org/officeDocument/2006/docPropsVTypes"/>
</file>