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48"/>
          <w:szCs w:val="48"/>
        </w:rPr>
        <w:t xml:space="preserve">IN DUE TIME</w:t>
      </w:r>
    </w:p>
    <w:p>
      <w:pPr>
        <w:spacing w:after="500"/>
        <w:jc w:val="center"/>
      </w:pPr>
      <w:r>
        <w:rPr>
          <w:rFonts w:ascii="Garamond" w:cs="Garamond" w:eastAsia="Garamond" w:hAnsi="Garamond"/>
          <w:i/>
          <w:iCs/>
          <w:sz w:val="26"/>
          <w:szCs w:val="26"/>
        </w:rPr>
        <w:t xml:space="preserve">How Scripture’s Covenant Clock Ties the Evidence Together</w:t>
      </w:r>
    </w:p>
    <w:p>
      <w:pPr>
        <w:spacing w:after="120"/>
        <w:jc w:val="center"/>
      </w:pPr>
      <w:r>
        <w:rPr>
          <w:rFonts w:ascii="Garamond" w:cs="Garamond" w:eastAsia="Garamond" w:hAnsi="Garamond"/>
          <w:color w:val="6B5B4B"/>
          <w:sz w:val="22"/>
          <w:szCs w:val="22"/>
        </w:rPr>
        <w:t xml:space="preserve">A Continuous Jubilee Calendar Overview</w:t>
      </w:r>
    </w:p>
    <w:p>
      <w:pPr>
        <w:spacing w:after="2000"/>
      </w:pPr>
    </w:p>
    <w:p>
      <w:pPr>
        <w:jc w:val="center"/>
      </w:pPr>
      <w:r>
        <w:rPr>
          <w:rFonts w:ascii="Garamond" w:cs="Garamond" w:eastAsia="Garamond" w:hAnsi="Garamond"/>
          <w:i/>
          <w:iCs/>
          <w:color w:val="8A7A66"/>
          <w:sz w:val="20"/>
          <w:szCs w:val="20"/>
        </w:rPr>
        <w:t xml:space="preserve">“For when we were yet without strength, in due time Christ died for the ungodly.” — Romans 5:6 (KJV)</w:t>
      </w:r>
    </w:p>
    <w:p>
      <w:r>
        <w:br w:type="page"/>
      </w:r>
    </w:p>
    <w:p>
      <w:pPr>
        <w:pStyle w:val="Heading1"/>
        <w:pBdr>
          <w:bottom w:val="single" w:color="5B3A29" w:sz="6" w:space="4"/>
        </w:pBdr>
        <w:spacing w:after="200" w:before="480"/>
      </w:pPr>
      <w:r>
        <w:rPr>
          <w:rFonts w:ascii="Garamond" w:cs="Garamond" w:eastAsia="Garamond" w:hAnsi="Garamond"/>
          <w:b/>
          <w:bCs/>
          <w:color w:val="5B3A29"/>
          <w:sz w:val="30"/>
          <w:szCs w:val="30"/>
        </w:rPr>
        <w:t xml:space="preserve">1. “When the fulness of the time was come”</w:t>
      </w:r>
    </w:p>
    <w:p>
      <w:pPr>
        <w:spacing w:after="200" w:line="300"/>
        <w:jc w:val="both"/>
      </w:pPr>
      <w:r>
        <w:rPr>
          <w:rFonts w:ascii="Garamond" w:cs="Garamond" w:eastAsia="Garamond" w:hAnsi="Garamond"/>
          <w:sz w:val="23"/>
          <w:szCs w:val="23"/>
        </w:rPr>
        <w:t xml:space="preserve">Paul never describes the coming of Christ as an accident of history. “When the fulness of the time was come, God sent forth his Son” (Galatians 4:4). “In due time Christ died for the ungodly” (Romans 5:6). Jesus Himself opened His ministry the same way: “The time is fulfilled, and the kingdom of God is at hand” (Mark 1:15).</w:t>
      </w:r>
    </w:p>
    <w:p>
      <w:pPr>
        <w:spacing w:after="200" w:line="300"/>
        <w:jc w:val="both"/>
      </w:pPr>
      <w:r>
        <w:rPr>
          <w:rFonts w:ascii="Garamond" w:cs="Garamond" w:eastAsia="Garamond" w:hAnsi="Garamond"/>
          <w:sz w:val="23"/>
          <w:szCs w:val="23"/>
        </w:rPr>
        <w:t xml:space="preserve">Each of these statements assumes that a time had been set in advance, one that could be </w:t>
      </w:r>
      <w:r>
        <w:rPr>
          <w:rFonts w:ascii="Garamond" w:cs="Garamond" w:eastAsia="Garamond" w:hAnsi="Garamond"/>
          <w:i/>
          <w:iCs/>
          <w:sz w:val="23"/>
          <w:szCs w:val="23"/>
        </w:rPr>
        <w:t xml:space="preserve">fulfilled</w:t>
      </w:r>
      <w:r>
        <w:rPr>
          <w:rFonts w:ascii="Garamond" w:cs="Garamond" w:eastAsia="Garamond" w:hAnsi="Garamond"/>
          <w:sz w:val="23"/>
          <w:szCs w:val="23"/>
        </w:rPr>
        <w:t xml:space="preserve">. This paper follows that time from where Scripture sets it to where it runs out. Along the way it connects the evidence laid out in the other Continuous Jubilee Calendar (CJC) papers, and shows how those separate pieces fit one continuous count.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2. The clock is set</w:t>
      </w:r>
    </w:p>
    <w:p>
      <w:pPr>
        <w:spacing w:after="200" w:line="300"/>
        <w:jc w:val="both"/>
      </w:pPr>
      <w:r>
        <w:rPr>
          <w:rFonts w:ascii="Garamond" w:cs="Garamond" w:eastAsia="Garamond" w:hAnsi="Garamond"/>
          <w:sz w:val="23"/>
          <w:szCs w:val="23"/>
        </w:rPr>
        <w:t xml:space="preserve">God built a calendar into Israel’s law. Every seventh year the land rested: “in the seventh year shall be a sabbath of rest unto the land” (Leviticus 25:4). After seven of those cycles came the Jubilee: “thou shalt number seven sabbaths of years unto thee, seven times seven years; and the space of the seven sabbaths of years shall be unto thee forty and nine years” (Leviticus 25:8). In the Jubilee, Israel was to “proclaim liberty throughout all the land unto all the inhabitants thereof” (Leviticus 25:10).</w:t>
      </w:r>
    </w:p>
    <w:p>
      <w:pPr>
        <w:spacing w:after="200" w:line="300"/>
        <w:jc w:val="both"/>
      </w:pPr>
      <w:r>
        <w:rPr>
          <w:rFonts w:ascii="Garamond" w:cs="Garamond" w:eastAsia="Garamond" w:hAnsi="Garamond"/>
          <w:sz w:val="23"/>
          <w:szCs w:val="23"/>
        </w:rPr>
        <w:t xml:space="preserve">The CJC is simply that forty-nine-year cycle, counted without a break, so that any year in history can be placed within it: a cycle number, and a year within that cycle from 1 to 49. </w:t>
      </w:r>
      <w:r>
        <w:rPr>
          <w:rFonts w:ascii="Garamond" w:cs="Garamond" w:eastAsia="Garamond" w:hAnsi="Garamond"/>
          <w:i/>
          <w:iCs/>
          <w:sz w:val="23"/>
          <w:szCs w:val="23"/>
        </w:rPr>
        <w:t xml:space="preserve">(The full method is in Chapter 1.)</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3. The clock keeps running</w:t>
      </w:r>
    </w:p>
    <w:p>
      <w:pPr>
        <w:spacing w:after="200" w:line="300"/>
        <w:jc w:val="both"/>
      </w:pPr>
      <w:r>
        <w:rPr>
          <w:rFonts w:ascii="Garamond" w:cs="Garamond" w:eastAsia="Garamond" w:hAnsi="Garamond"/>
          <w:sz w:val="23"/>
          <w:szCs w:val="23"/>
        </w:rPr>
        <w:t xml:space="preserve">The very next chapter gives the warning that goes with these laws. If Israel broke them, the people would be scattered: “Then shall the land enjoy her sabbaths, as long as it lieth desolate, and ye be in your enemies’ land” (Leviticus 26:34). God measured the penalty in sevens: “I will punish you seven times more for your sins” (Leviticus 26:18).</w:t>
      </w:r>
    </w:p>
    <w:p>
      <w:pPr>
        <w:spacing w:after="200" w:line="300"/>
        <w:jc w:val="both"/>
      </w:pPr>
      <w:r>
        <w:rPr>
          <w:rFonts w:ascii="Garamond" w:cs="Garamond" w:eastAsia="Garamond" w:hAnsi="Garamond"/>
          <w:sz w:val="23"/>
          <w:szCs w:val="23"/>
        </w:rPr>
        <w:t xml:space="preserve">That is exactly what happened. Judah went into exile in Babylon, “until the land had enjoyed her sabbaths: for as long as she lay desolate she kept sabbath, to fulfil threescore and ten years” (2 Chronicles 36:21).</w:t>
      </w:r>
    </w:p>
    <w:p>
      <w:pPr>
        <w:spacing w:after="200" w:line="300"/>
        <w:jc w:val="both"/>
      </w:pPr>
      <w:r>
        <w:rPr>
          <w:rFonts w:ascii="Garamond" w:cs="Garamond" w:eastAsia="Garamond" w:hAnsi="Garamond"/>
          <w:sz w:val="23"/>
          <w:szCs w:val="23"/>
        </w:rPr>
        <w:t xml:space="preserve">This one verse matters more than it first appears. Missed rest years could only be counted up and paid back if the sabbath-year count kept running through all the years no one observed it. Scripture itself treats the count as continuous, even through disobedience and exile. That is the foundation the CJC stands on. </w:t>
      </w:r>
      <w:r>
        <w:rPr>
          <w:rFonts w:ascii="Garamond" w:cs="Garamond" w:eastAsia="Garamond" w:hAnsi="Garamond"/>
          <w:i/>
          <w:iCs/>
          <w:sz w:val="23"/>
          <w:szCs w:val="23"/>
        </w:rPr>
        <w:t xml:space="preserve">(Chapter 1.)</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4. The countdown</w:t>
      </w:r>
    </w:p>
    <w:p>
      <w:pPr>
        <w:spacing w:after="200" w:line="300"/>
        <w:jc w:val="both"/>
      </w:pPr>
      <w:r>
        <w:rPr>
          <w:rFonts w:ascii="Garamond" w:cs="Garamond" w:eastAsia="Garamond" w:hAnsi="Garamond"/>
          <w:sz w:val="23"/>
          <w:szCs w:val="23"/>
        </w:rPr>
        <w:t xml:space="preserve">In Babylon, near the end of those seventy years, Daniel “understood by books the number of the years, whereof the word of the LORD came to Jeremiah the prophet, that he would accomplish seventy years in the desolations of Jerusalem” (Daniel 9:2). He prayed, confessing that “the curse is poured upon us, and the oath that is written in the law of Moses” (Daniel 9:11), the curse of Leviticus 26.</w:t>
      </w:r>
    </w:p>
    <w:p>
      <w:pPr>
        <w:spacing w:after="200" w:line="300"/>
        <w:jc w:val="both"/>
      </w:pPr>
      <w:r>
        <w:rPr>
          <w:rFonts w:ascii="Garamond" w:cs="Garamond" w:eastAsia="Garamond" w:hAnsi="Garamond"/>
          <w:sz w:val="23"/>
          <w:szCs w:val="23"/>
        </w:rPr>
        <w:t xml:space="preserve">Gabriel’s answer came in the same measure God had used for the penalty: “Seventy weeks are determined upon thy people and upon thy holy city” (Daniel 9:24). Seventy weeks of years are seventy sabbatical cycles, or 490 years. That is exactly ten Jubilee cycles.</w:t>
      </w:r>
    </w:p>
    <w:p>
      <w:pPr>
        <w:spacing w:after="200" w:line="300"/>
        <w:jc w:val="both"/>
      </w:pPr>
      <w:r>
        <w:rPr>
          <w:rFonts w:ascii="Garamond" w:cs="Garamond" w:eastAsia="Garamond" w:hAnsi="Garamond"/>
          <w:sz w:val="23"/>
          <w:szCs w:val="23"/>
        </w:rPr>
        <w:t xml:space="preserve">On the CJC, those 490 years begin with the decree Artaxerxes gave Ezra in 457 BC (Ezra 7), which falls on Cycle 21, Year 1, a Jubilee year. They end in AD 34, Cycle 31, Year 1, the next Jubilee year ten cycles later. Daniel’s countdown runs from a Jubilee to a Jubilee. </w:t>
      </w:r>
      <w:r>
        <w:rPr>
          <w:rFonts w:ascii="Garamond" w:cs="Garamond" w:eastAsia="Garamond" w:hAnsi="Garamond"/>
          <w:i/>
          <w:iCs/>
          <w:sz w:val="23"/>
          <w:szCs w:val="23"/>
        </w:rPr>
        <w:t xml:space="preserve">(Decree to Cross; Isaiah61CJCMath.)</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5. “The time is fulfilled” — AD 27</w:t>
      </w:r>
    </w:p>
    <w:p>
      <w:pPr>
        <w:spacing w:after="200" w:line="300"/>
        <w:jc w:val="both"/>
      </w:pPr>
      <w:r>
        <w:rPr>
          <w:rFonts w:ascii="Garamond" w:cs="Garamond" w:eastAsia="Garamond" w:hAnsi="Garamond"/>
          <w:sz w:val="23"/>
          <w:szCs w:val="23"/>
        </w:rPr>
        <w:t xml:space="preserve">Gabriel gave the first mark on the way: “from the going forth of the commandment to restore and to build Jerusalem unto the Messiah the Prince shall be seven weeks, and threescore and two weeks” (Daniel 9:25). That is sixty-nine weeks, or 483 years. Counted from 457 BC, it reaches AD 27, the year Jesus was anointed with the Holy Spirit at His baptism (Luke 3:21-22). AD 27 falls on Cycle 30, Year 43, the first year of a new seven-year unit.</w:t>
      </w:r>
    </w:p>
    <w:p>
      <w:pPr>
        <w:spacing w:after="200" w:line="300"/>
        <w:jc w:val="both"/>
      </w:pPr>
      <w:r>
        <w:rPr>
          <w:rFonts w:ascii="Garamond" w:cs="Garamond" w:eastAsia="Garamond" w:hAnsi="Garamond"/>
          <w:sz w:val="23"/>
          <w:szCs w:val="23"/>
        </w:rPr>
        <w:t xml:space="preserve">The Gospels reach the same year by other roads:</w:t>
      </w:r>
    </w:p>
    <w:p>
      <w:pPr>
        <w:pStyle w:val="ListParagraph"/>
        <w:numPr>
          <w:ilvl w:val="0"/>
          <w:numId w:val="2"/>
        </w:numPr>
        <w:spacing w:after="120" w:line="300"/>
        <w:jc w:val="both"/>
      </w:pPr>
      <w:r>
        <w:rPr>
          <w:rFonts w:ascii="Garamond" w:cs="Garamond" w:eastAsia="Garamond" w:hAnsi="Garamond"/>
          <w:b/>
          <w:bCs/>
          <w:sz w:val="23"/>
          <w:szCs w:val="23"/>
        </w:rPr>
        <w:t xml:space="preserve">Luke’s Roman date.</w:t>
      </w:r>
      <w:r>
        <w:rPr>
          <w:rFonts w:ascii="Garamond" w:cs="Garamond" w:eastAsia="Garamond" w:hAnsi="Garamond"/>
          <w:sz w:val="23"/>
          <w:szCs w:val="23"/>
        </w:rPr>
        <w:t xml:space="preserve"> Luke dates John the Baptist’s ministry to “the fifteenth year of the reign of Tiberius Caesar” (Luke 3:1). Luke’s fifteenth year of Tiberius, counted from AD 13/14 (the year a Roman law raised Tiberius to Augustus’s side and Roman coins show the two together), is AD 27/28.</w:t>
      </w:r>
    </w:p>
    <w:p>
      <w:pPr>
        <w:pStyle w:val="ListParagraph"/>
        <w:numPr>
          <w:ilvl w:val="0"/>
          <w:numId w:val="2"/>
        </w:numPr>
        <w:spacing w:after="120" w:line="300"/>
        <w:jc w:val="both"/>
      </w:pPr>
      <w:r>
        <w:rPr>
          <w:rFonts w:ascii="Garamond" w:cs="Garamond" w:eastAsia="Garamond" w:hAnsi="Garamond"/>
          <w:b/>
          <w:bCs/>
          <w:sz w:val="23"/>
          <w:szCs w:val="23"/>
        </w:rPr>
        <w:t xml:space="preserve">The Temple’s age.</w:t>
      </w:r>
      <w:r>
        <w:rPr>
          <w:rFonts w:ascii="Garamond" w:cs="Garamond" w:eastAsia="Garamond" w:hAnsi="Garamond"/>
          <w:sz w:val="23"/>
          <w:szCs w:val="23"/>
        </w:rPr>
        <w:t xml:space="preserve"> At Jesus’ first Passover, the leaders said, “Forty and six years was this temple in building” (John 2:20). Counted from the start of Herod’s work, that places the Passover in the spring of AD 28, with the baptism the year before.</w:t>
      </w:r>
    </w:p>
    <w:p>
      <w:pPr>
        <w:pStyle w:val="ListParagraph"/>
        <w:numPr>
          <w:ilvl w:val="0"/>
          <w:numId w:val="2"/>
        </w:numPr>
        <w:spacing w:after="120" w:line="300"/>
        <w:jc w:val="both"/>
      </w:pPr>
      <w:r>
        <w:rPr>
          <w:rFonts w:ascii="Garamond" w:cs="Garamond" w:eastAsia="Garamond" w:hAnsi="Garamond"/>
          <w:b/>
          <w:bCs/>
          <w:sz w:val="23"/>
          <w:szCs w:val="23"/>
        </w:rPr>
        <w:t xml:space="preserve">Jesus’ own words.</w:t>
      </w:r>
      <w:r>
        <w:rPr>
          <w:rFonts w:ascii="Garamond" w:cs="Garamond" w:eastAsia="Garamond" w:hAnsi="Garamond"/>
          <w:sz w:val="23"/>
          <w:szCs w:val="23"/>
        </w:rPr>
        <w:t xml:space="preserve"> He began preaching, “The time is fulfilled” (Mark 1:15). In Nazareth He read from Isaiah 61, “to preach the acceptable year of the Lord,” and said, “This day is this scripture fulfilled in your ears” (Luke 4:19, 21).</w:t>
      </w:r>
    </w:p>
    <w:p>
      <w:pPr>
        <w:spacing w:after="200" w:line="300"/>
        <w:jc w:val="both"/>
      </w:pPr>
      <w:r>
        <w:rPr>
          <w:rFonts w:ascii="Garamond" w:cs="Garamond" w:eastAsia="Garamond" w:hAnsi="Garamond"/>
          <w:i/>
          <w:iCs/>
          <w:sz w:val="23"/>
          <w:szCs w:val="23"/>
        </w:rPr>
        <w:t xml:space="preserve">(Chapter 1; Art Thou He; Isaiah61CJCMath.)</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6. “In the midst of the week” — AD 30</w:t>
      </w:r>
    </w:p>
    <w:p>
      <w:pPr>
        <w:spacing w:after="200" w:line="300"/>
        <w:jc w:val="both"/>
      </w:pPr>
      <w:r>
        <w:rPr>
          <w:rFonts w:ascii="Garamond" w:cs="Garamond" w:eastAsia="Garamond" w:hAnsi="Garamond"/>
          <w:sz w:val="23"/>
          <w:szCs w:val="23"/>
        </w:rPr>
        <w:t xml:space="preserve">Gabriel continued: “after threescore and two weeks shall Messiah be cut off, but not for himself… and in the midst of the week he shall cause the sacrifice and the oblation to cease” (Daniel 9:26-27).</w:t>
      </w:r>
    </w:p>
    <w:p>
      <w:pPr>
        <w:spacing w:after="200" w:line="300"/>
        <w:jc w:val="both"/>
      </w:pPr>
      <w:r>
        <w:rPr>
          <w:rFonts w:ascii="Garamond" w:cs="Garamond" w:eastAsia="Garamond" w:hAnsi="Garamond"/>
          <w:sz w:val="23"/>
          <w:szCs w:val="23"/>
        </w:rPr>
        <w:t xml:space="preserve">From an AD 27 baptism, John’s Gospel names three Passovers (John 2:13; 6:4; 11:55), in AD 28, 29, and 30, and the third is the cross. The Passover full moon of AD 30 fell so that Jesus was crucified on Friday, April 7, AD 30. On the CJC that year is Cycle 30, Year 46, Position 4 of its seven-year unit: the exact middle, “the midst of the week,” roughly three years after the anointing.</w:t>
      </w:r>
    </w:p>
    <w:p>
      <w:pPr>
        <w:spacing w:after="200" w:line="300"/>
        <w:jc w:val="both"/>
      </w:pPr>
      <w:r>
        <w:rPr>
          <w:rFonts w:ascii="Garamond" w:cs="Garamond" w:eastAsia="Garamond" w:hAnsi="Garamond"/>
          <w:sz w:val="23"/>
          <w:szCs w:val="23"/>
        </w:rPr>
        <w:t xml:space="preserve">The Temple itself bore witness. At His death “the veil of the temple was rent in twain from the top to the bottom” (Matthew 27:51). Jewish tradition, preserved in the Talmud, remembers that for the last forty years before the Temple fell, reaching back to about AD 30, the Day of Atonement signs stopped: the lot for the Lord no longer came up in the high priest’s right hand, the crimson strap no longer turned white, and the Temple doors opened by themselves (Yoma 39b). </w:t>
      </w:r>
      <w:r>
        <w:rPr>
          <w:rFonts w:ascii="Garamond" w:cs="Garamond" w:eastAsia="Garamond" w:hAnsi="Garamond"/>
          <w:i/>
          <w:iCs/>
          <w:sz w:val="23"/>
          <w:szCs w:val="23"/>
        </w:rPr>
        <w:t xml:space="preserve">(Crucifixion; Art Thou He.)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7. The Jubilee arrives — AD 34</w:t>
      </w:r>
    </w:p>
    <w:p>
      <w:pPr>
        <w:spacing w:after="200" w:line="300"/>
        <w:jc w:val="both"/>
      </w:pPr>
      <w:r>
        <w:rPr>
          <w:rFonts w:ascii="Garamond" w:cs="Garamond" w:eastAsia="Garamond" w:hAnsi="Garamond"/>
          <w:sz w:val="23"/>
          <w:szCs w:val="23"/>
        </w:rPr>
        <w:t xml:space="preserve">Seven years after the Nazareth reading, the calendar reaches Cycle 31, Year 1, the next Jubilee and the end of Daniel’s seventy weeks. AD 34 is the year commonly given for Stephen’s death, when the church “that were scattered abroad went every where preaching the word” (Acts 8:4). Liberty, first proclaimed in a synagogue, broke out beyond Jerusalem and Judea to the nations. </w:t>
      </w:r>
      <w:r>
        <w:rPr>
          <w:rFonts w:ascii="Garamond" w:cs="Garamond" w:eastAsia="Garamond" w:hAnsi="Garamond"/>
          <w:i/>
          <w:iCs/>
          <w:sz w:val="23"/>
          <w:szCs w:val="23"/>
        </w:rPr>
        <w:t xml:space="preserve">(Isaiah61CJCMath.)</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8. “This generation” — AD 30 to 70</w:t>
      </w:r>
    </w:p>
    <w:p>
      <w:pPr>
        <w:spacing w:after="200" w:line="300"/>
        <w:jc w:val="both"/>
      </w:pPr>
      <w:r>
        <w:rPr>
          <w:rFonts w:ascii="Garamond" w:cs="Garamond" w:eastAsia="Garamond" w:hAnsi="Garamond"/>
          <w:sz w:val="23"/>
          <w:szCs w:val="23"/>
        </w:rPr>
        <w:t xml:space="preserve">Jesus warned Jerusalem: “All these things shall come upon this generation… Behold, your house is left unto you desolate” (Matthew 23:36, 38). In Scripture, a generation under judgment is forty years (Numbers 14:33-34).</w:t>
      </w:r>
    </w:p>
    <w:p>
      <w:pPr>
        <w:spacing w:after="200" w:line="300"/>
        <w:jc w:val="both"/>
      </w:pPr>
      <w:r>
        <w:rPr>
          <w:rFonts w:ascii="Garamond" w:cs="Garamond" w:eastAsia="Garamond" w:hAnsi="Garamond"/>
          <w:sz w:val="23"/>
          <w:szCs w:val="23"/>
        </w:rPr>
        <w:t xml:space="preserve">Forty years after the cross, in AD 70, the Roman armies destroyed the city and the sanctuary, as Daniel had foretold: “the people of the prince that shall come shall destroy the city and the sanctuary” (Daniel 9:26). The Talmud’s forty years run across exactly that span. </w:t>
      </w:r>
      <w:r>
        <w:rPr>
          <w:rFonts w:ascii="Garamond" w:cs="Garamond" w:eastAsia="Garamond" w:hAnsi="Garamond"/>
          <w:i/>
          <w:iCs/>
          <w:sz w:val="23"/>
          <w:szCs w:val="23"/>
        </w:rPr>
        <w:t xml:space="preserve">(Story of the End.)</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9. What comes after</w:t>
      </w:r>
    </w:p>
    <w:p>
      <w:pPr>
        <w:spacing w:after="200" w:line="300"/>
        <w:jc w:val="both"/>
      </w:pPr>
      <w:r>
        <w:rPr>
          <w:rFonts w:ascii="Garamond" w:cs="Garamond" w:eastAsia="Garamond" w:hAnsi="Garamond"/>
          <w:sz w:val="23"/>
          <w:szCs w:val="23"/>
        </w:rPr>
        <w:t xml:space="preserve">The clock does not stop at AD 70. Daniel’s “time and times and the dividing of time” (Daniel 7:25), read as 1,260 years, points to the Dark Ages, commonly dated AD 538 to 1798. Beyond that stand the future events of Daniel 12 and the kingdom still to form in Daniel 2’s feet and toes. </w:t>
      </w:r>
      <w:r>
        <w:rPr>
          <w:rFonts w:ascii="Garamond" w:cs="Garamond" w:eastAsia="Garamond" w:hAnsi="Garamond"/>
          <w:i/>
          <w:iCs/>
          <w:sz w:val="23"/>
          <w:szCs w:val="23"/>
        </w:rPr>
        <w:t xml:space="preserve">(Story of the End; Brittle Coalition.)</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10. Why this counts as confirmation</w:t>
      </w:r>
    </w:p>
    <w:p>
      <w:pPr>
        <w:spacing w:after="200" w:line="300"/>
        <w:jc w:val="both"/>
      </w:pPr>
      <w:r>
        <w:rPr>
          <w:rFonts w:ascii="Garamond" w:cs="Garamond" w:eastAsia="Garamond" w:hAnsi="Garamond"/>
          <w:sz w:val="23"/>
          <w:szCs w:val="23"/>
        </w:rPr>
        <w:t xml:space="preserve">Any one of these links could be set aside on its own. What makes them persuasive is that they come from very different kinds of sources, written by different people for different reasons, and yet they fit one continuous count without adjustment.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2050"/>
        <w:gridCol w:w="1950"/>
        <w:gridCol w:w="1760"/>
        <w:gridCol w:w="1700"/>
      </w:tblGrid>
      <w:tr>
        <w:trPr>
          <w:tblHeader/>
        </w:trPr>
        <w:tc>
          <w:tcPr>
            <w:tcW w:type="dxa" w:w="19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Link</w:t>
            </w:r>
          </w:p>
        </w:tc>
        <w:tc>
          <w:tcPr>
            <w:tcW w:type="dxa" w:w="205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Source</w:t>
            </w:r>
          </w:p>
        </w:tc>
        <w:tc>
          <w:tcPr>
            <w:tcW w:type="dxa" w:w="195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Lands on</w:t>
            </w:r>
          </w:p>
        </w:tc>
        <w:tc>
          <w:tcPr>
            <w:tcW w:type="dxa" w:w="17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How it checks</w:t>
            </w:r>
          </w:p>
        </w:tc>
        <w:tc>
          <w:tcPr>
            <w:tcW w:type="dxa" w:w="17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Paper</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Sabbath and Jubilee law</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Leviticus 25</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The 49-year cycle</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Scripture’s own words</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Chapter 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Count runs through the exile</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Leviticus 26; 2 Chronicles 36:21</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70 years of missed sabbaths</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Scripture’s own words</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Chapter 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Seventy weeks</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Daniel 9:24</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457 BC (Year 1) to AD 34 (Year 1), ten cycles</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From the calendar</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Decree to Cross; Isaiah61CJCMath</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483 years to the Messiah</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Daniel 9:25</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AD 27</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Prophecy counted in ordinary years</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Decree to Cross</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Fifteenth year of Tiberius</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Luke 3:1; Roman law and coins, AD 13/14</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AD 27/28</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Outside record</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Chapter 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Forty-six years of building</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John 2:20; Josephus</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Baptism AD 27</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Outside record</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Chapter 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Three Passovers</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John 2:13; 6:4; 11:55</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AD 28, 29, 30</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Gospel record</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Crucifixion</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Friday Passover full moon</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Astronomy</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Friday, April 7, AD 30</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Outside record</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Crucifixion; Chapter 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“In the midst of the week”</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Daniel 9:27</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Year 46, Position 4</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From the calendar</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Chapter 1; Isaiah61CJCMath</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Veil torn; forty years of failed signs</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Matthew 27:51; Talmud, Yoma 39b</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About AD 30</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Gospel record; Jewish tradition</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Art Thou He</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Jubilee of AD 34</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Acts 8:4</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Cycle 31, Year 1</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From the calendar</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Isaiah61CJCMath</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“This generation”</w:t>
            </w:r>
          </w:p>
        </w:tc>
        <w:tc>
          <w:tcPr>
            <w:tcW w:type="dxa" w:w="2050"/>
            <w:tcMar>
              <w:top w:type="dxa" w:w="60"/>
              <w:left w:type="dxa" w:w="90"/>
              <w:bottom w:type="dxa" w:w="60"/>
              <w:right w:type="dxa" w:w="90"/>
            </w:tcMar>
          </w:tcPr>
          <w:p>
            <w:r>
              <w:rPr>
                <w:rFonts w:ascii="Arial" w:cs="Arial" w:eastAsia="Arial" w:hAnsi="Arial"/>
                <w:b w:val="false"/>
                <w:bCs w:val="false"/>
                <w:sz w:val="18"/>
                <w:szCs w:val="18"/>
              </w:rPr>
              <w:t xml:space="preserve">Matthew 23:36; the fall of Jerusalem</w:t>
            </w:r>
          </w:p>
        </w:tc>
        <w:tc>
          <w:tcPr>
            <w:tcW w:type="dxa" w:w="1950"/>
            <w:tcMar>
              <w:top w:type="dxa" w:w="60"/>
              <w:left w:type="dxa" w:w="90"/>
              <w:bottom w:type="dxa" w:w="60"/>
              <w:right w:type="dxa" w:w="90"/>
            </w:tcMar>
          </w:tcPr>
          <w:p>
            <w:r>
              <w:rPr>
                <w:rFonts w:ascii="Arial" w:cs="Arial" w:eastAsia="Arial" w:hAnsi="Arial"/>
                <w:b w:val="false"/>
                <w:bCs w:val="false"/>
                <w:sz w:val="18"/>
                <w:szCs w:val="18"/>
              </w:rPr>
              <w:t xml:space="preserve">AD 70, forty years on</w:t>
            </w:r>
          </w:p>
        </w:tc>
        <w:tc>
          <w:tcPr>
            <w:tcW w:type="dxa" w:w="1760"/>
            <w:tcMar>
              <w:top w:type="dxa" w:w="60"/>
              <w:left w:type="dxa" w:w="90"/>
              <w:bottom w:type="dxa" w:w="60"/>
              <w:right w:type="dxa" w:w="90"/>
            </w:tcMar>
          </w:tcPr>
          <w:p>
            <w:r>
              <w:rPr>
                <w:rFonts w:ascii="Arial" w:cs="Arial" w:eastAsia="Arial" w:hAnsi="Arial"/>
                <w:b w:val="false"/>
                <w:bCs w:val="false"/>
                <w:sz w:val="18"/>
                <w:szCs w:val="18"/>
              </w:rPr>
              <w:t xml:space="preserve">Gospel record; outside record</w:t>
            </w:r>
          </w:p>
        </w:tc>
        <w:tc>
          <w:tcPr>
            <w:tcW w:type="dxa" w:w="1700"/>
            <w:tcMar>
              <w:top w:type="dxa" w:w="60"/>
              <w:left w:type="dxa" w:w="90"/>
              <w:bottom w:type="dxa" w:w="60"/>
              <w:right w:type="dxa" w:w="90"/>
            </w:tcMar>
          </w:tcPr>
          <w:p>
            <w:r>
              <w:rPr>
                <w:rFonts w:ascii="Arial" w:cs="Arial" w:eastAsia="Arial" w:hAnsi="Arial"/>
                <w:b w:val="false"/>
                <w:bCs w:val="false"/>
                <w:sz w:val="18"/>
                <w:szCs w:val="18"/>
              </w:rPr>
              <w:t xml:space="preserve">Story of the End</w:t>
            </w:r>
          </w:p>
        </w:tc>
      </w:tr>
    </w:tbl>
    <w:p>
      <w:pPr>
        <w:spacing w:after="120"/>
      </w:pPr>
    </w:p>
    <w:p>
      <w:pPr>
        <w:spacing w:after="200" w:line="300"/>
        <w:jc w:val="both"/>
      </w:pPr>
      <w:r>
        <w:rPr>
          <w:rFonts w:ascii="Garamond" w:cs="Garamond" w:eastAsia="Garamond" w:hAnsi="Garamond"/>
          <w:sz w:val="23"/>
          <w:szCs w:val="23"/>
        </w:rPr>
        <w:t xml:space="preserve">The rows marked “outside record” were fixed by Roman law and coins, by astronomy, and by ancient historians, none of them written to support this calendar. The rows marked “from the calendar” show where the count itself places each event. When the outside records and the calendar land on the same years, from 457 BC to AD 70, the clock Paul spoke of stops being an idea and becomes something anyone can check.</w:t>
      </w:r>
    </w:p>
    <w:p>
      <w:pPr>
        <w:spacing w:after="200" w:line="300"/>
        <w:jc w:val="both"/>
      </w:pPr>
      <w:r>
        <w:rPr>
          <w:rFonts w:ascii="Garamond" w:cs="Garamond" w:eastAsia="Garamond" w:hAnsi="Garamond"/>
          <w:sz w:val="23"/>
          <w:szCs w:val="23"/>
        </w:rPr>
        <w:t xml:space="preserve">“In due time Christ died for the ungodly” (Romans 5:6). Scripture set the time, kept counting it through exile and return, and fulfilled it to the year.</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Sources and References</w:t>
      </w:r>
    </w:p>
    <w:p>
      <w:pPr>
        <w:spacing w:after="200" w:line="300"/>
        <w:jc w:val="left"/>
      </w:pPr>
      <w:r>
        <w:rPr>
          <w:rFonts w:ascii="Garamond" w:cs="Garamond" w:eastAsia="Garamond" w:hAnsi="Garamond"/>
          <w:b/>
          <w:bCs/>
          <w:sz w:val="23"/>
          <w:szCs w:val="23"/>
        </w:rPr>
        <w:t xml:space="preserve">Scripture:</w:t>
      </w:r>
      <w:r>
        <w:rPr>
          <w:rFonts w:ascii="Garamond" w:cs="Garamond" w:eastAsia="Garamond" w:hAnsi="Garamond"/>
          <w:sz w:val="23"/>
          <w:szCs w:val="23"/>
        </w:rPr>
        <w:t xml:space="preserve"> all quotations are from the King James Version (KJV).</w:t>
      </w:r>
    </w:p>
    <w:p>
      <w:pPr>
        <w:spacing w:after="200" w:line="300"/>
        <w:jc w:val="left"/>
      </w:pPr>
      <w:r>
        <w:rPr>
          <w:rFonts w:ascii="Garamond" w:cs="Garamond" w:eastAsia="Garamond" w:hAnsi="Garamond"/>
          <w:b/>
          <w:bCs/>
          <w:sz w:val="23"/>
          <w:szCs w:val="23"/>
        </w:rPr>
        <w:t xml:space="preserve">Rabbinic sources:</w:t>
      </w:r>
      <w:r>
        <w:rPr>
          <w:rFonts w:ascii="Garamond" w:cs="Garamond" w:eastAsia="Garamond" w:hAnsi="Garamond"/>
          <w:sz w:val="23"/>
          <w:szCs w:val="23"/>
        </w:rPr>
        <w:t xml:space="preserve"> Babylonian Talmud, Yoma 39a-b; Jerusalem Talmud, Yoma 6:3.</w:t>
      </w:r>
    </w:p>
    <w:p>
      <w:pPr>
        <w:spacing w:after="200" w:line="300"/>
        <w:jc w:val="left"/>
      </w:pPr>
      <w:r>
        <w:rPr>
          <w:rFonts w:ascii="Garamond" w:cs="Garamond" w:eastAsia="Garamond" w:hAnsi="Garamond"/>
          <w:b/>
          <w:bCs/>
          <w:sz w:val="23"/>
          <w:szCs w:val="23"/>
        </w:rPr>
        <w:t xml:space="preserve">Continuous Jubilee Calendar:</w:t>
      </w:r>
      <w:r>
        <w:rPr>
          <w:rFonts w:ascii="Garamond" w:cs="Garamond" w:eastAsia="Garamond" w:hAnsi="Garamond"/>
          <w:sz w:val="23"/>
          <w:szCs w:val="23"/>
        </w:rPr>
        <w:t xml:space="preserve"> Welsh, Chip. </w:t>
      </w:r>
      <w:r>
        <w:rPr>
          <w:rFonts w:ascii="Garamond" w:cs="Garamond" w:eastAsia="Garamond" w:hAnsi="Garamond"/>
          <w:i/>
          <w:iCs/>
          <w:sz w:val="23"/>
          <w:szCs w:val="23"/>
        </w:rPr>
        <w:t xml:space="preserve">The CJC Research Kit</w:t>
      </w:r>
      <w:r>
        <w:rPr>
          <w:rFonts w:ascii="Garamond" w:cs="Garamond" w:eastAsia="Garamond" w:hAnsi="Garamond"/>
          <w:sz w:val="23"/>
          <w:szCs w:val="23"/>
        </w:rPr>
        <w:t xml:space="preserve">, Version 12.19, September 24, 2026, and the CJC papers cited above, available at https://github.com/Greysmokez/Continuous-Jubilee-Calendar and https://greysmokez.github.io/CJC-Website/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8"/>
        <w:szCs w:val="18"/>
      </w:rPr>
      <w:t xml:space="preserve">In Due Time — A CJC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b/>
      <w:bCs/>
      <w:color w:val="5B3A29"/>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2026-09-24T12:47:25.803Z</dcterms:created>
  <dcterms:modified xsi:type="dcterms:W3CDTF">2026-09-24T12:47:25.807Z</dcterms:modified>
</cp:coreProperties>
</file>

<file path=docProps/custom.xml><?xml version="1.0" encoding="utf-8"?>
<Properties xmlns="http://schemas.openxmlformats.org/officeDocument/2006/custom-properties" xmlns:vt="http://schemas.openxmlformats.org/officeDocument/2006/docPropsVTypes"/>
</file>