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athgov-core-component-map-v11.4"/>
    <w:p>
      <w:pPr>
        <w:pStyle w:val="Heading1"/>
      </w:pPr>
      <w:r>
        <w:t xml:space="preserve">MathGov Core Component Map v11.4</w:t>
      </w:r>
    </w:p>
    <w:p>
      <w:pPr>
        <w:pStyle w:val="FirstParagraph"/>
      </w:pPr>
      <w:r>
        <w:rPr>
          <w:b/>
          <w:bCs/>
        </w:rPr>
        <w:t xml:space="preserve">Status:</w:t>
      </w:r>
      <w:r>
        <w:t xml:space="preserve"> </w:t>
      </w:r>
      <w:r>
        <w:t xml:space="preserve">Navigation and maturity dashboard. Informative unless explicitly incorporated by the release package.</w:t>
      </w:r>
    </w:p>
    <w:p>
      <w:pPr>
        <w:pStyle w:val="BodyText"/>
      </w:pPr>
      <w:r>
        <w:rPr>
          <w:b/>
          <w:bCs/>
        </w:rPr>
        <w:t xml:space="preserve">Purpose:</w:t>
      </w:r>
      <w:r>
        <w:t xml:space="preserve"> </w:t>
      </w:r>
      <w:r>
        <w:t xml:space="preserve">Show the role, authority, documentation completeness, and measurement maturity of each MathGov and RippleLogic artifact.</w:t>
      </w:r>
    </w:p>
    <w:bookmarkStart w:id="20" w:name="two-axis-honesty-rule"/>
    <w:p>
      <w:pPr>
        <w:pStyle w:val="Heading2"/>
      </w:pPr>
      <w:r>
        <w:t xml:space="preserve">1. Two-axis honesty rule</w:t>
      </w:r>
    </w:p>
    <w:p>
      <w:pPr>
        <w:pStyle w:val="FirstParagraph"/>
      </w:pPr>
      <w:r>
        <w:t xml:space="preserve">This map reports two different maturity surfaces.</w:t>
      </w:r>
    </w:p>
    <w:p>
      <w:pPr>
        <w:pStyle w:val="BodyText"/>
      </w:pPr>
      <w:r>
        <w:rPr>
          <w:b/>
          <w:bCs/>
        </w:rPr>
        <w:t xml:space="preserve">Documentation / source completeness</w:t>
      </w:r>
      <w:r>
        <w:t xml:space="preserve"> </w:t>
      </w:r>
      <w:r>
        <w:t xml:space="preserve">asks:</w:t>
      </w:r>
    </w:p>
    <w:p>
      <w:pPr>
        <w:pStyle w:val="Compact"/>
        <w:numPr>
          <w:ilvl w:val="0"/>
          <w:numId w:val="1001"/>
        </w:numPr>
      </w:pPr>
      <w:r>
        <w:t xml:space="preserve">Is the artifact’s scope defined?</w:t>
      </w:r>
    </w:p>
    <w:p>
      <w:pPr>
        <w:pStyle w:val="Compact"/>
        <w:numPr>
          <w:ilvl w:val="0"/>
          <w:numId w:val="1001"/>
        </w:numPr>
      </w:pPr>
      <w:r>
        <w:t xml:space="preserve">Are its inputs and outputs clear?</w:t>
      </w:r>
    </w:p>
    <w:p>
      <w:pPr>
        <w:pStyle w:val="Compact"/>
        <w:numPr>
          <w:ilvl w:val="0"/>
          <w:numId w:val="1001"/>
        </w:numPr>
      </w:pPr>
      <w:r>
        <w:t xml:space="preserve">Is its authority boundary clear?</w:t>
      </w:r>
    </w:p>
    <w:p>
      <w:pPr>
        <w:pStyle w:val="Compact"/>
        <w:numPr>
          <w:ilvl w:val="0"/>
          <w:numId w:val="1001"/>
        </w:numPr>
      </w:pPr>
      <w:r>
        <w:t xml:space="preserve">Are non-claims clear?</w:t>
      </w:r>
    </w:p>
    <w:p>
      <w:pPr>
        <w:pStyle w:val="Compact"/>
        <w:numPr>
          <w:ilvl w:val="0"/>
          <w:numId w:val="1001"/>
        </w:numPr>
      </w:pPr>
      <w:r>
        <w:t xml:space="preserve">Is it aligned with the Canon and source hierarchy?</w:t>
      </w:r>
    </w:p>
    <w:p>
      <w:pPr>
        <w:pStyle w:val="Compact"/>
        <w:numPr>
          <w:ilvl w:val="0"/>
          <w:numId w:val="1001"/>
        </w:numPr>
      </w:pPr>
      <w:r>
        <w:t xml:space="preserve">Is it usable as a Tier 1-3 source specification?</w:t>
      </w:r>
    </w:p>
    <w:p>
      <w:pPr>
        <w:pStyle w:val="FirstParagraph"/>
      </w:pPr>
      <w:r>
        <w:rPr>
          <w:b/>
          <w:bCs/>
        </w:rPr>
        <w:t xml:space="preserve">Measurement maturity</w:t>
      </w:r>
      <w:r>
        <w:t xml:space="preserve"> </w:t>
      </w:r>
      <w:r>
        <w:t xml:space="preserve">asks:</w:t>
      </w:r>
    </w:p>
    <w:p>
      <w:pPr>
        <w:pStyle w:val="Compact"/>
        <w:numPr>
          <w:ilvl w:val="0"/>
          <w:numId w:val="1002"/>
        </w:numPr>
      </w:pPr>
      <w:r>
        <w:t xml:space="preserve">Does the artifact rely on measured quantities?</w:t>
      </w:r>
    </w:p>
    <w:p>
      <w:pPr>
        <w:pStyle w:val="Compact"/>
        <w:numPr>
          <w:ilvl w:val="0"/>
          <w:numId w:val="1002"/>
        </w:numPr>
      </w:pPr>
      <w:r>
        <w:t xml:space="preserve">Are those measurement instruments defined?</w:t>
      </w:r>
    </w:p>
    <w:p>
      <w:pPr>
        <w:pStyle w:val="Compact"/>
        <w:numPr>
          <w:ilvl w:val="0"/>
          <w:numId w:val="1002"/>
        </w:numPr>
      </w:pPr>
      <w:r>
        <w:t xml:space="preserve">Are they validated?</w:t>
      </w:r>
    </w:p>
    <w:p>
      <w:pPr>
        <w:pStyle w:val="Compact"/>
        <w:numPr>
          <w:ilvl w:val="0"/>
          <w:numId w:val="1002"/>
        </w:numPr>
      </w:pPr>
      <w:r>
        <w:t xml:space="preserve">Are they independently replayable?</w:t>
      </w:r>
    </w:p>
    <w:p>
      <w:pPr>
        <w:pStyle w:val="Compact"/>
        <w:numPr>
          <w:ilvl w:val="0"/>
          <w:numId w:val="1002"/>
        </w:numPr>
      </w:pPr>
      <w:r>
        <w:t xml:space="preserve">Is there reliability evidence?</w:t>
      </w:r>
    </w:p>
    <w:p>
      <w:pPr>
        <w:pStyle w:val="FirstParagraph"/>
      </w:pPr>
      <w:r>
        <w:t xml:space="preserve">A document can have high documentation completeness and low measurement maturity. That means the artifact is well-specified but not yet empirically instrumented.</w:t>
      </w:r>
    </w:p>
    <w:p>
      <w:pPr>
        <w:pStyle w:val="BodyText"/>
      </w:pPr>
      <w:r>
        <w:t xml:space="preserve">Neither score is:</w:t>
      </w:r>
    </w:p>
    <w:p>
      <w:pPr>
        <w:pStyle w:val="Compact"/>
        <w:numPr>
          <w:ilvl w:val="0"/>
          <w:numId w:val="1003"/>
        </w:numPr>
      </w:pPr>
      <w:r>
        <w:t xml:space="preserve">empirical validation;</w:t>
      </w:r>
    </w:p>
    <w:p>
      <w:pPr>
        <w:pStyle w:val="Compact"/>
        <w:numPr>
          <w:ilvl w:val="0"/>
          <w:numId w:val="1003"/>
        </w:numPr>
      </w:pPr>
      <w:r>
        <w:t xml:space="preserve">ProofPack readiness;</w:t>
      </w:r>
    </w:p>
    <w:p>
      <w:pPr>
        <w:pStyle w:val="Compact"/>
        <w:numPr>
          <w:ilvl w:val="0"/>
          <w:numId w:val="1003"/>
        </w:numPr>
      </w:pPr>
      <w:r>
        <w:t xml:space="preserve">Tier 4 readiness;</w:t>
      </w:r>
    </w:p>
    <w:p>
      <w:pPr>
        <w:pStyle w:val="Compact"/>
        <w:numPr>
          <w:ilvl w:val="0"/>
          <w:numId w:val="1003"/>
        </w:numPr>
      </w:pPr>
      <w:r>
        <w:t xml:space="preserve">legal certification;</w:t>
      </w:r>
    </w:p>
    <w:p>
      <w:pPr>
        <w:pStyle w:val="Compact"/>
        <w:numPr>
          <w:ilvl w:val="0"/>
          <w:numId w:val="1003"/>
        </w:numPr>
      </w:pPr>
      <w:r>
        <w:t xml:space="preserve">deployment certification;</w:t>
      </w:r>
    </w:p>
    <w:p>
      <w:pPr>
        <w:pStyle w:val="Compact"/>
        <w:numPr>
          <w:ilvl w:val="0"/>
          <w:numId w:val="1003"/>
        </w:numPr>
      </w:pPr>
      <w:r>
        <w:t xml:space="preserve">reference-calculator status;</w:t>
      </w:r>
    </w:p>
    <w:p>
      <w:pPr>
        <w:pStyle w:val="Compact"/>
        <w:numPr>
          <w:ilvl w:val="0"/>
          <w:numId w:val="1003"/>
        </w:numPr>
      </w:pPr>
      <w:r>
        <w:t xml:space="preserve">evidence of superior decisions.</w:t>
      </w:r>
    </w:p>
    <w:bookmarkEnd w:id="20"/>
    <w:bookmarkStart w:id="21" w:name="measurement-maturity-scale"/>
    <w:p>
      <w:pPr>
        <w:pStyle w:val="Heading2"/>
      </w:pPr>
      <w:r>
        <w:t xml:space="preserve">2. Measurement maturity scale</w:t>
      </w:r>
    </w:p>
    <w:tbl>
      <w:tblPr>
        <w:tblStyle w:val="Table"/>
        <w:tblW w:type="pct" w:w="5000"/>
        <w:jc w:val="center"/>
        <w:tblLayout w:type="autofit"/>
        <w:tblLook w:firstRow="1" w:lastRow="0" w:firstColumn="0" w:lastColumn="0" w:noHBand="0" w:noVBand="0" w:val="0020"/>
        <w:tblBorders>
          <w:top w:val="single" w:sz="8" w:space="0" w:color="9FB7CC"/>
          <w:left w:val="single" w:sz="8" w:space="0" w:color="9FB7CC"/>
          <w:bottom w:val="single" w:sz="8" w:space="0" w:color="9FB7CC"/>
          <w:right w:val="single" w:sz="8" w:space="0" w:color="9FB7CC"/>
          <w:insideH w:val="single" w:sz="8" w:space="0" w:color="9FB7CC"/>
          <w:insideV w:val="single" w:sz="8" w:space="0" w:color="9FB7CC"/>
        </w:tblBorders>
      </w:tblPr>
      <w:tblGrid>
        <w:gridCol w:w="2640"/>
        <w:gridCol w:w="2640"/>
        <w:gridCol w:w="2640"/>
      </w:tblGrid>
      <w:tr>
        <w:trPr>
          <w:tblHeader w:val="true"/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20"/>
              </w:rPr>
              <w:t xml:space="preserve">Level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20"/>
              </w:rPr>
              <w:t xml:space="preserve">Name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20"/>
              </w:rPr>
              <w:t xml:space="preserve">Meaning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b/>
                <w:color w:val="1F4E79"/>
                <w:sz w:val="19"/>
              </w:rPr>
              <w:t xml:space="preserve">N/A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Not applicable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Conceptual, structural, or navigational artifact; no measurement instrument required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b/>
                <w:color w:val="1F4E79"/>
                <w:sz w:val="19"/>
              </w:rPr>
              <w:t xml:space="preserve">M0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Undefined instrument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Measurement need identified, instrument not yet defined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b/>
                <w:color w:val="1F4E79"/>
                <w:sz w:val="19"/>
              </w:rPr>
              <w:t xml:space="preserve">M1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Provisional heuristic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Guidance-stage or training-stage method; no reliability evidence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b/>
                <w:color w:val="1F4E79"/>
                <w:sz w:val="19"/>
              </w:rPr>
              <w:t xml:space="preserve">M2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Domain-supported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Declared indicators or instruments exist; reliability not yet established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b/>
                <w:color w:val="1F4E79"/>
                <w:sz w:val="19"/>
              </w:rPr>
              <w:t xml:space="preserve">M3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Reliability-tested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Inter-rater reliability, replay, or domain reliability evidence exists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b/>
                <w:color w:val="1F4E79"/>
                <w:sz w:val="19"/>
              </w:rPr>
              <w:t xml:space="preserve">M4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Independently validated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9"/>
              </w:rPr>
              <w:t xml:space="preserve">External replay, validation, and cross-context evidence exist</w:t>
            </w:r>
          </w:p>
        </w:tc>
      </w:tr>
    </w:tbl>
    <w:bookmarkEnd w:id="21"/>
    <w:bookmarkStart w:id="22" w:name="core-component-map"/>
    <w:p>
      <w:pPr>
        <w:pStyle w:val="Heading2"/>
      </w:pPr>
      <w:r>
        <w:t xml:space="preserve">3. Core component map</w:t>
      </w:r>
    </w:p>
    <w:tbl>
      <w:tblPr>
        <w:tblStyle w:val="Table"/>
        <w:tblW w:type="pct" w:w="5000"/>
        <w:tblLayout w:type="autofit"/>
        <w:tblLook w:firstRow="1" w:lastRow="0" w:firstColumn="0" w:lastColumn="0" w:noHBand="0" w:noVBand="0" w:val="0020"/>
        <w:jc w:val="center"/>
        <w:tblBorders>
          <w:top w:val="single" w:sz="8" w:space="0" w:color="9FB7CC"/>
          <w:left w:val="single" w:sz="8" w:space="0" w:color="9FB7CC"/>
          <w:bottom w:val="single" w:sz="8" w:space="0" w:color="9FB7CC"/>
          <w:right w:val="single" w:sz="8" w:space="0" w:color="9FB7CC"/>
          <w:insideH w:val="single" w:sz="8" w:space="0" w:color="9FB7CC"/>
          <w:insideV w:val="single" w:sz="8" w:space="0" w:color="9FB7CC"/>
        </w:tblBorders>
      </w:tblPr>
      <w:tblGrid>
        <w:gridCol w:w="1250"/>
        <w:gridCol w:w="1667"/>
        <w:gridCol w:w="1250"/>
        <w:gridCol w:w="1250"/>
        <w:gridCol w:w="1250"/>
        <w:gridCol w:w="1250"/>
      </w:tblGrid>
      <w:tr>
        <w:trPr>
          <w:tblHeader w:val="true"/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Component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Version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Role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Authority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Documentation status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Measurement maturity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RippleLogic Canon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v11.4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Governing decision architecture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Normative source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High documentation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N/A for cascade specification; M1 for RLS cell scoring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Sentience Gradient Protocol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v6.4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Moral-status and rights-of-protection interface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Companion protocol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High documentation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M1 artificial-entity guidance; M0-M1 biological evaluation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RippleLogic Agent System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v11.4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Agent runtime, controls, audit, conformance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Operational companion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High documentation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M1 procedural architecture; field validation not yet complete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ripple.md Standard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v4.4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Portable assurance and Decision Note wrapper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Interoperability standard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High documentation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N/A process wrapper; M1 for real-world adoption evidence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RippleLogic Cascade Standard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v1.0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Compact cascade reference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Release standard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High documentation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N/A specification summary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CSV Gate Standard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v1.2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Containment and Structural Viability gate standard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Gate standard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High documentation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M1 structural-viability heuristics; UCI/HOI not validated</w:t>
            </w:r>
          </w:p>
        </w:tc>
      </w:tr>
      <w:tr>
        <w:tc>
          <w:tcPr>
            <w:tcW w:type="dxa" w:w="1250"/>
            <w:vAlign w:val="top"/>
          </w:tcPr>
          <w:p>
            <w:r>
              <w:rPr>
                <w:sz w:val="16"/>
              </w:rPr>
              <w:t>Source-Coupling Integrity Standard</w:t>
            </w:r>
          </w:p>
        </w:tc>
        <w:tc>
          <w:tcPr>
            <w:tcW w:type="dxa" w:w="1667"/>
            <w:vAlign w:val="top"/>
          </w:tcPr>
          <w:p>
            <w:r>
              <w:rPr>
                <w:sz w:val="16"/>
              </w:rPr>
              <w:t>v1.0</w:t>
            </w:r>
          </w:p>
        </w:tc>
        <w:tc>
          <w:tcPr>
            <w:tcW w:type="dxa" w:w="1250"/>
            <w:vAlign w:val="top"/>
          </w:tcPr>
          <w:p>
            <w:r>
              <w:rPr>
                <w:sz w:val="16"/>
              </w:rPr>
              <w:t>Reality Grounding and CSV diagnostic for capability-source traceability</w:t>
            </w:r>
          </w:p>
        </w:tc>
        <w:tc>
          <w:tcPr>
            <w:tcW w:type="dxa" w:w="1250"/>
            <w:vAlign w:val="top"/>
          </w:tcPr>
          <w:p>
            <w:r>
              <w:rPr>
                <w:sz w:val="16"/>
              </w:rPr>
              <w:t>Companion standard</w:t>
            </w:r>
          </w:p>
        </w:tc>
        <w:tc>
          <w:tcPr>
            <w:tcW w:type="dxa" w:w="1250"/>
            <w:vAlign w:val="top"/>
          </w:tcPr>
          <w:p>
            <w:r>
              <w:rPr>
                <w:sz w:val="16"/>
              </w:rPr>
              <w:t>High documentation completeness</w:t>
            </w:r>
          </w:p>
        </w:tc>
        <w:tc>
          <w:tcPr>
            <w:tcW w:type="dxa" w:w="1250"/>
            <w:vAlign w:val="top"/>
          </w:tcPr>
          <w:p>
            <w:r>
              <w:rPr>
                <w:sz w:val="16"/>
              </w:rPr>
              <w:t>M1 diagnostic; no independent validation claim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Foundations Primer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v3.4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Human doorway and teaching artifact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Informative companion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High documentation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N/A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Aligners Sheet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v4.4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Worked-run exemplar workbook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Tier 1-3 exemplar, not validator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Substantial worked-run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>M1 worked-run model; formulas verified in release QA; not calibrated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RLS Validation Protocol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v1.0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Study design for RLS reliability and non-redundancy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Companion validation artifact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Substantial protocol-design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M0-&gt;M1; defines path toward M3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UCI / HOI diagnostics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within Canon and CSV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Structural coherence and hollowing / overhang diagnostics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Load-bearing diagnostic when material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Included in Canon / CSV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M0-M1; no cross-domain validated instrument</w:t>
            </w:r>
          </w:p>
        </w:tc>
      </w:tr>
      <w:tr>
        <w:trPr>
          <w:cantSplit/>
        </w:trPr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Computability vs Realizability Bridge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v11.4 surface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Generated != grounded != selectable != ethical guard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Canon bridge / guide surface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High documentation completeness</w:t>
            </w:r>
          </w:p>
        </w:tc>
        <w:tc>
          <w:tcPr>
            <w:vAlign w:val="top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N/A</w:t>
            </w:r>
          </w:p>
        </w:tc>
      </w:tr>
    </w:tbl>
    <w:bookmarkEnd w:id="22"/>
    <w:bookmarkStart w:id="23" w:name="companion-guidance-additions"/>
    <w:p>
      <w:pPr>
        <w:pStyle w:val="Heading2"/>
      </w:pPr>
      <w:r>
        <w:t xml:space="preserve">4. Companion guidance additions</w:t>
      </w:r>
    </w:p>
    <w:p>
      <w:pPr>
        <w:pStyle w:val="FirstParagraph"/>
      </w:pPr>
      <w:r>
        <w:t xml:space="preserve">These artifacts are informative and non-normative. They sit below the Canon, SGP, Agent System, ripple.md Standard, Cascade Standard, and CSV Gate Standard.</w:t>
      </w:r>
    </w:p>
    <w:tbl>
      <w:tblPr>
        <w:tblStyle w:val="Table"/>
        <w:tblW w:type="pct" w:w="5000"/>
        <w:jc w:val="center"/>
        <w:tblLayout w:type="autofit"/>
        <w:tblLook w:firstRow="1" w:lastRow="0" w:firstColumn="0" w:lastColumn="0" w:noHBand="0" w:noVBand="0" w:val="0020"/>
        <w:tblBorders>
          <w:top w:val="single" w:sz="8" w:space="0" w:color="9FB7CC"/>
          <w:left w:val="single" w:sz="8" w:space="0" w:color="9FB7CC"/>
          <w:bottom w:val="single" w:sz="8" w:space="0" w:color="9FB7CC"/>
          <w:right w:val="single" w:sz="8" w:space="0" w:color="9FB7CC"/>
          <w:insideH w:val="single" w:sz="8" w:space="0" w:color="9FB7CC"/>
          <w:insideV w:val="single" w:sz="8" w:space="0" w:color="9FB7CC"/>
        </w:tblBorders>
      </w:tblPr>
      <w:tblGrid>
        <w:gridCol w:w="1485"/>
        <w:gridCol w:w="1485"/>
        <w:gridCol w:w="1485"/>
        <w:gridCol w:w="1980"/>
        <w:gridCol w:w="1485"/>
      </w:tblGrid>
      <w:tr>
        <w:trPr>
          <w:tblHeader w:val="true"/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Artifact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Role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Authority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Documentation completeness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Measurement maturity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Style w:val="VerbatimChar"/>
                <w:rFonts w:ascii="Aptos" w:hAnsi="Aptos" w:eastAsia="Aptos"/>
                <w:sz w:val="17"/>
              </w:rPr>
              <w:t xml:space="preserve">RIPPLELOGIC_PLAIN_ENGLISH_SUMMARY.md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Public orientation doorway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Informative, non-normative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New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N/A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Style w:val="VerbatimChar"/>
                <w:rFonts w:ascii="Aptos" w:hAnsi="Aptos" w:eastAsia="Aptos"/>
                <w:sz w:val="17"/>
              </w:rPr>
              <w:t xml:space="preserve">RIPPLELOGIC_COMPARATIVE_POSITIONING_AND_RELATED_WORK.md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Academic positioning and related work note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Informative, non-normative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New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N/A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Style w:val="VerbatimChar"/>
                <w:rFonts w:ascii="Aptos" w:hAnsi="Aptos" w:eastAsia="Aptos"/>
                <w:sz w:val="17"/>
              </w:rPr>
              <w:t xml:space="preserve">RIPPLELOGIC_IMPLEMENTATION_SCAFFOLDING.md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Provisional heuristics, PCC profiles, roles, and fast-path guidance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Informative, non-normative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New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M1 only; heuristics capped at E1-E2 unless independently supported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Style w:val="VerbatimChar"/>
                <w:rFonts w:ascii="Aptos" w:hAnsi="Aptos" w:eastAsia="Aptos"/>
                <w:sz w:val="17"/>
              </w:rPr>
              <w:t xml:space="preserve">PCC_LITE_WORKED_EXAMPLE_REUSABLE_CUPS.md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Minimal worked example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Informative, non-normative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New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M1 training-grade example</w:t>
            </w:r>
          </w:p>
        </w:tc>
      </w:tr>
    </w:tbl>
    <w:bookmarkEnd w:id="23"/>
    <w:bookmarkStart w:id="24" w:name="honest-dashboard-reading"/>
    <w:p>
      <w:pPr>
        <w:pStyle w:val="Heading2"/>
      </w:pPr>
      <w:r>
        <w:t xml:space="preserve">5. Honest dashboard reading</w:t>
      </w:r>
    </w:p>
    <w:p>
      <w:pPr>
        <w:pStyle w:val="FirstParagraph"/>
      </w:pPr>
      <w:r>
        <w:t xml:space="preserve">The MathGov Core is strong on documentation and source completeness. Its major governing artifacts are mature as Tier 1-3 specifications.</w:t>
      </w:r>
    </w:p>
    <w:p>
      <w:pPr>
        <w:pStyle w:val="BodyText"/>
      </w:pPr>
      <w:r>
        <w:t xml:space="preserve">The main measurement surfaces are less mature: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RLS cell scoring:</w:t>
      </w:r>
      <w:r>
        <w:t xml:space="preserve"> </w:t>
      </w:r>
      <w:r>
        <w:t xml:space="preserve">M1 until rater studies and dimensional separability tests are completed.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UCI/HOI:</w:t>
      </w:r>
      <w:r>
        <w:t xml:space="preserve"> </w:t>
      </w:r>
      <w:r>
        <w:t xml:space="preserve">M0-M1 until a measurement annex and domain indicators are validated.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Biological SGP:</w:t>
      </w:r>
      <w:r>
        <w:t xml:space="preserve"> </w:t>
      </w:r>
      <w:r>
        <w:t xml:space="preserve">M0-M1 until biological evaluation batteries are specified and tested.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Artificial-entity SGP:</w:t>
      </w:r>
      <w:r>
        <w:t xml:space="preserve"> </w:t>
      </w:r>
      <w:r>
        <w:t xml:space="preserve">M1 until architecture, continuity, valence, robustness, and anti-gaming tests are validated.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Aligners Sheet:</w:t>
      </w:r>
      <w:r>
        <w:t xml:space="preserve"> </w:t>
      </w:r>
      <w:r>
        <w:t xml:space="preserve">M1 as a worked-run exemplar until formula audit, test vectors, and reference-calculator replay are complete.</w:t>
      </w:r>
    </w:p>
    <w:p>
      <w:pPr>
        <w:pStyle w:val="FirstParagraph"/>
      </w:pPr>
      <w:r>
        <w:t xml:space="preserve">This is not a weakness if stated honestly. It means the framework is ready for validation work, not finished with validation work.</w:t>
      </w:r>
    </w:p>
    <w:bookmarkEnd w:id="24"/>
    <w:bookmarkStart w:id="25" w:name="priority-maturity-roadmap"/>
    <w:p>
      <w:pPr>
        <w:pStyle w:val="Heading2"/>
      </w:pPr>
      <w:r>
        <w:t xml:space="preserve">6. Priority maturity roadmap</w:t>
      </w:r>
    </w:p>
    <w:tbl>
      <w:tblPr>
        <w:tblStyle w:val="Table"/>
        <w:tblW w:type="pct" w:w="5000"/>
        <w:jc w:val="center"/>
        <w:tblLayout w:type="autofit"/>
        <w:tblLook w:firstRow="1" w:lastRow="0" w:firstColumn="0" w:lastColumn="0" w:noHBand="0" w:noVBand="0" w:val="0020"/>
        <w:tblBorders>
          <w:top w:val="single" w:sz="8" w:space="0" w:color="9FB7CC"/>
          <w:left w:val="single" w:sz="8" w:space="0" w:color="9FB7CC"/>
          <w:bottom w:val="single" w:sz="8" w:space="0" w:color="9FB7CC"/>
          <w:right w:val="single" w:sz="8" w:space="0" w:color="9FB7CC"/>
          <w:insideH w:val="single" w:sz="8" w:space="0" w:color="9FB7CC"/>
          <w:insideV w:val="single" w:sz="8" w:space="0" w:color="9FB7CC"/>
        </w:tblBorders>
      </w:tblPr>
      <w:tblGrid>
        <w:gridCol w:w="1397"/>
        <w:gridCol w:w="1397"/>
        <w:gridCol w:w="1863"/>
        <w:gridCol w:w="1863"/>
        <w:gridCol w:w="1397"/>
      </w:tblGrid>
      <w:tr>
        <w:trPr>
          <w:tblHeader w:val="true"/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Priority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Target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Current maturity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Desired next maturity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1F4E79"/>
          </w:tcPr>
          <w:p>
            <w:pPr>
              <w:pStyle w:val="Compact"/>
              <w:spacing w:before="0" w:after="4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7"/>
              </w:rPr>
              <w:t xml:space="preserve">Next step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1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RLS cell scoring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M1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M3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Inter-rater reliability and dimensional separability study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2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RLS 49-cell non-redundancy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M1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M3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Separability-case protocol plus correlation/factor analysis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3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UCI/HOI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M0-M1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M2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Provisional UCI Measurement Annex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4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Aligners Sheet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M1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M2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Formula audit and public test vectors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5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SGP biological evaluation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M0-M1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M2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Biological Evaluation Annex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6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SGP artificial-entity evaluation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M1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M2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Artificial Entity Evaluation Annex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7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Reference calculator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M0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M2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FFF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Style w:val="VerbatimChar"/>
                <w:rFonts w:ascii="Aptos" w:hAnsi="Aptos" w:eastAsia="Aptos"/>
                <w:sz w:val="17"/>
              </w:rPr>
              <w:t xml:space="preserve">mathgov-reference v0.1</w:t>
            </w:r>
            <w:r>
              <w:rPr>
                <w:rFonts w:ascii="Aptos" w:hAnsi="Aptos" w:eastAsia="Aptos"/>
                <w:sz w:val="17"/>
              </w:rPr>
              <w:t xml:space="preserve"> </w:t>
            </w:r>
            <w:r>
              <w:rPr>
                <w:rFonts w:ascii="Aptos" w:hAnsi="Aptos" w:eastAsia="Aptos"/>
                <w:sz w:val="17"/>
              </w:rPr>
              <w:t xml:space="preserve">replay of Canon test vectors</w:t>
            </w:r>
          </w:p>
        </w:tc>
      </w:tr>
      <w:tr>
        <w:trPr>
          <w:cantSplit/>
        </w:trPr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8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Pilot use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P1-P3 preparation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right"/>
            </w:pPr>
            <w:r>
              <w:rPr>
                <w:rFonts w:ascii="Aptos" w:hAnsi="Aptos" w:eastAsia="Aptos"/>
                <w:sz w:val="17"/>
              </w:rPr>
              <w:t xml:space="preserve">P3</w:t>
            </w:r>
          </w:p>
        </w:tc>
        <w:tc>
          <w:tcPr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3F7FA"/>
          </w:tcPr>
          <w:p>
            <w:pPr>
              <w:pStyle w:val="Compact"/>
              <w:spacing w:before="0" w:after="40" w:line="252" w:lineRule="auto"/>
              <w:jc w:val="left"/>
            </w:pPr>
            <w:r>
              <w:rPr>
                <w:rFonts w:ascii="Aptos" w:hAnsi="Aptos" w:eastAsia="Aptos"/>
                <w:sz w:val="17"/>
              </w:rPr>
              <w:t xml:space="preserve">Shadow-mode pilot design</w:t>
            </w:r>
          </w:p>
        </w:tc>
      </w:tr>
    </w:tbl>
    <w:bookmarkEnd w:id="25"/>
    <w:bookmarkStart w:id="26" w:name="score-boundary"/>
    <w:p>
      <w:pPr>
        <w:pStyle w:val="Heading2"/>
      </w:pPr>
      <w:r>
        <w:t xml:space="preserve">7. Score boundary</w:t>
      </w:r>
    </w:p>
    <w:p>
      <w:pPr>
        <w:pStyle w:val="FirstParagraph"/>
      </w:pPr>
      <w:r>
        <w:t xml:space="preserve">Documentation status labels are internal source-completeness indicators, not numeric validation scores.</w:t>
      </w:r>
    </w:p>
    <w:p>
      <w:pPr>
        <w:pStyle w:val="BodyText"/>
      </w:pPr>
      <w:r>
        <w:t xml:space="preserve">Measurement maturity scores are self-assessed instrument-readiness indicators.</w:t>
      </w:r>
    </w:p>
    <w:p>
      <w:pPr>
        <w:pStyle w:val="BodyText"/>
      </w:pPr>
      <w:r>
        <w:t xml:space="preserve">They are not:</w:t>
      </w:r>
    </w:p>
    <w:p>
      <w:pPr>
        <w:pStyle w:val="Compact"/>
        <w:numPr>
          <w:ilvl w:val="0"/>
          <w:numId w:val="1005"/>
        </w:numPr>
      </w:pPr>
      <w:r>
        <w:t xml:space="preserve">empirical validation;</w:t>
      </w:r>
    </w:p>
    <w:p>
      <w:pPr>
        <w:pStyle w:val="Compact"/>
        <w:numPr>
          <w:ilvl w:val="0"/>
          <w:numId w:val="1005"/>
        </w:numPr>
      </w:pPr>
      <w:r>
        <w:t xml:space="preserve">proof of better decisions;</w:t>
      </w:r>
    </w:p>
    <w:p>
      <w:pPr>
        <w:pStyle w:val="Compact"/>
        <w:numPr>
          <w:ilvl w:val="0"/>
          <w:numId w:val="1005"/>
        </w:numPr>
      </w:pPr>
      <w:r>
        <w:t xml:space="preserve">legal certification;</w:t>
      </w:r>
    </w:p>
    <w:p>
      <w:pPr>
        <w:pStyle w:val="Compact"/>
        <w:numPr>
          <w:ilvl w:val="0"/>
          <w:numId w:val="1005"/>
        </w:numPr>
      </w:pPr>
      <w:r>
        <w:t xml:space="preserve">deployment certification;</w:t>
      </w:r>
    </w:p>
    <w:p>
      <w:pPr>
        <w:pStyle w:val="Compact"/>
        <w:numPr>
          <w:ilvl w:val="0"/>
          <w:numId w:val="1005"/>
        </w:numPr>
      </w:pPr>
      <w:r>
        <w:t xml:space="preserve">ProofPack status;</w:t>
      </w:r>
    </w:p>
    <w:p>
      <w:pPr>
        <w:pStyle w:val="Compact"/>
        <w:numPr>
          <w:ilvl w:val="0"/>
          <w:numId w:val="1005"/>
        </w:numPr>
      </w:pPr>
      <w:r>
        <w:t xml:space="preserve">Tier 4 readiness;</w:t>
      </w:r>
    </w:p>
    <w:p>
      <w:pPr>
        <w:pStyle w:val="Compact"/>
        <w:numPr>
          <w:ilvl w:val="0"/>
          <w:numId w:val="1005"/>
        </w:numPr>
      </w:pPr>
      <w:r>
        <w:t xml:space="preserve">automated moral truth.</w:t>
      </w:r>
    </w:p>
    <w:bookmarkEnd w:id="26"/>
    <w:bookmarkStart w:id="27" w:name="final-component-map-statement"/>
    <w:p>
      <w:pPr>
        <w:pStyle w:val="Heading2"/>
      </w:pPr>
      <w:r>
        <w:t xml:space="preserve">8. Final component-map statement</w:t>
      </w:r>
    </w:p>
    <w:p>
      <w:pPr>
        <w:pStyle w:val="FirstParagraph"/>
      </w:pPr>
      <w:r>
        <w:rPr>
          <w:b/>
          <w:bCs/>
        </w:rPr>
        <w:t xml:space="preserve">MathGov Core v11.4 is source-complete enough to proceed toward validation, but its major measurement surfaces must be advanced through reliability testing, measurement annexes, reference-calculator replay, and pilots before stronger empirical claims are made.</w:t>
      </w:r>
    </w:p>
    <w:p>
      <w:pPr>
        <w:pStyle w:val="BodyText"/>
      </w:pPr>
      <w:r>
        <w:t xml:space="preserve">Legacy verifier phrase: documentation/source-completeness scores are documentation/source completeness indicators only, not validation claims.</w:t>
      </w:r>
    </w:p>
    <w:bookmarkEnd w:id="27"/>
    <w:bookmarkStart w:id="28" w:name="source-coupling-integrity-note"/>
    <w:p>
      <w:pPr>
        <w:pStyle w:val="Heading2"/>
      </w:pPr>
      <w:r>
        <w:t xml:space="preserve">Source-Coupling Integrity note</w:t>
      </w:r>
    </w:p>
    <w:p>
      <w:pPr>
        <w:pStyle w:val="FirstParagraph"/>
      </w:pPr>
      <w:r>
        <w:t xml:space="preserve">This release includes</w:t>
      </w:r>
      <w:r>
        <w:t xml:space="preserve"> </w:t>
      </w:r>
      <w:r>
        <w:rPr>
          <w:rStyle w:val="VerbatimChar"/>
        </w:rPr>
        <w:t xml:space="preserve">docs/standards/Source_Coupling_Integrity_Standard_v1.0.md</w:t>
      </w:r>
      <w:r>
        <w:t xml:space="preserve"> </w:t>
      </w:r>
      <w:r>
        <w:t xml:space="preserve">and Canon Appendix AL as a MathGov-native Reality Grounding and CSV hardening diagnostic. It is not a sixth gate. It does not import external text. It cites Strüver (2026),</w:t>
      </w:r>
      <w:r>
        <w:t xml:space="preserve"> </w:t>
      </w:r>
      <w:r>
        <w:rPr>
          <w:i/>
          <w:iCs/>
        </w:rPr>
        <w:t xml:space="preserve">Source Amnesia</w:t>
      </w:r>
      <w:r>
        <w:t xml:space="preserve">, only as related external scholarship.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Aptos" w:hAnsi="Aptos" w:eastAsia="Aptos"/>
      <w:sz w:val="21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2026-07-01T11:15:47Z</dcterms:created>
  <dcterms:modified xsi:type="dcterms:W3CDTF">2026-07-01T11:15:47Z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