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79"/>
          <w:sz w:val="40"/>
        </w:rPr>
        <w:t>Pilot Readiness Memo v0.2</w:t>
      </w:r>
    </w:p>
    <w:p>
      <w:pPr>
        <w:jc w:val="center"/>
      </w:pPr>
      <w:r>
        <w:rPr>
          <w:i/>
          <w:color w:val="505050"/>
          <w:sz w:val="22"/>
        </w:rPr>
        <w:t>RippleLogic / ripple.md / SGP for Nepal, Vietnam, and New Zealand</w:t>
      </w:r>
    </w:p>
    <w:p>
      <w:r>
        <w:rPr>
          <w:b/>
        </w:rPr>
        <w:t xml:space="preserve">Status: </w:t>
      </w:r>
      <w:r>
        <w:t>Conditional GO for supervised Tier-2 pilots</w:t>
      </w:r>
    </w:p>
    <w:p>
      <w:r>
        <w:rPr>
          <w:b/>
        </w:rPr>
        <w:t xml:space="preserve">Release line: </w:t>
      </w:r>
      <w:r>
        <w:t>RippleLogic v9.6.4 / ripple.md v2.2 / SGP v4.7.1 / Agent System v9.2 / Aligners Sheet v2.5</w:t>
      </w:r>
    </w:p>
    <w:p>
      <w:r>
        <w:rPr>
          <w:b/>
        </w:rPr>
        <w:t xml:space="preserve">Prepared for: </w:t>
      </w:r>
      <w:r>
        <w:t>Bounded Tier-2 public-sector pilots in Nepal, Vietnam, and New Zealand</w:t>
      </w:r>
    </w:p>
    <w:p>
      <w:r>
        <w:rPr>
          <w:b/>
        </w:rPr>
        <w:t xml:space="preserve">Date: </w:t>
      </w:r>
      <w:r>
        <w:t>2026-05-01</w:t>
      </w:r>
    </w:p>
    <w:p/>
    <w:p>
      <w:r>
        <w:rPr>
          <w:b/>
        </w:rPr>
        <w:t xml:space="preserve">Use boundary. </w:t>
      </w:r>
      <w:r>
        <w:t>This document is a pilot-planning artifact. It is not legal advice, does not replace local administrative law, and does not authorize automated or coercive public-sector action. Every jurisdiction-specific annex must be reviewed by qualified local legal, policy, and stakeholder reviewers before use.</w:t>
      </w:r>
    </w:p>
    <w:p>
      <w:pPr>
        <w:pStyle w:val="Heading1"/>
      </w:pPr>
      <w:r>
        <w:t>1. Executive Summary</w:t>
      </w:r>
    </w:p>
    <w:p>
      <w:r>
        <w:t>RippleLogic, ripple.md, and the Sentience Gradient Protocol are mature enough to support bounded, human-supervised Tier-2 government pilots in carefully selected public-sector contexts. The current release is strongest as a structured decision-support, audit, and learning framework. It should not be presented as an autonomous governance engine, a substitute for law, or a fully validated production deployment system.</w:t>
      </w:r>
    </w:p>
    <w:p>
      <w:r>
        <w:t>The correct current posture is: GO for bounded pilots; NO-GO for autonomous deployment, coercive enforcement, Tier-4 claims, or full machine-complete validation claims.</w:t>
      </w:r>
    </w:p>
    <w:p>
      <w:pPr>
        <w:pStyle w:val="Heading1"/>
      </w:pPr>
      <w:r>
        <w:t>2. Pilot-Grade vs Deployment-Grade</w:t>
      </w:r>
    </w:p>
    <w:p>
      <w:pPr>
        <w:pStyle w:val="IntenseQuote"/>
      </w:pPr>
      <w:r>
        <w:rPr>
          <w:b/>
        </w:rPr>
        <w:t>Approved pilot-grade claim: RippleLogic v9.6.4 is a structured, auditable, rights-floor and tail-risk-aware decision-support framework for supervised Tier-2 public-sector pilots.</w:t>
      </w:r>
    </w:p>
    <w:p>
      <w:r>
        <w:t>Claims that must not be made:</w:t>
      </w:r>
    </w:p>
    <w:p>
      <w:pPr>
        <w:pStyle w:val="ListBullet"/>
      </w:pPr>
      <w:r>
        <w:t>Fully validated across jurisdictions.</w:t>
      </w:r>
    </w:p>
    <w:p>
      <w:pPr>
        <w:pStyle w:val="ListBullet"/>
      </w:pPr>
      <w:r>
        <w:t>Ready for unattended public-authority deployment.</w:t>
      </w:r>
    </w:p>
    <w:p>
      <w:pPr>
        <w:pStyle w:val="ListBullet"/>
      </w:pPr>
      <w:r>
        <w:t>A replacement for existing law, administrative review, judicial review, or human responsibility.</w:t>
      </w:r>
    </w:p>
    <w:p>
      <w:pPr>
        <w:pStyle w:val="ListBullet"/>
      </w:pPr>
      <w:r>
        <w:t>Tier-4 ProofPack complete.</w:t>
      </w:r>
    </w:p>
    <w:p>
      <w:pPr>
        <w:pStyle w:val="ListBullet"/>
      </w:pPr>
      <w:r>
        <w:t>SGP grants governance authority to any entity.</w:t>
      </w:r>
    </w:p>
    <w:p>
      <w:pPr>
        <w:pStyle w:val="ListBullet"/>
      </w:pPr>
      <w:r>
        <w:t>A successful workshop equals empirical validation.</w:t>
      </w:r>
    </w:p>
    <w:p>
      <w:pPr>
        <w:pStyle w:val="Heading1"/>
      </w:pPr>
      <w:r>
        <w:t>3. Canonical Architecture to Preserve</w:t>
      </w:r>
    </w:p>
    <w:p>
      <w:r>
        <w:t>Every pilot must preserve the order and non-compensatory logic of the canonical cascade. Any localization, simplification, workshop exercise, or public-facing summary must avoid collapsing these layers into a single score.</w:t>
      </w:r>
    </w:p>
    <w:p>
      <w:pPr>
        <w:pStyle w:val="ListBullet"/>
      </w:pPr>
      <w:r>
        <w:rPr>
          <w:b/>
        </w:rPr>
        <w:t xml:space="preserve">NCRC: </w:t>
      </w:r>
      <w:r>
        <w:t>Rights floors are non-compensatory. No welfare gain downstream may rescue a rights-floor failure.</w:t>
      </w:r>
    </w:p>
    <w:p>
      <w:pPr>
        <w:pStyle w:val="ListBullet"/>
      </w:pPr>
      <w:r>
        <w:rPr>
          <w:b/>
        </w:rPr>
        <w:t xml:space="preserve">TRC: </w:t>
      </w:r>
      <w:r>
        <w:t>Catastrophic and lock-in risks are bounded before ordinary welfare optimization.</w:t>
      </w:r>
    </w:p>
    <w:p>
      <w:pPr>
        <w:pStyle w:val="ListBullet"/>
      </w:pPr>
      <w:r>
        <w:rPr>
          <w:b/>
        </w:rPr>
        <w:t xml:space="preserve">Containment: </w:t>
      </w:r>
      <w:r>
        <w:t>Local gains must not degrade wider union scopes beyond permitted floors or escalation conditions.</w:t>
      </w:r>
    </w:p>
    <w:p>
      <w:pPr>
        <w:pStyle w:val="ListBullet"/>
      </w:pPr>
      <w:r>
        <w:rPr>
          <w:b/>
        </w:rPr>
        <w:t xml:space="preserve">RLS: </w:t>
      </w:r>
      <w:r>
        <w:t>Residual welfare ranking occurs only after admissibility gates pass.</w:t>
      </w:r>
    </w:p>
    <w:p>
      <w:pPr>
        <w:pStyle w:val="ListBullet"/>
      </w:pPr>
      <w:r>
        <w:rPr>
          <w:b/>
        </w:rPr>
        <w:t xml:space="preserve">UCI / HOI: </w:t>
      </w:r>
      <w:r>
        <w:t>Structural tie-break and diagnostic review apply where RLS is non-decisive or structural hollowing is live.</w:t>
      </w:r>
    </w:p>
    <w:p>
      <w:pPr>
        <w:pStyle w:val="ListBullet"/>
      </w:pPr>
      <w:r>
        <w:rPr>
          <w:b/>
        </w:rPr>
        <w:t xml:space="preserve">SGP boundary: </w:t>
      </w:r>
      <w:r>
        <w:t>SGP may inform protection and welfare-stream scaling but not governance authority or reductions in human rights.</w:t>
      </w:r>
    </w:p>
    <w:p>
      <w:pPr>
        <w:pStyle w:val="ListBullet"/>
      </w:pPr>
      <w:r>
        <w:rPr>
          <w:b/>
        </w:rPr>
        <w:t xml:space="preserve">ripple.md boundary: </w:t>
      </w:r>
      <w:r>
        <w:t>ripple.md wraps documentation, evidence, contestability, and assurance without weakening the canonical cascade.</w:t>
      </w:r>
    </w:p>
    <w:p>
      <w:pPr>
        <w:pStyle w:val="Heading1"/>
      </w:pPr>
      <w:r>
        <w:t>4. Mandatory Pilot Boundary Conditions</w:t>
      </w:r>
    </w:p>
    <w:p>
      <w:pPr>
        <w:pStyle w:val="ListBullet"/>
      </w:pPr>
      <w:r>
        <w:rPr>
          <w:b/>
        </w:rPr>
        <w:t xml:space="preserve">Tier boundary: </w:t>
      </w:r>
      <w:r>
        <w:t>Phase 1 pilots must remain Tier 2.</w:t>
      </w:r>
    </w:p>
    <w:p>
      <w:pPr>
        <w:pStyle w:val="ListBullet"/>
      </w:pPr>
      <w:r>
        <w:rPr>
          <w:b/>
        </w:rPr>
        <w:t xml:space="preserve">Human authority boundary: </w:t>
      </w:r>
      <w:r>
        <w:t>Named human officials retain final decision authority.</w:t>
      </w:r>
    </w:p>
    <w:p>
      <w:pPr>
        <w:pStyle w:val="ListBullet"/>
      </w:pPr>
      <w:r>
        <w:rPr>
          <w:b/>
        </w:rPr>
        <w:t xml:space="preserve">Stakeholder boundary: </w:t>
      </w:r>
      <w:r>
        <w:t>Begin with all-human stakeholder cases.</w:t>
      </w:r>
    </w:p>
    <w:p>
      <w:pPr>
        <w:pStyle w:val="ListBullet"/>
      </w:pPr>
      <w:r>
        <w:rPr>
          <w:b/>
        </w:rPr>
        <w:t xml:space="preserve">Domain boundary: </w:t>
      </w:r>
      <w:r>
        <w:t>Use low-coercion, service-oriented, reversible public-sector cases first.</w:t>
      </w:r>
    </w:p>
    <w:p>
      <w:pPr>
        <w:pStyle w:val="ListBullet"/>
      </w:pPr>
      <w:r>
        <w:rPr>
          <w:b/>
        </w:rPr>
        <w:t xml:space="preserve">Documentation boundary: </w:t>
      </w:r>
      <w:r>
        <w:t>Every run must generate a Decision Note, PCC, reviewer signoff, and reflection date.</w:t>
      </w:r>
    </w:p>
    <w:p>
      <w:pPr>
        <w:pStyle w:val="Heading1"/>
      </w:pPr>
      <w:r>
        <w:t>5. Recommended and Excluded Phase 1 Domains</w:t>
      </w:r>
    </w:p>
    <w:p>
      <w:pPr>
        <w:pStyle w:val="Heading2"/>
      </w:pPr>
      <w:r>
        <w:t>Recommended early domains</w:t>
      </w:r>
    </w:p>
    <w:p>
      <w:pPr>
        <w:pStyle w:val="ListBullet"/>
      </w:pPr>
      <w:r>
        <w:t>Public procurement.</w:t>
      </w:r>
    </w:p>
    <w:p>
      <w:pPr>
        <w:pStyle w:val="ListBullet"/>
      </w:pPr>
      <w:r>
        <w:t>Administrative service redesign.</w:t>
      </w:r>
    </w:p>
    <w:p>
      <w:pPr>
        <w:pStyle w:val="ListBullet"/>
      </w:pPr>
      <w:r>
        <w:t>Public digital-service review.</w:t>
      </w:r>
    </w:p>
    <w:p>
      <w:pPr>
        <w:pStyle w:val="ListBullet"/>
      </w:pPr>
      <w:r>
        <w:t>Infrastructure prioritization.</w:t>
      </w:r>
    </w:p>
    <w:p>
      <w:pPr>
        <w:pStyle w:val="ListBullet"/>
      </w:pPr>
      <w:r>
        <w:t>Education or health-service planning.</w:t>
      </w:r>
    </w:p>
    <w:p>
      <w:pPr>
        <w:pStyle w:val="ListBullet"/>
      </w:pPr>
      <w:r>
        <w:t>Environmental resilience planning.</w:t>
      </w:r>
    </w:p>
    <w:p>
      <w:pPr>
        <w:pStyle w:val="ListBullet"/>
      </w:pPr>
      <w:r>
        <w:t>Institutional AI adoption governance.</w:t>
      </w:r>
    </w:p>
    <w:p>
      <w:pPr>
        <w:pStyle w:val="Heading2"/>
      </w:pPr>
      <w:r>
        <w:t>Excluded Phase 1 domains</w:t>
      </w:r>
    </w:p>
    <w:p>
      <w:pPr>
        <w:pStyle w:val="ListBullet"/>
      </w:pPr>
      <w:r>
        <w:t>Policing and criminal justice.</w:t>
      </w:r>
    </w:p>
    <w:p>
      <w:pPr>
        <w:pStyle w:val="ListBullet"/>
      </w:pPr>
      <w:r>
        <w:t>Detention and incarceration.</w:t>
      </w:r>
    </w:p>
    <w:p>
      <w:pPr>
        <w:pStyle w:val="ListBullet"/>
      </w:pPr>
      <w:r>
        <w:t>Surveillance expansion.</w:t>
      </w:r>
    </w:p>
    <w:p>
      <w:pPr>
        <w:pStyle w:val="ListBullet"/>
      </w:pPr>
      <w:r>
        <w:t>Censorship or content restriction.</w:t>
      </w:r>
    </w:p>
    <w:p>
      <w:pPr>
        <w:pStyle w:val="ListBullet"/>
      </w:pPr>
      <w:r>
        <w:t>Immigration enforcement.</w:t>
      </w:r>
    </w:p>
    <w:p>
      <w:pPr>
        <w:pStyle w:val="ListBullet"/>
      </w:pPr>
      <w:r>
        <w:t>Emergency powers expansion.</w:t>
      </w:r>
    </w:p>
    <w:p>
      <w:pPr>
        <w:pStyle w:val="ListBullet"/>
      </w:pPr>
      <w:r>
        <w:t>Constitutional restructuring.</w:t>
      </w:r>
    </w:p>
    <w:p>
      <w:pPr>
        <w:pStyle w:val="ListBullet"/>
      </w:pPr>
      <w:r>
        <w:t>High-coercion welfare eligibility decisions.</w:t>
      </w:r>
    </w:p>
    <w:p>
      <w:pPr>
        <w:pStyle w:val="Heading1"/>
      </w:pPr>
      <w:r>
        <w:t>6. Conditions Precedent to Launch</w:t>
      </w:r>
    </w:p>
    <w:p>
      <w:pPr>
        <w:pStyle w:val="Heading2"/>
      </w:pPr>
      <w:r>
        <w:t>Release-integrity conditions</w:t>
      </w:r>
    </w:p>
    <w:p>
      <w:pPr>
        <w:pStyle w:val="ListBullet"/>
      </w:pPr>
      <w:r>
        <w:t>One canonical artifact set selected and distributed.</w:t>
      </w:r>
    </w:p>
    <w:p>
      <w:pPr>
        <w:pStyle w:val="ListBullet"/>
      </w:pPr>
      <w:r>
        <w:t>Manifest regenerated from exact final bytes.</w:t>
      </w:r>
    </w:p>
    <w:p>
      <w:pPr>
        <w:pStyle w:val="ListBullet"/>
      </w:pPr>
      <w:r>
        <w:t>SHA-256 checksum file regenerated from exact final bytes.</w:t>
      </w:r>
    </w:p>
    <w:p>
      <w:pPr>
        <w:pStyle w:val="ListBullet"/>
      </w:pPr>
      <w:r>
        <w:t>No duplicate final, final-read, final-freeze, or upload-suffix variants distributed.</w:t>
      </w:r>
    </w:p>
    <w:p>
      <w:pPr>
        <w:pStyle w:val="ListBullet"/>
      </w:pPr>
      <w:r>
        <w:t>Workbook recalculated and saved before hashing.</w:t>
      </w:r>
    </w:p>
    <w:p>
      <w:pPr>
        <w:pStyle w:val="ListBullet"/>
      </w:pPr>
      <w:r>
        <w:t>Release-integrity or ProofPack Alpha package attached.</w:t>
      </w:r>
    </w:p>
    <w:p>
      <w:pPr>
        <w:pStyle w:val="ListBullet"/>
      </w:pPr>
      <w:r>
        <w:t>Public claim language bounded to supervised Tier-2 pilot status.</w:t>
      </w:r>
    </w:p>
    <w:p>
      <w:pPr>
        <w:pStyle w:val="Heading2"/>
      </w:pPr>
      <w:r>
        <w:t>Localization conditions</w:t>
      </w:r>
    </w:p>
    <w:p>
      <w:pPr>
        <w:pStyle w:val="ListBullet"/>
      </w:pPr>
      <w:r>
        <w:t>Country localization annex completed.</w:t>
      </w:r>
    </w:p>
    <w:p>
      <w:pPr>
        <w:pStyle w:val="ListBullet"/>
      </w:pPr>
      <w:r>
        <w:t>Local rights mapping completed and reviewed.</w:t>
      </w:r>
    </w:p>
    <w:p>
      <w:pPr>
        <w:pStyle w:val="ListBullet"/>
      </w:pPr>
      <w:r>
        <w:t>Recourse pathway mapped to actual institutions with power to review or remedy.</w:t>
      </w:r>
    </w:p>
    <w:p>
      <w:pPr>
        <w:pStyle w:val="ListBullet"/>
      </w:pPr>
      <w:r>
        <w:t>Subgroup and data-handling limits specified.</w:t>
      </w:r>
    </w:p>
    <w:p>
      <w:pPr>
        <w:pStyle w:val="ListBullet"/>
      </w:pPr>
      <w:r>
        <w:t>Translation and terminology review completed where relevant.</w:t>
      </w:r>
    </w:p>
    <w:p>
      <w:pPr>
        <w:pStyle w:val="ListBullet"/>
      </w:pPr>
      <w:r>
        <w:t>Excluded-domain list approved.</w:t>
      </w:r>
    </w:p>
    <w:p>
      <w:pPr>
        <w:pStyle w:val="ListBullet"/>
      </w:pPr>
      <w:r>
        <w:t>Escalation path named.</w:t>
      </w:r>
    </w:p>
    <w:p>
      <w:pPr>
        <w:pStyle w:val="Heading2"/>
      </w:pPr>
      <w:r>
        <w:t>Operational conditions</w:t>
      </w:r>
    </w:p>
    <w:p>
      <w:pPr>
        <w:pStyle w:val="ListBullet"/>
      </w:pPr>
      <w:r>
        <w:t>One completed sample Decision Note exists for the jurisdiction.</w:t>
      </w:r>
    </w:p>
    <w:p>
      <w:pPr>
        <w:pStyle w:val="ListBullet"/>
      </w:pPr>
      <w:r>
        <w:t>One completed sample PCC exists for the jurisdiction.</w:t>
      </w:r>
    </w:p>
    <w:p>
      <w:pPr>
        <w:pStyle w:val="ListBullet"/>
      </w:pPr>
      <w:r>
        <w:t>Reviewer chain and escalation chain are named.</w:t>
      </w:r>
    </w:p>
    <w:p>
      <w:pPr>
        <w:pStyle w:val="ListBullet"/>
      </w:pPr>
      <w:r>
        <w:t>Pilot-specific threat model completed.</w:t>
      </w:r>
    </w:p>
    <w:p>
      <w:pPr>
        <w:pStyle w:val="ListBullet"/>
      </w:pPr>
      <w:r>
        <w:t>Monitoring and NCAR reflection schedule approved.</w:t>
      </w:r>
    </w:p>
    <w:p>
      <w:pPr>
        <w:pStyle w:val="ListBullet"/>
      </w:pPr>
      <w:r>
        <w:t>Public-facing claim language approved before use.</w:t>
      </w:r>
    </w:p>
    <w:p>
      <w:pPr>
        <w:pStyle w:val="Heading1"/>
      </w:pPr>
      <w:r>
        <w:t>7. Country Pilot Postures</w:t>
      </w:r>
    </w:p>
    <w:p>
      <w:pPr>
        <w:pStyle w:val="Heading2"/>
      </w:pPr>
      <w:r>
        <w:t>Nepal</w:t>
      </w:r>
    </w:p>
    <w:p>
      <w:r>
        <w:rPr>
          <w:b/>
        </w:rPr>
        <w:t xml:space="preserve">Posture: </w:t>
      </w:r>
      <w:r>
        <w:t>Conditional GO</w:t>
      </w:r>
    </w:p>
    <w:p>
      <w:r>
        <w:rPr>
          <w:b/>
        </w:rPr>
        <w:t xml:space="preserve">Best first pilots: </w:t>
      </w:r>
      <w:r>
        <w:t>Municipal service delivery, disaster resilience, procurement, education or health-service prioritization.</w:t>
      </w:r>
    </w:p>
    <w:p>
      <w:r>
        <w:rPr>
          <w:b/>
        </w:rPr>
        <w:t xml:space="preserve">Special risks: </w:t>
      </w:r>
      <w:r>
        <w:t>Caste and Dalit harms, indigenous nationality and ethnicity, rural remoteness, disability, gender, disaster vulnerability, access to real recourse.</w:t>
      </w:r>
    </w:p>
    <w:p>
      <w:pPr>
        <w:pStyle w:val="Heading2"/>
      </w:pPr>
      <w:r>
        <w:t>Vietnam</w:t>
      </w:r>
    </w:p>
    <w:p>
      <w:r>
        <w:rPr>
          <w:b/>
        </w:rPr>
        <w:t xml:space="preserve">Posture: </w:t>
      </w:r>
      <w:r>
        <w:t>Conditional GO with stricter exclusions</w:t>
      </w:r>
    </w:p>
    <w:p>
      <w:r>
        <w:rPr>
          <w:b/>
        </w:rPr>
        <w:t xml:space="preserve">Best first pilots: </w:t>
      </w:r>
      <w:r>
        <w:t>Public-sector AI procurement, administrative digitization, workflow redesign, infrastructure or environmental resilience planning.</w:t>
      </w:r>
    </w:p>
    <w:p>
      <w:r>
        <w:rPr>
          <w:b/>
        </w:rPr>
        <w:t xml:space="preserve">Special risks: </w:t>
      </w:r>
      <w:r>
        <w:t>Non-domination, meaningful review, information and privacy handling, public-authority concentration, surveillance or content-control risks.</w:t>
      </w:r>
    </w:p>
    <w:p>
      <w:pPr>
        <w:pStyle w:val="Heading2"/>
      </w:pPr>
      <w:r>
        <w:t>New Zealand</w:t>
      </w:r>
    </w:p>
    <w:p>
      <w:r>
        <w:rPr>
          <w:b/>
        </w:rPr>
        <w:t xml:space="preserve">Posture: </w:t>
      </w:r>
      <w:r>
        <w:t>Conditional GO with Treaty-sensitive safeguards</w:t>
      </w:r>
    </w:p>
    <w:p>
      <w:r>
        <w:rPr>
          <w:b/>
        </w:rPr>
        <w:t xml:space="preserve">Best first pilots: </w:t>
      </w:r>
      <w:r>
        <w:t>Local council planning, procurement, AI governance, infrastructure resilience, environmental planning.</w:t>
      </w:r>
    </w:p>
    <w:p>
      <w:r>
        <w:rPr>
          <w:b/>
        </w:rPr>
        <w:t xml:space="preserve">Special risks: </w:t>
      </w:r>
      <w:r>
        <w:t>Te Tiriti / Treaty implications, iwi and hapu participation, natural justice, ECOL localization, privacy and official information.</w:t>
      </w:r>
    </w:p>
    <w:p>
      <w:pPr>
        <w:pStyle w:val="Heading1"/>
      </w:pPr>
      <w:r>
        <w:t>8. Cross-Jurisdiction Risk Register</w:t>
      </w:r>
    </w:p>
    <w:p>
      <w:pPr>
        <w:pStyle w:val="ListBullet"/>
      </w:pPr>
      <w:r>
        <w:rPr>
          <w:b/>
        </w:rPr>
        <w:t xml:space="preserve">Capture risk: </w:t>
      </w:r>
      <w:r>
        <w:t>A ministry, agency, donor, or technical team frames scope, options, weights, or evidence to predetermine the result. Mitigation: Record scope rationale, excluded options, weight profile, reviewer signoff, and post-hoc changes.</w:t>
      </w:r>
    </w:p>
    <w:p>
      <w:pPr>
        <w:pStyle w:val="ListBullet"/>
      </w:pPr>
      <w:r>
        <w:rPr>
          <w:b/>
        </w:rPr>
        <w:t xml:space="preserve">Recourse theater: </w:t>
      </w:r>
      <w:r>
        <w:t>Appeal exists on paper but affected people cannot realistically use it. Mitigation: Require named authority, response timeline, remedy pathway, and usability testing.</w:t>
      </w:r>
    </w:p>
    <w:p>
      <w:pPr>
        <w:pStyle w:val="ListBullet"/>
      </w:pPr>
      <w:r>
        <w:rPr>
          <w:b/>
        </w:rPr>
        <w:t xml:space="preserve">Emergency shortcut drift: </w:t>
      </w:r>
      <w:r>
        <w:t>Emergency logic becomes routine. Mitigation: Require triage record, sunset date, post-hoc review, and frequency monitoring.</w:t>
      </w:r>
    </w:p>
    <w:p>
      <w:pPr>
        <w:pStyle w:val="ListBullet"/>
      </w:pPr>
      <w:r>
        <w:rPr>
          <w:b/>
        </w:rPr>
        <w:t xml:space="preserve">Translation drift: </w:t>
      </w:r>
      <w:r>
        <w:t>Key terms lose precision in local language or institutional translation. Mitigation: Maintain canonical English anchors and approved local glosses.</w:t>
      </w:r>
    </w:p>
    <w:p>
      <w:pPr>
        <w:pStyle w:val="ListBullet"/>
      </w:pPr>
      <w:r>
        <w:rPr>
          <w:b/>
        </w:rPr>
        <w:t xml:space="preserve">Selective use: </w:t>
      </w:r>
      <w:r>
        <w:t>Framework is invoked only when convenient. Mitigation: Define inclusion criteria and log excluded cases.</w:t>
      </w:r>
    </w:p>
    <w:p>
      <w:pPr>
        <w:pStyle w:val="ListBullet"/>
      </w:pPr>
      <w:r>
        <w:rPr>
          <w:b/>
        </w:rPr>
        <w:t xml:space="preserve">False validation: </w:t>
      </w:r>
      <w:r>
        <w:t>A successful workshop is described as proof of validity. Mitigation: Use pilot-tested and under evaluation language only.</w:t>
      </w:r>
    </w:p>
    <w:p>
      <w:pPr>
        <w:pStyle w:val="ListBullet"/>
      </w:pPr>
      <w:r>
        <w:rPr>
          <w:b/>
        </w:rPr>
        <w:t xml:space="preserve">Automation bias: </w:t>
      </w:r>
      <w:r>
        <w:t>Officials defer to the framework output as if it were authoritative. Mitigation: Require human rationale, disagreement logging, and ability to reject outputs.</w:t>
      </w:r>
    </w:p>
    <w:p>
      <w:pPr>
        <w:pStyle w:val="ListBullet"/>
      </w:pPr>
      <w:r>
        <w:rPr>
          <w:b/>
        </w:rPr>
        <w:t xml:space="preserve">Data misuse: </w:t>
      </w:r>
      <w:r>
        <w:t>Subgroup or sensitive data are collected beyond lawful need. Mitigation: Use data minimization and substitute harm-detection methods when needed.</w:t>
      </w:r>
    </w:p>
    <w:p>
      <w:pPr>
        <w:pStyle w:val="Heading1"/>
      </w:pPr>
      <w:r>
        <w:t>9. Pilot Sequence</w:t>
      </w:r>
    </w:p>
    <w:p>
      <w:pPr>
        <w:pStyle w:val="ListNumber"/>
      </w:pPr>
      <w:r>
        <w:t>Phase 0, release and localization: freeze release set, complete annex, complete sample Decision Note and PCC, confirm review chain, approve claim language.</w:t>
      </w:r>
    </w:p>
    <w:p>
      <w:pPr>
        <w:pStyle w:val="ListNumber"/>
      </w:pPr>
      <w:r>
        <w:t>Phase 1, supervised pilot: run 3 to 5 real or near-real decisions, produce Decision Note and PCC for each, hold monthly NCAR review.</w:t>
      </w:r>
    </w:p>
    <w:p>
      <w:pPr>
        <w:pStyle w:val="ListNumber"/>
      </w:pPr>
      <w:r>
        <w:t>Phase 2, evaluation: compare with ordinary process, review clarity, burden, recourse, rights visibility, and stakeholder mapping, then expand, revise, narrow, or pause.</w:t>
      </w:r>
    </w:p>
    <w:p>
      <w:pPr>
        <w:pStyle w:val="Heading1"/>
      </w:pPr>
      <w:r>
        <w:t>10. Pilot Success Criteria</w:t>
      </w:r>
    </w:p>
    <w:p>
      <w:pPr>
        <w:pStyle w:val="ListBullet"/>
      </w:pPr>
      <w:r>
        <w:t>Decision Notes completed before decisions.</w:t>
      </w:r>
    </w:p>
    <w:p>
      <w:pPr>
        <w:pStyle w:val="ListBullet"/>
      </w:pPr>
      <w:r>
        <w:t>PCCs reconstructable by an independent reviewer.</w:t>
      </w:r>
    </w:p>
    <w:p>
      <w:pPr>
        <w:pStyle w:val="ListBullet"/>
      </w:pPr>
      <w:r>
        <w:t>Rights-floor assumptions explicit and locally reviewed.</w:t>
      </w:r>
    </w:p>
    <w:p>
      <w:pPr>
        <w:pStyle w:val="ListBullet"/>
      </w:pPr>
      <w:r>
        <w:t>Tail-risk assumptions explicit.</w:t>
      </w:r>
    </w:p>
    <w:p>
      <w:pPr>
        <w:pStyle w:val="ListBullet"/>
      </w:pPr>
      <w:r>
        <w:t>Containment concerns visible and documented.</w:t>
      </w:r>
    </w:p>
    <w:p>
      <w:pPr>
        <w:pStyle w:val="ListBullet"/>
      </w:pPr>
      <w:r>
        <w:t>Recourse pathway real, not symbolic.</w:t>
      </w:r>
    </w:p>
    <w:p>
      <w:pPr>
        <w:pStyle w:val="ListBullet"/>
      </w:pPr>
      <w:r>
        <w:t>Emergency logic not normalized.</w:t>
      </w:r>
    </w:p>
    <w:p>
      <w:pPr>
        <w:pStyle w:val="ListBullet"/>
      </w:pPr>
      <w:r>
        <w:t>No rights-floor weakening occurs.</w:t>
      </w:r>
    </w:p>
    <w:p>
      <w:pPr>
        <w:pStyle w:val="ListBullet"/>
      </w:pPr>
      <w:r>
        <w:t>Participants report improved clarity rather than procedural confusion.</w:t>
      </w:r>
    </w:p>
    <w:p>
      <w:pPr>
        <w:pStyle w:val="ListBullet"/>
      </w:pPr>
      <w:r>
        <w:t>At least one meaningful policy or design improvement occurs because of unioning or ripple analysis.</w:t>
      </w:r>
    </w:p>
    <w:p>
      <w:pPr>
        <w:pStyle w:val="Heading1"/>
      </w:pPr>
      <w:r>
        <w:t>11. Approved Public Claim Language</w:t>
      </w:r>
    </w:p>
    <w:p>
      <w:pPr>
        <w:pStyle w:val="IntenseQuote"/>
      </w:pPr>
      <w:r>
        <w:rPr>
          <w:b/>
        </w:rPr>
        <w:t>RippleLogic v9.6.4 is being piloted as a bounded Tier-2 governance decision-support framework, with ripple.md v2.2 and SGP v4.7.1 integrated at the documentation and assurance layer. The pilot tests structured rights-floor review, tail-risk review, containment reasoning, and auditable decision records in human-supervised public-sector settings. No Tier-3, Tier-4, autonomous deployment, or full production-validation claim is being made.</w:t>
      </w:r>
    </w:p>
    <w:p>
      <w:pPr>
        <w:pStyle w:val="Heading1"/>
      </w:pPr>
      <w:r>
        <w:t>12. Final Recommendation</w:t>
      </w:r>
    </w:p>
    <w:p>
      <w:r>
        <w:t>Proceed with bounded Tier-2 pilots in Nepal, Vietnam, and New Zealand only after the localization annex, sample Decision Note, sample PCC, reviewer chain, and pilot-specific threat model are complete. This posture is ambitious enough to generate real learning while conservative enough to protect public legitimacy and MathGov / RippleLogic credibility.</w:t>
      </w:r>
    </w:p>
    <w:p>
      <w:pPr>
        <w:pStyle w:val="Heading1"/>
      </w:pPr>
      <w:r>
        <w:t>Source Anchors for Reviewer Verification</w:t>
      </w:r>
    </w:p>
    <w:p>
      <w:r>
        <w:t>These anchors help local reviewers verify the legal and institutional mapping. They are not a substitute for local legal advice or official counsel review.</w:t>
      </w:r>
    </w:p>
    <w:p>
      <w:pPr>
        <w:pStyle w:val="ListBullet"/>
      </w:pPr>
      <w:r>
        <w:rPr>
          <w:b/>
        </w:rPr>
        <w:t xml:space="preserve">Constitution of Nepal 2015: </w:t>
      </w:r>
      <w:r>
        <w:t>Official English PDF used as a source anchor for Part 3 fundamental rights and constitutional remedy review. URL: https://ag.gov.np/files/Constitution-of-Nepal_2072_Eng_www.moljpa.gov_.npDate-72_11_16.pdf</w:t>
      </w:r>
    </w:p>
    <w:p>
      <w:pPr>
        <w:pStyle w:val="ListBullet"/>
      </w:pPr>
      <w:r>
        <w:rPr>
          <w:b/>
        </w:rPr>
        <w:t>Constitution of the Socialist Republic of Vietnam 2013: English translation source anchor for reviewer convenience. Official Vietnamese legal texts and local legal review control for operational use. URL: https://constitutionnet.org/sites/default/files/tranlation_of_vietnams_new_constitution_enuk_2.pdf</w:t>
      </w:r>
      <w:r/>
    </w:p>
    <w:p>
      <w:pPr>
        <w:pStyle w:val="ListBullet"/>
      </w:pPr>
      <w:r>
        <w:rPr>
          <w:b/>
        </w:rPr>
        <w:t xml:space="preserve">New Zealand Bill of Rights Act 1990: </w:t>
      </w:r>
      <w:r>
        <w:t>Official legislation source anchor for NZ rights mapping. URL: https://www.legislation.govt.nz/act/public/1990/0109/latest/DLM224792.html</w:t>
      </w:r>
    </w:p>
    <w:p>
      <w:pPr>
        <w:pStyle w:val="ListBullet"/>
      </w:pPr>
      <w:r>
        <w:rPr>
          <w:b/>
        </w:rPr>
        <w:t xml:space="preserve">New Zealand Privacy Act 2020: </w:t>
      </w:r>
      <w:r>
        <w:t>Official legislation source anchor for personal information protection. URL: https://www.legislation.govt.nz/act/public/2020/0031/latest/LMS23223.html</w:t>
      </w:r>
    </w:p>
    <w:p>
      <w:pPr>
        <w:pStyle w:val="ListBullet"/>
      </w:pPr>
      <w:r>
        <w:rPr>
          <w:b/>
        </w:rPr>
        <w:t xml:space="preserve">New Zealand Official Information Act 1982: </w:t>
      </w:r>
      <w:r>
        <w:t>Official legislation source anchor for access to official information. URL: https://www.legislation.govt.nz/act/public/1982/0156/latest/whole.html</w:t>
      </w:r>
    </w:p>
    <w:p>
      <w:pPr>
        <w:pStyle w:val="ListBullet"/>
      </w:pPr>
      <w:r>
        <w:rPr>
          <w:b/>
        </w:rPr>
        <w:t xml:space="preserve">New Zealand Te Tiriti / Treaty guidance: </w:t>
      </w:r>
      <w:r>
        <w:t>Official policy source anchor for Treaty-sensitive public-sector policy work. URL: https://www.dpmc.govt.nz/publications/co-19-5-te-tiriti-o-waitangi-treaty-waitangi-guidance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color w:val="646464"/>
        <w:sz w:val="16"/>
      </w:rPr>
      <w:t>Pilot-grade decision-support material. Not legal advice. Local review required before use.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color w:val="646464"/>
        <w:sz w:val="16"/>
      </w:rPr>
      <w:t>MathGov / RippleLogic Pilot Extension Package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