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0"/>
        </w:rPr>
        <w:t>Localization Annex Template v0.2</w:t>
      </w:r>
    </w:p>
    <w:p>
      <w:pPr>
        <w:jc w:val="center"/>
      </w:pPr>
      <w:r>
        <w:rPr>
          <w:i/>
          <w:color w:val="505050"/>
          <w:sz w:val="22"/>
        </w:rPr>
        <w:t>Reusable jurisdiction-specific annex for RippleLogic / ripple.md / SGP public-sector pilots</w:t>
      </w:r>
    </w:p>
    <w:p>
      <w:r>
        <w:rPr>
          <w:b/>
        </w:rPr>
        <w:t xml:space="preserve">Status: </w:t>
      </w:r>
      <w:r>
        <w:t>Master template for legal, policy, technical, and stakeholder review</w:t>
      </w:r>
    </w:p>
    <w:p>
      <w:r>
        <w:rPr>
          <w:b/>
        </w:rPr>
        <w:t xml:space="preserve">Release line: </w:t>
      </w:r>
      <w:r>
        <w:t>RippleLogic v9.6.4 / ripple.md v2.2 / SGP v4.7.1 / Agent System v9.2 / Aligners Sheet v2.5</w:t>
      </w:r>
    </w:p>
    <w:p>
      <w:r>
        <w:rPr>
          <w:b/>
        </w:rPr>
        <w:t xml:space="preserve">Prepared for: </w:t>
      </w:r>
      <w:r>
        <w:t>Bounded Tier-2 public-sector pilots in Nepal, Vietnam, and New Zealand</w:t>
      </w:r>
    </w:p>
    <w:p>
      <w:r>
        <w:rPr>
          <w:b/>
        </w:rPr>
        <w:t xml:space="preserve">Date: </w:t>
      </w:r>
      <w:r>
        <w:t>2026-05-01</w:t>
      </w:r>
    </w:p>
    <w:p/>
    <w:p>
      <w:r>
        <w:rPr>
          <w:b/>
        </w:rPr>
        <w:t xml:space="preserve">Use boundary. </w:t>
      </w:r>
      <w:r>
        <w:t>This document is a pilot-planning artifact. It is not legal advice, does not replace local administrative law, and does not authorize automated or coercive public-sector action. Every jurisdiction-specific annex must be reviewed by qualified local legal, policy, and stakeholder reviewers before use.</w:t>
      </w:r>
    </w:p>
    <w:p>
      <w:pPr>
        <w:pStyle w:val="Heading1"/>
      </w:pPr>
      <w:r>
        <w:t>How to Use This Template</w:t>
      </w:r>
    </w:p>
    <w:p>
      <w:r>
        <w:t>Create one completed annex per jurisdiction and per pilot context. The annex should not be treated as a generic country profile. It must be tied to a specific pilot domain, institution, decision class, reviewer chain, and recourse pathway.</w:t>
      </w:r>
    </w:p>
    <w:p>
      <w:pPr>
        <w:pStyle w:val="ListBullet"/>
      </w:pPr>
      <w:r>
        <w:t>Use this template before any public-sector pilot begins.</w:t>
      </w:r>
    </w:p>
    <w:p>
      <w:pPr>
        <w:pStyle w:val="ListBullet"/>
      </w:pPr>
      <w:r>
        <w:t>Treat every blank as a required decision or an explicit Not Applicable statement.</w:t>
      </w:r>
    </w:p>
    <w:p>
      <w:pPr>
        <w:pStyle w:val="ListBullet"/>
      </w:pPr>
      <w:r>
        <w:t>Do not weaken NCRC, TRC, Containment, or the Human Plateau Rule through localization.</w:t>
      </w:r>
    </w:p>
    <w:p>
      <w:pPr>
        <w:pStyle w:val="ListBullet"/>
      </w:pPr>
      <w:r>
        <w:t>Do not claim legal approval until a qualified local reviewer signs off.</w:t>
      </w:r>
    </w:p>
    <w:p>
      <w:pPr>
        <w:pStyle w:val="ListBullet"/>
      </w:pPr>
      <w:r>
        <w:t>Attach the completed annex to each pilot Decision Note and PCC.</w:t>
      </w:r>
    </w:p>
    <w:p>
      <w:pPr>
        <w:pStyle w:val="Heading1"/>
      </w:pPr>
      <w:r>
        <w:t>1. Annex Metadata</w:t>
      </w:r>
    </w:p>
    <w:p>
      <w:pPr>
        <w:pStyle w:val="ListBullet"/>
      </w:pPr>
      <w:r>
        <w:t>Jurisdiction:</w:t>
      </w:r>
    </w:p>
    <w:p>
      <w:pPr>
        <w:pStyle w:val="ListBullet"/>
      </w:pPr>
      <w:r>
        <w:t>Annex ID:</w:t>
      </w:r>
    </w:p>
    <w:p>
      <w:pPr>
        <w:pStyle w:val="ListBullet"/>
      </w:pPr>
      <w:r>
        <w:t>Version:</w:t>
      </w:r>
    </w:p>
    <w:p>
      <w:pPr>
        <w:pStyle w:val="ListBullet"/>
      </w:pPr>
      <w:r>
        <w:t>Date:</w:t>
      </w:r>
    </w:p>
    <w:p>
      <w:pPr>
        <w:pStyle w:val="ListBullet"/>
      </w:pPr>
      <w:r>
        <w:t>Prepared by:</w:t>
      </w:r>
    </w:p>
    <w:p>
      <w:pPr>
        <w:pStyle w:val="ListBullet"/>
      </w:pPr>
      <w:r>
        <w:t>Legal reviewer:</w:t>
      </w:r>
    </w:p>
    <w:p>
      <w:pPr>
        <w:pStyle w:val="ListBullet"/>
      </w:pPr>
      <w:r>
        <w:t>Policy reviewer:</w:t>
      </w:r>
    </w:p>
    <w:p>
      <w:pPr>
        <w:pStyle w:val="ListBullet"/>
      </w:pPr>
      <w:r>
        <w:t>Technical reviewer:</w:t>
      </w:r>
    </w:p>
    <w:p>
      <w:pPr>
        <w:pStyle w:val="ListBullet"/>
      </w:pPr>
      <w:r>
        <w:t>Community / stakeholder reviewer:</w:t>
      </w:r>
    </w:p>
    <w:p>
      <w:pPr>
        <w:pStyle w:val="ListBullet"/>
      </w:pPr>
      <w:r>
        <w:t>Linked release line:</w:t>
      </w:r>
    </w:p>
    <w:p>
      <w:pPr>
        <w:pStyle w:val="ListBullet"/>
      </w:pPr>
      <w:r>
        <w:t>Linked pilot:</w:t>
      </w:r>
    </w:p>
    <w:p>
      <w:pPr>
        <w:pStyle w:val="ListBullet"/>
      </w:pPr>
      <w:r>
        <w:t>Linked Decision Note example:</w:t>
      </w:r>
    </w:p>
    <w:p>
      <w:pPr>
        <w:pStyle w:val="ListBullet"/>
      </w:pPr>
      <w:r>
        <w:t>Linked PCC example:</w:t>
      </w:r>
    </w:p>
    <w:p>
      <w:pPr>
        <w:pStyle w:val="ListBullet"/>
      </w:pPr>
      <w:r>
        <w:t>Status: Draft / Review / Approved / Retired</w:t>
      </w:r>
    </w:p>
    <w:p>
      <w:pPr>
        <w:pStyle w:val="Heading1"/>
      </w:pPr>
      <w:r>
        <w:t>2. Pilot Scope</w:t>
      </w:r>
    </w:p>
    <w:p>
      <w:pPr>
        <w:pStyle w:val="ListBullet"/>
      </w:pPr>
      <w:r>
        <w:t>Deployment type:</w:t>
      </w:r>
    </w:p>
    <w:p>
      <w:pPr>
        <w:pStyle w:val="ListBullet"/>
      </w:pPr>
      <w:r>
        <w:t>Institution type:</w:t>
      </w:r>
    </w:p>
    <w:p>
      <w:pPr>
        <w:pStyle w:val="ListBullet"/>
      </w:pPr>
      <w:r>
        <w:t>Intended tier:</w:t>
      </w:r>
    </w:p>
    <w:p>
      <w:pPr>
        <w:pStyle w:val="ListBullet"/>
      </w:pPr>
      <w:r>
        <w:t>Covered decision classes:</w:t>
      </w:r>
    </w:p>
    <w:p>
      <w:pPr>
        <w:pStyle w:val="ListBullet"/>
      </w:pPr>
      <w:r>
        <w:t>Excluded decision classes:</w:t>
      </w:r>
    </w:p>
    <w:p>
      <w:pPr>
        <w:pStyle w:val="ListBullet"/>
      </w:pPr>
      <w:r>
        <w:t>Language(s):</w:t>
      </w:r>
    </w:p>
    <w:p>
      <w:pPr>
        <w:pStyle w:val="ListBullet"/>
      </w:pPr>
      <w:r>
        <w:t>Translation review completed: YES / NO</w:t>
      </w:r>
    </w:p>
    <w:p>
      <w:pPr>
        <w:pStyle w:val="ListBullet"/>
      </w:pPr>
      <w:r>
        <w:t>Human final authority named: YES / NO</w:t>
      </w:r>
    </w:p>
    <w:p>
      <w:pPr>
        <w:pStyle w:val="ListBullet"/>
      </w:pPr>
      <w:r>
        <w:t>Autonomous execution prohibited: YES / NO</w:t>
      </w:r>
    </w:p>
    <w:p>
      <w:pPr>
        <w:pStyle w:val="Heading1"/>
      </w:pPr>
      <w:r>
        <w:t>3. Legal and Normative Anchors</w:t>
      </w:r>
    </w:p>
    <w:p>
      <w:pPr>
        <w:pStyle w:val="ListBullet"/>
      </w:pPr>
      <w:r>
        <w:t>Constitution / constitutional instruments:</w:t>
      </w:r>
    </w:p>
    <w:p>
      <w:pPr>
        <w:pStyle w:val="ListBullet"/>
      </w:pPr>
      <w:r>
        <w:t>Bill of rights / human rights instruments:</w:t>
      </w:r>
    </w:p>
    <w:p>
      <w:pPr>
        <w:pStyle w:val="ListBullet"/>
      </w:pPr>
      <w:r>
        <w:t>Administrative law / natural justice sources:</w:t>
      </w:r>
    </w:p>
    <w:p>
      <w:pPr>
        <w:pStyle w:val="ListBullet"/>
      </w:pPr>
      <w:r>
        <w:t>Privacy / data protection law:</w:t>
      </w:r>
    </w:p>
    <w:p>
      <w:pPr>
        <w:pStyle w:val="ListBullet"/>
      </w:pPr>
      <w:r>
        <w:t>Official information / transparency law:</w:t>
      </w:r>
    </w:p>
    <w:p>
      <w:pPr>
        <w:pStyle w:val="ListBullet"/>
      </w:pPr>
      <w:r>
        <w:t>Environmental law:</w:t>
      </w:r>
    </w:p>
    <w:p>
      <w:pPr>
        <w:pStyle w:val="ListBullet"/>
      </w:pPr>
      <w:r>
        <w:t>Indigenous / customary / treaty sources:</w:t>
      </w:r>
    </w:p>
    <w:p>
      <w:pPr>
        <w:pStyle w:val="ListBullet"/>
      </w:pPr>
      <w:r>
        <w:t>Sector-specific law:</w:t>
      </w:r>
    </w:p>
    <w:p>
      <w:pPr>
        <w:pStyle w:val="ListBullet"/>
      </w:pPr>
      <w:r>
        <w:t>Institutional rules / internal policy:</w:t>
      </w:r>
    </w:p>
    <w:p>
      <w:pPr>
        <w:pStyle w:val="ListBullet"/>
      </w:pPr>
      <w:r>
        <w:t>International obligations relevant to pilot:</w:t>
      </w:r>
    </w:p>
    <w:p>
      <w:pPr>
        <w:pStyle w:val="Heading1"/>
      </w:pPr>
      <w:r>
        <w:t>4. Local Rights-Floor Baseline</w:t>
      </w:r>
    </w:p>
    <w:p>
      <w:pPr>
        <w:pStyle w:val="ListBullet"/>
      </w:pPr>
      <w:r>
        <w:t>Baseline selected:</w:t>
      </w:r>
    </w:p>
    <w:p>
      <w:pPr>
        <w:pStyle w:val="ListBullet"/>
      </w:pPr>
      <w:r>
        <w:t>Baseline rationale:</w:t>
      </w:r>
    </w:p>
    <w:p>
      <w:pPr>
        <w:pStyle w:val="ListBullet"/>
      </w:pPr>
      <w:r>
        <w:t>Approval basis:</w:t>
      </w:r>
    </w:p>
    <w:p>
      <w:pPr>
        <w:pStyle w:val="ListBullet"/>
      </w:pPr>
      <w:r>
        <w:t>Known tensions:</w:t>
      </w:r>
    </w:p>
    <w:p>
      <w:pPr>
        <w:pStyle w:val="ListBullet"/>
      </w:pPr>
      <w:r>
        <w:t>Reviewer comments:</w:t>
      </w:r>
    </w:p>
    <w:p>
      <w:pPr>
        <w:pStyle w:val="Heading1"/>
      </w:pPr>
      <w:r>
        <w:t>5. RippleLogic NCRC Rights Mapping</w:t>
      </w:r>
    </w:p>
    <w:p>
      <w:pPr>
        <w:pStyle w:val="ListBullet"/>
      </w:pPr>
      <w:r>
        <w:t>For each right, map LIFE, BODY, LBTY, NEED, DIGN, PROC, INFO, and ECOL to local anchors, operational interpretation, derogation status, pilot examples, and review notes.</w:t>
      </w:r>
    </w:p>
    <w:p>
      <w:pPr>
        <w:pStyle w:val="Heading1"/>
      </w:pPr>
      <w:r>
        <w:t>6. Emergency / Derogation / Exception Rules</w:t>
      </w:r>
    </w:p>
    <w:p>
      <w:pPr>
        <w:pStyle w:val="ListBullet"/>
      </w:pPr>
      <w:r>
        <w:t>Emergency legal basis:</w:t>
      </w:r>
    </w:p>
    <w:p>
      <w:pPr>
        <w:pStyle w:val="ListBullet"/>
      </w:pPr>
      <w:r>
        <w:t>Who may invoke exception logic:</w:t>
      </w:r>
    </w:p>
    <w:p>
      <w:pPr>
        <w:pStyle w:val="ListBullet"/>
      </w:pPr>
      <w:r>
        <w:t>Required justification:</w:t>
      </w:r>
    </w:p>
    <w:p>
      <w:pPr>
        <w:pStyle w:val="ListBullet"/>
      </w:pPr>
      <w:r>
        <w:t>Required sunset date:</w:t>
      </w:r>
    </w:p>
    <w:p>
      <w:pPr>
        <w:pStyle w:val="ListBullet"/>
      </w:pPr>
      <w:r>
        <w:t>Required post-hoc review:</w:t>
      </w:r>
    </w:p>
    <w:p>
      <w:pPr>
        <w:pStyle w:val="ListBullet"/>
      </w:pPr>
      <w:r>
        <w:t>Non-derogable constraints:</w:t>
      </w:r>
    </w:p>
    <w:p>
      <w:pPr>
        <w:pStyle w:val="ListBullet"/>
      </w:pPr>
      <w:r>
        <w:t>Appeal during emergency:</w:t>
      </w:r>
    </w:p>
    <w:p>
      <w:pPr>
        <w:pStyle w:val="ListBullet"/>
      </w:pPr>
      <w:r>
        <w:t>Triage record required:</w:t>
      </w:r>
    </w:p>
    <w:p>
      <w:pPr>
        <w:pStyle w:val="ListBullet"/>
      </w:pPr>
      <w:r>
        <w:t>PFAP required?</w:t>
      </w:r>
    </w:p>
    <w:p>
      <w:pPr>
        <w:pStyle w:val="Heading1"/>
      </w:pPr>
      <w:r>
        <w:t>7. Contestability and Recourse</w:t>
      </w:r>
    </w:p>
    <w:p>
      <w:pPr>
        <w:pStyle w:val="ListBullet"/>
      </w:pPr>
      <w:r>
        <w:t>Primary appeal channel:</w:t>
      </w:r>
    </w:p>
    <w:p>
      <w:pPr>
        <w:pStyle w:val="ListBullet"/>
      </w:pPr>
      <w:r>
        <w:t>Review authority with real power:</w:t>
      </w:r>
    </w:p>
    <w:p>
      <w:pPr>
        <w:pStyle w:val="ListBullet"/>
      </w:pPr>
      <w:r>
        <w:t>Independent reviewer route:</w:t>
      </w:r>
    </w:p>
    <w:p>
      <w:pPr>
        <w:pStyle w:val="ListBullet"/>
      </w:pPr>
      <w:r>
        <w:t>Judicial / tribunal / ombuds route:</w:t>
      </w:r>
    </w:p>
    <w:p>
      <w:pPr>
        <w:pStyle w:val="ListBullet"/>
      </w:pPr>
      <w:r>
        <w:t>Time-to-response target:</w:t>
      </w:r>
    </w:p>
    <w:p>
      <w:pPr>
        <w:pStyle w:val="ListBullet"/>
      </w:pPr>
      <w:r>
        <w:t>Time-to-remedy target:</w:t>
      </w:r>
    </w:p>
    <w:p>
      <w:pPr>
        <w:pStyle w:val="ListBullet"/>
      </w:pPr>
      <w:r>
        <w:t>Non-retaliation protections:</w:t>
      </w:r>
    </w:p>
    <w:p>
      <w:pPr>
        <w:pStyle w:val="ListBullet"/>
      </w:pPr>
      <w:r>
        <w:t>Redaction / privacy limits:</w:t>
      </w:r>
    </w:p>
    <w:p>
      <w:pPr>
        <w:pStyle w:val="ListBullet"/>
      </w:pPr>
      <w:r>
        <w:t>Evidence required for recourse:</w:t>
      </w:r>
    </w:p>
    <w:p>
      <w:pPr>
        <w:pStyle w:val="ListBullet"/>
      </w:pPr>
      <w:r>
        <w:t>Recourse usability test:</w:t>
      </w:r>
    </w:p>
    <w:p>
      <w:pPr>
        <w:pStyle w:val="Heading1"/>
      </w:pPr>
      <w:r>
        <w:t>8. Subgroup and Protected-Group Handling</w:t>
      </w:r>
    </w:p>
    <w:p>
      <w:pPr>
        <w:pStyle w:val="ListBullet"/>
      </w:pPr>
      <w:r>
        <w:t>Relevant protected or vulnerable groups:</w:t>
      </w:r>
    </w:p>
    <w:p>
      <w:pPr>
        <w:pStyle w:val="ListBullet"/>
      </w:pPr>
      <w:r>
        <w:t>Lawful data categories:</w:t>
      </w:r>
    </w:p>
    <w:p>
      <w:pPr>
        <w:pStyle w:val="ListBullet"/>
      </w:pPr>
      <w:r>
        <w:t>Restricted data categories:</w:t>
      </w:r>
    </w:p>
    <w:p>
      <w:pPr>
        <w:pStyle w:val="ListBullet"/>
      </w:pPr>
      <w:r>
        <w:t>Proxy or substitute harm-detection methods:</w:t>
      </w:r>
    </w:p>
    <w:p>
      <w:pPr>
        <w:pStyle w:val="ListBullet"/>
      </w:pPr>
      <w:r>
        <w:t>Minimum subgroup review requirements:</w:t>
      </w:r>
    </w:p>
    <w:p>
      <w:pPr>
        <w:pStyle w:val="ListBullet"/>
      </w:pPr>
      <w:r>
        <w:t>Data minimization rules:</w:t>
      </w:r>
    </w:p>
    <w:p>
      <w:pPr>
        <w:pStyle w:val="ListBullet"/>
      </w:pPr>
      <w:r>
        <w:t>Privacy safeguards:</w:t>
      </w:r>
    </w:p>
    <w:p>
      <w:pPr>
        <w:pStyle w:val="ListBullet"/>
      </w:pPr>
      <w:r>
        <w:t>Reviewer notes:</w:t>
      </w:r>
    </w:p>
    <w:p>
      <w:pPr>
        <w:pStyle w:val="Heading1"/>
      </w:pPr>
      <w:r>
        <w:t>9. Stakeholder / Union Scope Mapping</w:t>
      </w:r>
    </w:p>
    <w:p>
      <w:pPr>
        <w:pStyle w:val="ListBullet"/>
      </w:pPr>
      <w:r>
        <w:t>Special local stakeholder categories:</w:t>
      </w:r>
    </w:p>
    <w:p>
      <w:pPr>
        <w:pStyle w:val="ListBullet"/>
      </w:pPr>
      <w:r>
        <w:t>U3 Community considerations:</w:t>
      </w:r>
    </w:p>
    <w:p>
      <w:pPr>
        <w:pStyle w:val="ListBullet"/>
      </w:pPr>
      <w:r>
        <w:t>U4 Organization considerations:</w:t>
      </w:r>
    </w:p>
    <w:p>
      <w:pPr>
        <w:pStyle w:val="ListBullet"/>
      </w:pPr>
      <w:r>
        <w:t>U5 Polity considerations:</w:t>
      </w:r>
    </w:p>
    <w:p>
      <w:pPr>
        <w:pStyle w:val="ListBullet"/>
      </w:pPr>
      <w:r>
        <w:t>Cross-border implications:</w:t>
      </w:r>
    </w:p>
    <w:p>
      <w:pPr>
        <w:pStyle w:val="ListBullet"/>
      </w:pPr>
      <w:r>
        <w:t>Indigenous / customary / treaty implications:</w:t>
      </w:r>
    </w:p>
    <w:p>
      <w:pPr>
        <w:pStyle w:val="ListBullet"/>
      </w:pPr>
      <w:r>
        <w:t>Biosphere / environmental stakeholders:</w:t>
      </w:r>
    </w:p>
    <w:p>
      <w:pPr>
        <w:pStyle w:val="ListBullet"/>
      </w:pPr>
      <w:r>
        <w:t>Mapping rationale:</w:t>
      </w:r>
    </w:p>
    <w:p>
      <w:pPr>
        <w:pStyle w:val="Heading1"/>
      </w:pPr>
      <w:r>
        <w:t>10. Non-Domination Review</w:t>
      </w:r>
    </w:p>
    <w:p>
      <w:pPr>
        <w:pStyle w:val="ListBullet"/>
      </w:pPr>
      <w:r>
        <w:t>Local arbitrary-power risks:</w:t>
      </w:r>
    </w:p>
    <w:p>
      <w:pPr>
        <w:pStyle w:val="ListBullet"/>
      </w:pPr>
      <w:r>
        <w:t>Power concentration risks:</w:t>
      </w:r>
    </w:p>
    <w:p>
      <w:pPr>
        <w:pStyle w:val="ListBullet"/>
      </w:pPr>
      <w:r>
        <w:t>Reviewability limits:</w:t>
      </w:r>
    </w:p>
    <w:p>
      <w:pPr>
        <w:pStyle w:val="ListBullet"/>
      </w:pPr>
      <w:r>
        <w:t>Information asymmetry risks:</w:t>
      </w:r>
    </w:p>
    <w:p>
      <w:pPr>
        <w:pStyle w:val="ListBullet"/>
      </w:pPr>
      <w:r>
        <w:t>Surveillance or coercion risks:</w:t>
      </w:r>
    </w:p>
    <w:p>
      <w:pPr>
        <w:pStyle w:val="ListBullet"/>
      </w:pPr>
      <w:r>
        <w:t>Required safeguards:</w:t>
      </w:r>
    </w:p>
    <w:p>
      <w:pPr>
        <w:pStyle w:val="ListBullet"/>
      </w:pPr>
      <w:r>
        <w:t>Reviewer conclusion:</w:t>
      </w:r>
    </w:p>
    <w:p>
      <w:pPr>
        <w:pStyle w:val="Heading1"/>
      </w:pPr>
      <w:r>
        <w:t>11. TRC and Containment Localization</w:t>
      </w:r>
    </w:p>
    <w:p>
      <w:pPr>
        <w:pStyle w:val="ListBullet"/>
      </w:pPr>
      <w:r>
        <w:t>Local catastrophe pathways:</w:t>
      </w:r>
    </w:p>
    <w:p>
      <w:pPr>
        <w:pStyle w:val="ListBullet"/>
      </w:pPr>
      <w:r>
        <w:t>Infrastructure risks:</w:t>
      </w:r>
    </w:p>
    <w:p>
      <w:pPr>
        <w:pStyle w:val="ListBullet"/>
      </w:pPr>
      <w:r>
        <w:t>Environmental risks:</w:t>
      </w:r>
    </w:p>
    <w:p>
      <w:pPr>
        <w:pStyle w:val="ListBullet"/>
      </w:pPr>
      <w:r>
        <w:t>Governance lock-in risks:</w:t>
      </w:r>
    </w:p>
    <w:p>
      <w:pPr>
        <w:pStyle w:val="ListBullet"/>
      </w:pPr>
      <w:r>
        <w:t>Dependency lock-in risks:</w:t>
      </w:r>
    </w:p>
    <w:p>
      <w:pPr>
        <w:pStyle w:val="ListBullet"/>
      </w:pPr>
      <w:r>
        <w:t>Thresholds to tighten:</w:t>
      </w:r>
    </w:p>
    <w:p>
      <w:pPr>
        <w:pStyle w:val="ListBullet"/>
      </w:pPr>
      <w:r>
        <w:t>Escalation triggers:</w:t>
      </w:r>
    </w:p>
    <w:p>
      <w:pPr>
        <w:pStyle w:val="ListBullet"/>
      </w:pPr>
      <w:r>
        <w:t>Reviewer notes:</w:t>
      </w:r>
    </w:p>
    <w:p>
      <w:pPr>
        <w:pStyle w:val="Heading1"/>
      </w:pPr>
      <w:r>
        <w:t>12. Implementation-Defined Parameters</w:t>
      </w:r>
    </w:p>
    <w:p>
      <w:pPr>
        <w:pStyle w:val="ListBullet"/>
      </w:pPr>
      <w:r>
        <w:t>High-impact threshold:</w:t>
      </w:r>
    </w:p>
    <w:p>
      <w:pPr>
        <w:pStyle w:val="ListBullet"/>
      </w:pPr>
      <w:r>
        <w:t>Remedy target:</w:t>
      </w:r>
    </w:p>
    <w:p>
      <w:pPr>
        <w:pStyle w:val="ListBullet"/>
      </w:pPr>
      <w:r>
        <w:t>Rollback target:</w:t>
      </w:r>
    </w:p>
    <w:p>
      <w:pPr>
        <w:pStyle w:val="ListBullet"/>
      </w:pPr>
      <w:r>
        <w:t>Audit cadence:</w:t>
      </w:r>
    </w:p>
    <w:p>
      <w:pPr>
        <w:pStyle w:val="ListBullet"/>
      </w:pPr>
      <w:r>
        <w:t>Sample size:</w:t>
      </w:r>
    </w:p>
    <w:p>
      <w:pPr>
        <w:pStyle w:val="ListBullet"/>
      </w:pPr>
      <w:r>
        <w:t>Comprehension threshold:</w:t>
      </w:r>
    </w:p>
    <w:p>
      <w:pPr>
        <w:pStyle w:val="ListBullet"/>
      </w:pPr>
      <w:r>
        <w:t>Recourse reconstruction threshold:</w:t>
      </w:r>
    </w:p>
    <w:p>
      <w:pPr>
        <w:pStyle w:val="ListBullet"/>
      </w:pPr>
      <w:r>
        <w:t>Reviewer agreement threshold:</w:t>
      </w:r>
    </w:p>
    <w:p>
      <w:pPr>
        <w:pStyle w:val="ListBullet"/>
      </w:pPr>
      <w:r>
        <w:t>Public disclosure threshold:</w:t>
      </w:r>
    </w:p>
    <w:p>
      <w:pPr>
        <w:pStyle w:val="ListBullet"/>
      </w:pPr>
      <w:r>
        <w:t>Any stricter local override:</w:t>
      </w:r>
    </w:p>
    <w:p>
      <w:pPr>
        <w:pStyle w:val="Heading1"/>
      </w:pPr>
      <w:r>
        <w:t>13. Translation and Terminology Control</w:t>
      </w:r>
    </w:p>
    <w:p>
      <w:pPr>
        <w:pStyle w:val="ListBullet"/>
      </w:pPr>
      <w:r>
        <w:t>Rights floor:</w:t>
      </w:r>
    </w:p>
    <w:p>
      <w:pPr>
        <w:pStyle w:val="ListBullet"/>
      </w:pPr>
      <w:r>
        <w:t>Non-compensatory:</w:t>
      </w:r>
    </w:p>
    <w:p>
      <w:pPr>
        <w:pStyle w:val="ListBullet"/>
      </w:pPr>
      <w:r>
        <w:t>Contestability:</w:t>
      </w:r>
    </w:p>
    <w:p>
      <w:pPr>
        <w:pStyle w:val="ListBullet"/>
      </w:pPr>
      <w:r>
        <w:t>Containment:</w:t>
      </w:r>
    </w:p>
    <w:p>
      <w:pPr>
        <w:pStyle w:val="ListBullet"/>
      </w:pPr>
      <w:r>
        <w:t>Tail risk:</w:t>
      </w:r>
    </w:p>
    <w:p>
      <w:pPr>
        <w:pStyle w:val="ListBullet"/>
      </w:pPr>
      <w:r>
        <w:t>Union Scope:</w:t>
      </w:r>
    </w:p>
    <w:p>
      <w:pPr>
        <w:pStyle w:val="ListBullet"/>
      </w:pPr>
      <w:r>
        <w:t>Ripple:</w:t>
      </w:r>
    </w:p>
    <w:p>
      <w:pPr>
        <w:pStyle w:val="ListBullet"/>
      </w:pPr>
      <w:r>
        <w:t>Decision Note:</w:t>
      </w:r>
    </w:p>
    <w:p>
      <w:pPr>
        <w:pStyle w:val="ListBullet"/>
      </w:pPr>
      <w:r>
        <w:t>PCC:</w:t>
      </w:r>
    </w:p>
    <w:p>
      <w:pPr>
        <w:pStyle w:val="ListBullet"/>
      </w:pPr>
      <w:r>
        <w:t>Non-domination:</w:t>
      </w:r>
    </w:p>
    <w:p>
      <w:pPr>
        <w:pStyle w:val="ListBullet"/>
      </w:pPr>
      <w:r>
        <w:t>Emergency triage:</w:t>
      </w:r>
    </w:p>
    <w:p>
      <w:pPr>
        <w:pStyle w:val="Heading1"/>
      </w:pPr>
      <w:r>
        <w:t>14. Pilot Threat Model</w:t>
      </w:r>
    </w:p>
    <w:p>
      <w:pPr>
        <w:pStyle w:val="ListBullet"/>
      </w:pPr>
      <w:r>
        <w:t>Capture risk:</w:t>
      </w:r>
    </w:p>
    <w:p>
      <w:pPr>
        <w:pStyle w:val="ListBullet"/>
      </w:pPr>
      <w:r>
        <w:t>Selective-use risk:</w:t>
      </w:r>
    </w:p>
    <w:p>
      <w:pPr>
        <w:pStyle w:val="ListBullet"/>
      </w:pPr>
      <w:r>
        <w:t>Data misuse risk:</w:t>
      </w:r>
    </w:p>
    <w:p>
      <w:pPr>
        <w:pStyle w:val="ListBullet"/>
      </w:pPr>
      <w:r>
        <w:t>Political misuse risk:</w:t>
      </w:r>
    </w:p>
    <w:p>
      <w:pPr>
        <w:pStyle w:val="ListBullet"/>
      </w:pPr>
      <w:r>
        <w:t>Automation bias risk:</w:t>
      </w:r>
    </w:p>
    <w:p>
      <w:pPr>
        <w:pStyle w:val="ListBullet"/>
      </w:pPr>
      <w:r>
        <w:t>Overclaiming risk:</w:t>
      </w:r>
    </w:p>
    <w:p>
      <w:pPr>
        <w:pStyle w:val="ListBullet"/>
      </w:pPr>
      <w:r>
        <w:t>Recourse theater risk:</w:t>
      </w:r>
    </w:p>
    <w:p>
      <w:pPr>
        <w:pStyle w:val="ListBullet"/>
      </w:pPr>
      <w:r>
        <w:t>Emergency shortcut risk:</w:t>
      </w:r>
    </w:p>
    <w:p>
      <w:pPr>
        <w:pStyle w:val="ListBullet"/>
      </w:pPr>
      <w:r>
        <w:t>Mitigations:</w:t>
      </w:r>
    </w:p>
    <w:p>
      <w:pPr>
        <w:pStyle w:val="Heading1"/>
      </w:pPr>
      <w:r>
        <w:t>15. Approval</w:t>
      </w:r>
    </w:p>
    <w:p>
      <w:pPr>
        <w:pStyle w:val="ListBullet"/>
      </w:pPr>
      <w:r>
        <w:t>Legal review complete: YES / NO</w:t>
      </w:r>
    </w:p>
    <w:p>
      <w:pPr>
        <w:pStyle w:val="ListBullet"/>
      </w:pPr>
      <w:r>
        <w:t>Policy review complete: YES / NO</w:t>
      </w:r>
    </w:p>
    <w:p>
      <w:pPr>
        <w:pStyle w:val="ListBullet"/>
      </w:pPr>
      <w:r>
        <w:t>Technical review complete: YES / NO</w:t>
      </w:r>
    </w:p>
    <w:p>
      <w:pPr>
        <w:pStyle w:val="ListBullet"/>
      </w:pPr>
      <w:r>
        <w:t>Stakeholder review complete: YES / NO</w:t>
      </w:r>
    </w:p>
    <w:p>
      <w:pPr>
        <w:pStyle w:val="ListBullet"/>
      </w:pPr>
      <w:r>
        <w:t>Translation review complete: YES / NO</w:t>
      </w:r>
    </w:p>
    <w:p>
      <w:pPr>
        <w:pStyle w:val="ListBullet"/>
      </w:pPr>
      <w:r>
        <w:t>Approved for pilot use: YES / NO</w:t>
      </w:r>
    </w:p>
    <w:p>
      <w:pPr>
        <w:pStyle w:val="ListBullet"/>
      </w:pPr>
      <w:r>
        <w:t>Approver:</w:t>
      </w:r>
    </w:p>
    <w:p>
      <w:pPr>
        <w:pStyle w:val="ListBullet"/>
      </w:pPr>
      <w:r>
        <w:t>Date:</w:t>
      </w:r>
    </w:p>
    <w:p>
      <w:pPr>
        <w:pStyle w:val="ListBullet"/>
      </w:pPr>
      <w:r>
        <w:t>Conditions: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6"/>
      </w:rPr>
      <w:t>Pilot-grade decision-support material. Not legal advice. Local review required before use.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646464"/>
        <w:sz w:val="16"/>
      </w:rPr>
      <w:t>MathGov / RippleLogic Pilot Extension Package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