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0"/>
        </w:rPr>
        <w:t>Nepal Localization Annex v0.2</w:t>
      </w:r>
    </w:p>
    <w:p>
      <w:pPr>
        <w:jc w:val="center"/>
      </w:pPr>
      <w:r>
        <w:rPr>
          <w:i/>
          <w:color w:val="505050"/>
          <w:sz w:val="22"/>
        </w:rPr>
        <w:t>Starter draft for RippleLogic / ripple.md / SGP Tier-2 pilot localization</w:t>
      </w:r>
    </w:p>
    <w:p>
      <w:r>
        <w:rPr>
          <w:b/>
        </w:rPr>
        <w:t xml:space="preserve">Status: </w:t>
      </w:r>
      <w:r>
        <w:t>Starter draft. Not approved for pilot use until local review is complete</w:t>
      </w:r>
    </w:p>
    <w:p>
      <w:r>
        <w:rPr>
          <w:b/>
        </w:rPr>
        <w:t xml:space="preserve">Release line: </w:t>
      </w:r>
      <w:r>
        <w:t>RippleLogic v9.6.4 / ripple.md v2.2 / SGP v4.7.1 / Agent System v9.2 / Aligners Sheet v2.5</w:t>
      </w:r>
    </w:p>
    <w:p>
      <w:r>
        <w:rPr>
          <w:b/>
        </w:rPr>
        <w:t xml:space="preserve">Prepared for: </w:t>
      </w:r>
      <w:r>
        <w:t>Bounded Tier-2 public-sector pilots in Nepal, Vietnam, and New Zealand</w:t>
      </w:r>
    </w:p>
    <w:p>
      <w:r>
        <w:rPr>
          <w:b/>
        </w:rPr>
        <w:t xml:space="preserve">Date: </w:t>
      </w:r>
      <w:r>
        <w:t>2026-05-01</w:t>
      </w:r>
    </w:p>
    <w:p/>
    <w:p>
      <w:r>
        <w:rPr>
          <w:b/>
        </w:rPr>
        <w:t xml:space="preserve">Use boundary. </w:t>
      </w:r>
      <w:r>
        <w:t>This document is a pilot-planning artifact. It is not legal advice, does not replace local administrative law, and does not authorize automated or coercive public-sector action. Every jurisdiction-specific annex must be reviewed by qualified local legal, policy, and stakeholder reviewers before use.</w:t>
      </w:r>
    </w:p>
    <w:p>
      <w:r>
        <w:rPr>
          <w:sz w:val="18"/>
        </w:rPr>
        <w:t>Starter-draft completeness note. This starter draft is intentionally non-exhaustive and does not instantiate every field in the Localization Annex Template. All omitted template fields remain mandatory before pilot approval.</w:t>
      </w:r>
    </w:p>
    <w:p>
      <w:pPr>
        <w:pStyle w:val="Heading1"/>
      </w:pPr>
      <w:r>
        <w:t>1. Annex Metadata</w:t>
      </w:r>
    </w:p>
    <w:p>
      <w:r>
        <w:rPr>
          <w:b/>
        </w:rPr>
        <w:t xml:space="preserve">Jurisdiction: </w:t>
      </w:r>
      <w:r>
        <w:t>Nepal</w:t>
      </w:r>
    </w:p>
    <w:p>
      <w:r>
        <w:rPr>
          <w:b/>
        </w:rPr>
        <w:t xml:space="preserve">Annex ID: </w:t>
      </w:r>
      <w:r>
        <w:t>RL-LA-NP-001</w:t>
      </w:r>
    </w:p>
    <w:p>
      <w:r>
        <w:rPr>
          <w:b/>
        </w:rPr>
        <w:t xml:space="preserve">Version: </w:t>
      </w:r>
      <w:r>
        <w:t>starter-draft-v0.2</w:t>
      </w:r>
    </w:p>
    <w:p>
      <w:r>
        <w:rPr>
          <w:b/>
        </w:rPr>
        <w:t>Status: Draft - review pending; not approved for pilot use</w:t>
      </w:r>
      <w:r/>
    </w:p>
    <w:p>
      <w:r>
        <w:t>Pilot posture: Candidate for bounded Tier-2 pilot review after local legal, policy, technical, stakeholder, and translation review.</w:t>
      </w:r>
    </w:p>
    <w:p>
      <w:r>
        <w:rPr>
          <w:b/>
        </w:rPr>
        <w:t xml:space="preserve">Linked release line: </w:t>
      </w:r>
      <w:r>
        <w:t>RippleLogic v9.6.4 / ripple.md v2.2 / SGP v4.7.1 / Agent System v9.2 / Aligners Sheet v2.5</w:t>
      </w:r>
    </w:p>
    <w:p>
      <w:r>
        <w:rPr>
          <w:b/>
        </w:rPr>
        <w:t xml:space="preserve">Intended pilot tier: </w:t>
      </w:r>
      <w:r>
        <w:t>Tier 2 only</w:t>
      </w:r>
    </w:p>
    <w:p>
      <w:r>
        <w:rPr>
          <w:b/>
        </w:rPr>
        <w:t xml:space="preserve">Autonomous execution: </w:t>
      </w:r>
      <w:r>
        <w:t>Prohibited</w:t>
      </w:r>
    </w:p>
    <w:p>
      <w:r>
        <w:rPr>
          <w:b/>
        </w:rPr>
        <w:t xml:space="preserve">Human final authority: </w:t>
      </w:r>
      <w:r>
        <w:t>Required and must be named before pilot launch</w:t>
      </w:r>
    </w:p>
    <w:p>
      <w:pPr>
        <w:pStyle w:val="Heading1"/>
      </w:pPr>
      <w:r>
        <w:t>2. Pilot Scope</w:t>
      </w:r>
    </w:p>
    <w:p>
      <w:pPr>
        <w:pStyle w:val="Heading2"/>
      </w:pPr>
      <w:r>
        <w:t>Covered first-pilot classes</w:t>
      </w:r>
    </w:p>
    <w:p>
      <w:pPr>
        <w:pStyle w:val="ListBullet"/>
      </w:pPr>
      <w:r>
        <w:t>Municipal service redesign</w:t>
      </w:r>
    </w:p>
    <w:p>
      <w:pPr>
        <w:pStyle w:val="ListBullet"/>
      </w:pPr>
      <w:r>
        <w:t>Education-service prioritization</w:t>
      </w:r>
    </w:p>
    <w:p>
      <w:pPr>
        <w:pStyle w:val="ListBullet"/>
      </w:pPr>
      <w:r>
        <w:t>Health-service prioritization</w:t>
      </w:r>
    </w:p>
    <w:p>
      <w:pPr>
        <w:pStyle w:val="ListBullet"/>
      </w:pPr>
      <w:r>
        <w:t>Disaster preparedness and resilience planning</w:t>
      </w:r>
    </w:p>
    <w:p>
      <w:pPr>
        <w:pStyle w:val="ListBullet"/>
      </w:pPr>
      <w:r>
        <w:t>Public procurement</w:t>
      </w:r>
    </w:p>
    <w:p>
      <w:pPr>
        <w:pStyle w:val="ListBullet"/>
      </w:pPr>
      <w:r>
        <w:t>Public digital-service review</w:t>
      </w:r>
    </w:p>
    <w:p>
      <w:pPr>
        <w:pStyle w:val="Heading2"/>
      </w:pPr>
      <w:r>
        <w:t>Excluded Phase 1 classes</w:t>
      </w:r>
    </w:p>
    <w:p>
      <w:pPr>
        <w:pStyle w:val="ListBullet"/>
      </w:pPr>
      <w:r>
        <w:t>Criminal justice</w:t>
      </w:r>
    </w:p>
    <w:p>
      <w:pPr>
        <w:pStyle w:val="ListBullet"/>
      </w:pPr>
      <w:r>
        <w:t>Detention</w:t>
      </w:r>
    </w:p>
    <w:p>
      <w:pPr>
        <w:pStyle w:val="ListBullet"/>
      </w:pPr>
      <w:r>
        <w:t>Surveillance expansion</w:t>
      </w:r>
    </w:p>
    <w:p>
      <w:pPr>
        <w:pStyle w:val="ListBullet"/>
      </w:pPr>
      <w:r>
        <w:t>Censorship or content restriction</w:t>
      </w:r>
    </w:p>
    <w:p>
      <w:pPr>
        <w:pStyle w:val="ListBullet"/>
      </w:pPr>
      <w:r>
        <w:t>Emergency coercion policy</w:t>
      </w:r>
    </w:p>
    <w:p>
      <w:pPr>
        <w:pStyle w:val="ListBullet"/>
      </w:pPr>
      <w:r>
        <w:t>High-conflict minority-rights adjudication without strong legal and community review</w:t>
      </w:r>
    </w:p>
    <w:p>
      <w:pPr>
        <w:pStyle w:val="Heading1"/>
      </w:pPr>
      <w:r>
        <w:t>3. Governing Legal / Normative Sources to Review</w:t>
      </w:r>
    </w:p>
    <w:p>
      <w:pPr>
        <w:pStyle w:val="ListBullet"/>
      </w:pPr>
      <w:r>
        <w:t>Constitution of Nepal 2015, especially Part 3 Fundamental Rights and Duties.</w:t>
      </w:r>
    </w:p>
    <w:p>
      <w:pPr>
        <w:pStyle w:val="ListBullet"/>
      </w:pPr>
      <w:r>
        <w:t>Administrative law and public-law review procedures applicable to the pilot institution.</w:t>
      </w:r>
    </w:p>
    <w:p>
      <w:pPr>
        <w:pStyle w:val="ListBullet"/>
      </w:pPr>
      <w:r>
        <w:t>Sector statutes for the specific pilot domain.</w:t>
      </w:r>
    </w:p>
    <w:p>
      <w:pPr>
        <w:pStyle w:val="ListBullet"/>
      </w:pPr>
      <w:r>
        <w:t>Local public-service rules and municipal/provincial/federal authority rules.</w:t>
      </w:r>
    </w:p>
    <w:p>
      <w:pPr>
        <w:pStyle w:val="Heading1"/>
      </w:pPr>
      <w:r>
        <w:t>4. Local Rights-Floor Baseline Selection</w:t>
      </w:r>
    </w:p>
    <w:p>
      <w:r>
        <w:t>Adopt the ripple.md jurisdiction-neutral rights baseline with explicit Nepal constitutional mapping. This should remain a starter mapping until reviewed by a Nepal-qualified constitutional or public-law reviewer.</w:t>
      </w:r>
    </w:p>
    <w:p>
      <w:pPr>
        <w:pStyle w:val="Heading1"/>
      </w:pPr>
      <w:r>
        <w:t>5. RippleLogic 8-Right Mapping Starter Table</w:t>
      </w:r>
    </w:p>
    <w:p>
      <w:pPr>
        <w:pStyle w:val="ListBullet"/>
      </w:pPr>
      <w:r>
        <w:rPr>
          <w:b/>
        </w:rPr>
        <w:t xml:space="preserve">LIFE: </w:t>
      </w:r>
      <w:r>
        <w:t>Articles 16, 35, 36, 43 as likely anchors. Operational interpretation: Life, dignity, health, food, and life-preserving minimum conditions. Review status: legal review required.</w:t>
      </w:r>
    </w:p>
    <w:p>
      <w:pPr>
        <w:pStyle w:val="ListBullet"/>
      </w:pPr>
      <w:r>
        <w:rPr>
          <w:b/>
        </w:rPr>
        <w:t xml:space="preserve">BODY: </w:t>
      </w:r>
      <w:r>
        <w:t>Articles 16, 22, 29, 35 as likely anchors. Operational interpretation: Bodily integrity, anti-torture, anti-exploitation, and health protection. Review status: legal review required.</w:t>
      </w:r>
    </w:p>
    <w:p>
      <w:pPr>
        <w:pStyle w:val="ListBullet"/>
      </w:pPr>
      <w:r>
        <w:rPr>
          <w:b/>
        </w:rPr>
        <w:t xml:space="preserve">LBTY: </w:t>
      </w:r>
      <w:r>
        <w:t>Articles 17, 23, 29, 45 as likely anchors. Operational interpretation: Freedom, movement, protection from exploitation, and limits on exile or deprivation. Review status: legal review required.</w:t>
      </w:r>
    </w:p>
    <w:p>
      <w:pPr>
        <w:pStyle w:val="ListBullet"/>
      </w:pPr>
      <w:r>
        <w:rPr>
          <w:b/>
        </w:rPr>
        <w:t xml:space="preserve">NEED: </w:t>
      </w:r>
      <w:r>
        <w:t>Articles 31, 34, 35, 36, 37, 43 as likely anchors. Operational interpretation: Education, labour dignity, health, food, housing, and social security minimums. Review status: legal review required.</w:t>
      </w:r>
    </w:p>
    <w:p>
      <w:pPr>
        <w:pStyle w:val="ListBullet"/>
      </w:pPr>
      <w:r>
        <w:rPr>
          <w:b/>
        </w:rPr>
        <w:t xml:space="preserve">DIGN: </w:t>
      </w:r>
      <w:r>
        <w:t>Articles 16, 18, 24, 29 as likely anchors. Operational interpretation: Dignity, equality, anti-untouchability, non-discrimination, and anti-exploitation. Review status: legal review required.</w:t>
      </w:r>
    </w:p>
    <w:p>
      <w:pPr>
        <w:pStyle w:val="ListBullet"/>
      </w:pPr>
      <w:r>
        <w:rPr>
          <w:b/>
        </w:rPr>
        <w:t xml:space="preserve">PROC: </w:t>
      </w:r>
      <w:r>
        <w:t>Articles 20, 21, 46 as likely anchors. Operational interpretation: Justice, victim rights, remedy, and constitutional enforcement pathways. Review status: legal review required.</w:t>
      </w:r>
    </w:p>
    <w:p>
      <w:pPr>
        <w:pStyle w:val="ListBullet"/>
      </w:pPr>
      <w:r>
        <w:rPr>
          <w:b/>
        </w:rPr>
        <w:t xml:space="preserve">INFO: </w:t>
      </w:r>
      <w:r>
        <w:t>Articles 19, 27, 28 as likely anchors. Operational interpretation: Communication, right to information, and privacy. Review status: legal review required.</w:t>
      </w:r>
    </w:p>
    <w:p>
      <w:pPr>
        <w:pStyle w:val="ListBullet"/>
      </w:pPr>
      <w:r>
        <w:rPr>
          <w:b/>
        </w:rPr>
        <w:t xml:space="preserve">ECOL: </w:t>
      </w:r>
      <w:r>
        <w:t>Article 30 as likely anchor. Operational interpretation: Clean environment and environmental protection. Review status: legal review required.</w:t>
      </w:r>
    </w:p>
    <w:p>
      <w:pPr>
        <w:pStyle w:val="Heading1"/>
      </w:pPr>
      <w:r>
        <w:t>6. Emergency / Derogation / Exception Rules</w:t>
      </w:r>
    </w:p>
    <w:p>
      <w:pPr>
        <w:pStyle w:val="ListBullet"/>
      </w:pPr>
      <w:r>
        <w:t>Do not assume derogation power without written local legal confirmation.</w:t>
      </w:r>
    </w:p>
    <w:p>
      <w:pPr>
        <w:pStyle w:val="ListBullet"/>
      </w:pPr>
      <w:r>
        <w:t>Emergency logic must remain exceptional, documented, sunset-bound, and post-hoc reviewable.</w:t>
      </w:r>
    </w:p>
    <w:p>
      <w:pPr>
        <w:pStyle w:val="ListBullet"/>
      </w:pPr>
      <w:r>
        <w:t>No pilot should use emergency logic to bypass NCRC or recourse.</w:t>
      </w:r>
    </w:p>
    <w:p>
      <w:pPr>
        <w:pStyle w:val="Heading1"/>
      </w:pPr>
      <w:r>
        <w:t>7. Contestability and Recourse Localization</w:t>
      </w:r>
    </w:p>
    <w:p>
      <w:pPr>
        <w:pStyle w:val="ListBullet"/>
      </w:pPr>
      <w:r>
        <w:t>Identify departmental appeal route before launch.</w:t>
      </w:r>
    </w:p>
    <w:p>
      <w:pPr>
        <w:pStyle w:val="ListBullet"/>
      </w:pPr>
      <w:r>
        <w:t>Identify municipal, provincial, or federal review authority depending on pilot level.</w:t>
      </w:r>
    </w:p>
    <w:p>
      <w:pPr>
        <w:pStyle w:val="ListBullet"/>
      </w:pPr>
      <w:r>
        <w:t>Confirm judicial or constitutional remedy route where relevant.</w:t>
      </w:r>
    </w:p>
    <w:p>
      <w:pPr>
        <w:pStyle w:val="ListBullet"/>
      </w:pPr>
      <w:r>
        <w:t>Set response and remedy timelines.</w:t>
      </w:r>
    </w:p>
    <w:p>
      <w:pPr>
        <w:pStyle w:val="ListBullet"/>
      </w:pPr>
      <w:r>
        <w:t>Record non-retaliation protections for affected communities.</w:t>
      </w:r>
    </w:p>
    <w:p>
      <w:pPr>
        <w:pStyle w:val="Heading1"/>
      </w:pPr>
      <w:r>
        <w:t>8. Subgroup and Protected-Group Handling</w:t>
      </w:r>
    </w:p>
    <w:p>
      <w:pPr>
        <w:pStyle w:val="ListBullet"/>
      </w:pPr>
      <w:r>
        <w:t>Caste and Dalit status where lawful and relevant.</w:t>
      </w:r>
    </w:p>
    <w:p>
      <w:pPr>
        <w:pStyle w:val="ListBullet"/>
      </w:pPr>
      <w:r>
        <w:t>Indigenous nationality and ethnicity where lawful and relevant.</w:t>
      </w:r>
    </w:p>
    <w:p>
      <w:pPr>
        <w:pStyle w:val="ListBullet"/>
      </w:pPr>
      <w:r>
        <w:t>Gender and disability.</w:t>
      </w:r>
    </w:p>
    <w:p>
      <w:pPr>
        <w:pStyle w:val="ListBullet"/>
      </w:pPr>
      <w:r>
        <w:t>Rural and remote geography.</w:t>
      </w:r>
    </w:p>
    <w:p>
      <w:pPr>
        <w:pStyle w:val="ListBullet"/>
      </w:pPr>
      <w:r>
        <w:t>Low-income and disaster-vulnerable households.</w:t>
      </w:r>
    </w:p>
    <w:p>
      <w:pPr>
        <w:pStyle w:val="ListBullet"/>
      </w:pPr>
      <w:r>
        <w:t>Use data minimization and substitute harm detection where direct data use is restricted.</w:t>
      </w:r>
    </w:p>
    <w:p>
      <w:pPr>
        <w:pStyle w:val="Heading1"/>
      </w:pPr>
      <w:r>
        <w:t>9. Stakeholder / Union Scope Mapping Notes</w:t>
      </w:r>
    </w:p>
    <w:p>
      <w:pPr>
        <w:pStyle w:val="ListBullet"/>
      </w:pPr>
      <w:r>
        <w:t>Federal, provincial, and municipal authority boundaries must be explicitly mapped.</w:t>
      </w:r>
    </w:p>
    <w:p>
      <w:pPr>
        <w:pStyle w:val="ListBullet"/>
      </w:pPr>
      <w:r>
        <w:t>Marginalized community effects must not be flattened into generic U3 Community without rationale.</w:t>
      </w:r>
    </w:p>
    <w:p>
      <w:pPr>
        <w:pStyle w:val="ListBullet"/>
      </w:pPr>
      <w:r>
        <w:t>Disaster and environmental impacts may activate U5 Polity and U7 Biosphere concerns.</w:t>
      </w:r>
    </w:p>
    <w:p>
      <w:pPr>
        <w:pStyle w:val="Heading1"/>
      </w:pPr>
      <w:r>
        <w:t>10. Non-Domination Review</w:t>
      </w:r>
    </w:p>
    <w:p>
      <w:pPr>
        <w:pStyle w:val="ListBullet"/>
      </w:pPr>
      <w:r>
        <w:t>Focus on practical recourse, not paper recourse.</w:t>
      </w:r>
    </w:p>
    <w:p>
      <w:pPr>
        <w:pStyle w:val="ListBullet"/>
      </w:pPr>
      <w:r>
        <w:t>Avoid pilots where affected communities cannot realistically contest or understand decisions.</w:t>
      </w:r>
    </w:p>
    <w:p>
      <w:pPr>
        <w:pStyle w:val="ListBullet"/>
      </w:pPr>
      <w:r>
        <w:t>Record who has actual power to review and remedy.</w:t>
      </w:r>
    </w:p>
    <w:p>
      <w:pPr>
        <w:pStyle w:val="Heading1"/>
      </w:pPr>
      <w:r>
        <w:t>11. TRC and Containment Localization Notes</w:t>
      </w:r>
    </w:p>
    <w:p>
      <w:pPr>
        <w:pStyle w:val="ListBullet"/>
      </w:pPr>
      <w:r>
        <w:t>Potential catastrophe pathways include disaster response failure, critical service collapse, infrastructure fragility, and environmental harm in vulnerable regions.</w:t>
      </w:r>
    </w:p>
    <w:p>
      <w:pPr>
        <w:pStyle w:val="ListBullet"/>
      </w:pPr>
      <w:r>
        <w:t>Escalate any pilot with irreversible land, resource, or displacement implications.</w:t>
      </w:r>
    </w:p>
    <w:p>
      <w:pPr>
        <w:pStyle w:val="Heading1"/>
      </w:pPr>
      <w:r>
        <w:t>12. Implementation-Defined Parameters for First Pilot</w:t>
      </w:r>
    </w:p>
    <w:p>
      <w:pPr>
        <w:pStyle w:val="ListBullet"/>
      </w:pPr>
      <w:r>
        <w:t>High-impact threshold: set conservatively and approve locally.</w:t>
      </w:r>
    </w:p>
    <w:p>
      <w:pPr>
        <w:pStyle w:val="ListBullet"/>
      </w:pPr>
      <w:r>
        <w:t>Remedy target: must name review authority and time target.</w:t>
      </w:r>
    </w:p>
    <w:p>
      <w:pPr>
        <w:pStyle w:val="ListBullet"/>
      </w:pPr>
      <w:r>
        <w:t>Rollback target: required for digital-service and workflow changes.</w:t>
      </w:r>
    </w:p>
    <w:p>
      <w:pPr>
        <w:pStyle w:val="ListBullet"/>
      </w:pPr>
      <w:r>
        <w:t>Audit cadence: monthly during Phase 1 unless stricter review is required.</w:t>
      </w:r>
    </w:p>
    <w:p>
      <w:pPr>
        <w:pStyle w:val="ListBullet"/>
      </w:pPr>
      <w:r>
        <w:t>Comprehension threshold: must be tested where affected stakeholder understanding is material.</w:t>
      </w:r>
    </w:p>
    <w:p>
      <w:pPr>
        <w:pStyle w:val="ListBullet"/>
      </w:pPr>
      <w:r>
        <w:t>Recourse reconstruction threshold: must be tested by an independent reviewer.</w:t>
      </w:r>
    </w:p>
    <w:p>
      <w:pPr>
        <w:pStyle w:val="Heading1"/>
      </w:pPr>
      <w:r>
        <w:t>13. Translation and Terminology Control</w:t>
      </w:r>
    </w:p>
    <w:p>
      <w:pPr>
        <w:pStyle w:val="ListBullet"/>
      </w:pPr>
      <w:r>
        <w:t>Approved local rendering required for rights floor, non-compensatory, contestability, containment, tail risk, Union Scope, Decision Note, PCC, non-domination, and emergency triage.</w:t>
      </w:r>
    </w:p>
    <w:p>
      <w:pPr>
        <w:pStyle w:val="Heading1"/>
      </w:pPr>
      <w:r>
        <w:t>14. Country-Specific Threat Model</w:t>
      </w:r>
    </w:p>
    <w:p>
      <w:pPr>
        <w:pStyle w:val="ListBullet"/>
      </w:pPr>
      <w:r>
        <w:t>Capture risk from local authority or donor priorities.</w:t>
      </w:r>
    </w:p>
    <w:p>
      <w:pPr>
        <w:pStyle w:val="ListBullet"/>
      </w:pPr>
      <w:r>
        <w:t>Recourse access failures for remote or marginalized groups.</w:t>
      </w:r>
    </w:p>
    <w:p>
      <w:pPr>
        <w:pStyle w:val="ListBullet"/>
      </w:pPr>
      <w:r>
        <w:t>Subgroup invisibility for caste, rural, disability, or gender harms.</w:t>
      </w:r>
    </w:p>
    <w:p>
      <w:pPr>
        <w:pStyle w:val="ListBullet"/>
      </w:pPr>
      <w:r>
        <w:t>Emergency shortcut drift in disaster contexts.</w:t>
      </w:r>
    </w:p>
    <w:p>
      <w:pPr>
        <w:pStyle w:val="Heading1"/>
      </w:pPr>
      <w:r>
        <w:t>15. Open Issues Before Pilot Approval</w:t>
      </w:r>
    </w:p>
    <w:p>
      <w:pPr>
        <w:pStyle w:val="ListBullet"/>
      </w:pPr>
      <w:r>
        <w:t>Confirm exact article mapping with local constitutional lawyer.</w:t>
      </w:r>
    </w:p>
    <w:p>
      <w:pPr>
        <w:pStyle w:val="ListBullet"/>
      </w:pPr>
      <w:r>
        <w:t>Confirm lawful subgroup categories and data handling.</w:t>
      </w:r>
    </w:p>
    <w:p>
      <w:pPr>
        <w:pStyle w:val="ListBullet"/>
      </w:pPr>
      <w:r>
        <w:t>Confirm appeal pathway authority for each pilot institution.</w:t>
      </w:r>
    </w:p>
    <w:p>
      <w:pPr>
        <w:pStyle w:val="ListBullet"/>
      </w:pPr>
      <w:r>
        <w:t>Complete sample Nepal Decision Note and PCC before launch.</w:t>
      </w:r>
    </w:p>
    <w:p>
      <w:pPr>
        <w:pStyle w:val="Heading1"/>
      </w:pPr>
      <w:r>
        <w:t>16. Approval Status</w:t>
      </w:r>
    </w:p>
    <w:p>
      <w:pPr>
        <w:pStyle w:val="ListBullet"/>
      </w:pPr>
      <w:r>
        <w:t>Legal review complete: NO</w:t>
      </w:r>
    </w:p>
    <w:p>
      <w:pPr>
        <w:pStyle w:val="ListBullet"/>
      </w:pPr>
      <w:r>
        <w:t>Policy review complete: NO</w:t>
      </w:r>
    </w:p>
    <w:p>
      <w:pPr>
        <w:pStyle w:val="ListBullet"/>
      </w:pPr>
      <w:r>
        <w:t>Technical review complete: NO</w:t>
      </w:r>
    </w:p>
    <w:p>
      <w:pPr>
        <w:pStyle w:val="ListBullet"/>
      </w:pPr>
      <w:r>
        <w:t>Stakeholder review complete: NO</w:t>
      </w:r>
    </w:p>
    <w:p>
      <w:pPr>
        <w:pStyle w:val="ListBullet"/>
      </w:pPr>
      <w:r>
        <w:t>Translation review complete: NO / Not yet applicable</w:t>
      </w:r>
    </w:p>
    <w:p>
      <w:pPr>
        <w:pStyle w:val="ListBullet"/>
      </w:pPr>
      <w:r>
        <w:t>Approved for pilot use: NO, pending review</w:t>
      </w:r>
    </w:p>
    <w:p>
      <w:pPr>
        <w:pStyle w:val="Heading1"/>
      </w:pPr>
      <w:r>
        <w:t>Source Anchors for Reviewer Verification</w:t>
      </w:r>
    </w:p>
    <w:p>
      <w:r>
        <w:t>These anchors help local reviewers verify the legal and institutional mapping. They are not a substitute for local legal advice or official counsel review.</w:t>
      </w:r>
    </w:p>
    <w:p>
      <w:pPr>
        <w:pStyle w:val="ListBullet"/>
      </w:pPr>
      <w:r>
        <w:rPr>
          <w:b/>
        </w:rPr>
        <w:t xml:space="preserve">Constitution of Nepal 2015: </w:t>
      </w:r>
      <w:r>
        <w:t>Official English PDF used for fundamental-rights and remedy mapping. URL: https://ag.gov.np/files/Constitution-of-Nepal_2072_Eng_www.moljpa.gov_.npDate-72_11_16.pdf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6464"/>
        <w:sz w:val="16"/>
      </w:rPr>
      <w:t>Pilot-grade decision-support material. Not legal advice. Local review required before use.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646464"/>
        <w:sz w:val="16"/>
      </w:rPr>
      <w:t>MathGov / RippleLogic Pilot Extension Package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