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0"/>
        </w:rPr>
        <w:t>New Zealand Localization Annex v0.2</w:t>
      </w:r>
    </w:p>
    <w:p>
      <w:pPr>
        <w:jc w:val="center"/>
      </w:pPr>
      <w:r>
        <w:rPr>
          <w:i/>
          <w:color w:val="505050"/>
          <w:sz w:val="22"/>
        </w:rPr>
        <w:t>Starter draft for RippleLogic / ripple.md / SGP Tier-2 pilot localization</w:t>
      </w:r>
    </w:p>
    <w:p>
      <w:r>
        <w:rPr>
          <w:b/>
        </w:rPr>
        <w:t xml:space="preserve">Status: </w:t>
      </w:r>
      <w:r>
        <w:t>Starter draft. Not approved for pilot use until local review is complete</w:t>
      </w:r>
    </w:p>
    <w:p>
      <w:r>
        <w:rPr>
          <w:b/>
        </w:rPr>
        <w:t xml:space="preserve">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Prepared for: </w:t>
      </w:r>
      <w:r>
        <w:t>Bounded Tier-2 public-sector pilots in Nepal, Vietnam, and New Zealand</w:t>
      </w:r>
    </w:p>
    <w:p>
      <w:r>
        <w:rPr>
          <w:b/>
        </w:rPr>
        <w:t xml:space="preserve">Date: </w:t>
      </w:r>
      <w:r>
        <w:t>2026-05-01</w:t>
      </w:r>
    </w:p>
    <w:p/>
    <w:p>
      <w:r>
        <w:rPr>
          <w:b/>
        </w:rPr>
        <w:t xml:space="preserve">Use boundary. </w:t>
      </w:r>
      <w:r>
        <w:t>This document is a pilot-planning artifact. It is not legal advice, does not replace local administrative law, and does not authorize automated or coercive public-sector action. Every jurisdiction-specific annex must be reviewed by qualified local legal, policy, and stakeholder reviewers before use.</w:t>
      </w:r>
    </w:p>
    <w:p>
      <w:r>
        <w:rPr>
          <w:sz w:val="18"/>
        </w:rPr>
        <w:t>Starter-draft completeness note. This starter draft is intentionally non-exhaustive and does not instantiate every field in the Localization Annex Template. All omitted template fields remain mandatory before pilot approval.</w:t>
      </w:r>
    </w:p>
    <w:p>
      <w:pPr>
        <w:pStyle w:val="Heading1"/>
      </w:pPr>
      <w:r>
        <w:t>1. Annex Metadata</w:t>
      </w:r>
    </w:p>
    <w:p>
      <w:r>
        <w:rPr>
          <w:b/>
        </w:rPr>
        <w:t xml:space="preserve">Jurisdiction: </w:t>
      </w:r>
      <w:r>
        <w:t>New Zealand</w:t>
      </w:r>
    </w:p>
    <w:p>
      <w:r>
        <w:rPr>
          <w:b/>
        </w:rPr>
        <w:t xml:space="preserve">Annex ID: </w:t>
      </w:r>
      <w:r>
        <w:t>RL-LA-NZ-001</w:t>
      </w:r>
    </w:p>
    <w:p>
      <w:r>
        <w:rPr>
          <w:b/>
        </w:rPr>
        <w:t xml:space="preserve">Version: </w:t>
      </w:r>
      <w:r>
        <w:t>starter-draft-v0.2</w:t>
      </w:r>
    </w:p>
    <w:p>
      <w:r>
        <w:rPr>
          <w:b/>
        </w:rPr>
        <w:t>Status: Draft - review pending; not approved for pilot use</w:t>
      </w:r>
      <w:r/>
    </w:p>
    <w:p>
      <w:r>
        <w:t>Pilot posture: Candidate for bounded Tier-2 pilot review after local legal, policy, technical, stakeholder, and translation review.</w:t>
      </w:r>
    </w:p>
    <w:p>
      <w:r>
        <w:rPr>
          <w:b/>
        </w:rPr>
        <w:t xml:space="preserve">Linked 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Intended pilot tier: </w:t>
      </w:r>
      <w:r>
        <w:t>Tier 2 only</w:t>
      </w:r>
    </w:p>
    <w:p>
      <w:r>
        <w:rPr>
          <w:b/>
        </w:rPr>
        <w:t xml:space="preserve">Autonomous execution: </w:t>
      </w:r>
      <w:r>
        <w:t>Prohibited</w:t>
      </w:r>
    </w:p>
    <w:p>
      <w:r>
        <w:rPr>
          <w:b/>
        </w:rPr>
        <w:t xml:space="preserve">Human final authority: </w:t>
      </w:r>
      <w:r>
        <w:t>Required and must be named before pilot launch</w:t>
      </w:r>
    </w:p>
    <w:p>
      <w:pPr>
        <w:pStyle w:val="Heading1"/>
      </w:pPr>
      <w:r>
        <w:t>2. Pilot Scope</w:t>
      </w:r>
    </w:p>
    <w:p>
      <w:pPr>
        <w:pStyle w:val="Heading2"/>
      </w:pPr>
      <w:r>
        <w:t>Covered first-pilot classes</w:t>
      </w:r>
    </w:p>
    <w:p>
      <w:pPr>
        <w:pStyle w:val="ListBullet"/>
      </w:pPr>
      <w:r>
        <w:t>Local council planning</w:t>
      </w:r>
    </w:p>
    <w:p>
      <w:pPr>
        <w:pStyle w:val="ListBullet"/>
      </w:pPr>
      <w:r>
        <w:t>Public procurement</w:t>
      </w:r>
    </w:p>
    <w:p>
      <w:pPr>
        <w:pStyle w:val="ListBullet"/>
      </w:pPr>
      <w:r>
        <w:t>Institutional AI governance</w:t>
      </w:r>
    </w:p>
    <w:p>
      <w:pPr>
        <w:pStyle w:val="ListBullet"/>
      </w:pPr>
      <w:r>
        <w:t>Infrastructure resilience prioritization</w:t>
      </w:r>
    </w:p>
    <w:p>
      <w:pPr>
        <w:pStyle w:val="ListBullet"/>
      </w:pPr>
      <w:r>
        <w:t>Environmental planning</w:t>
      </w:r>
    </w:p>
    <w:p>
      <w:pPr>
        <w:pStyle w:val="ListBullet"/>
      </w:pPr>
      <w:r>
        <w:t>Public digital-service governance</w:t>
      </w:r>
    </w:p>
    <w:p>
      <w:pPr>
        <w:pStyle w:val="Heading2"/>
      </w:pPr>
      <w:r>
        <w:t>Excluded Phase 1 classes</w:t>
      </w:r>
    </w:p>
    <w:p>
      <w:pPr>
        <w:pStyle w:val="ListBullet"/>
      </w:pPr>
      <w:r>
        <w:t>Policing and justice</w:t>
      </w:r>
    </w:p>
    <w:p>
      <w:pPr>
        <w:pStyle w:val="ListBullet"/>
      </w:pPr>
      <w:r>
        <w:t>Detention</w:t>
      </w:r>
    </w:p>
    <w:p>
      <w:pPr>
        <w:pStyle w:val="ListBullet"/>
      </w:pPr>
      <w:r>
        <w:t>Surveillance-heavy use</w:t>
      </w:r>
    </w:p>
    <w:p>
      <w:pPr>
        <w:pStyle w:val="ListBullet"/>
      </w:pPr>
      <w:r>
        <w:t>Treaty-sensitive allocation decisions without explicit engagement design</w:t>
      </w:r>
    </w:p>
    <w:p>
      <w:pPr>
        <w:pStyle w:val="ListBullet"/>
      </w:pPr>
      <w:r>
        <w:t>Land, water, taonga, or co-governance decisions without Treaty-sensitive review</w:t>
      </w:r>
    </w:p>
    <w:p>
      <w:pPr>
        <w:pStyle w:val="Heading1"/>
      </w:pPr>
      <w:r>
        <w:t>3. Governing Legal / Normative Sources to Review</w:t>
      </w:r>
    </w:p>
    <w:p>
      <w:pPr>
        <w:pStyle w:val="ListBullet"/>
      </w:pPr>
      <w:r>
        <w:t>New Zealand Bill of Rights Act 1990.</w:t>
      </w:r>
    </w:p>
    <w:p>
      <w:pPr>
        <w:pStyle w:val="ListBullet"/>
      </w:pPr>
      <w:r>
        <w:t>Human Rights Act 1993.</w:t>
      </w:r>
    </w:p>
    <w:p>
      <w:pPr>
        <w:pStyle w:val="ListBullet"/>
      </w:pPr>
      <w:r>
        <w:t>Privacy Act 2020.</w:t>
      </w:r>
    </w:p>
    <w:p>
      <w:pPr>
        <w:pStyle w:val="ListBullet"/>
      </w:pPr>
      <w:r>
        <w:t>Official Information Act 1982.</w:t>
      </w:r>
    </w:p>
    <w:p>
      <w:pPr>
        <w:pStyle w:val="ListBullet"/>
      </w:pPr>
      <w:r>
        <w:t>Administrative law and natural justice principles.</w:t>
      </w:r>
    </w:p>
    <w:p>
      <w:pPr>
        <w:pStyle w:val="ListBullet"/>
      </w:pPr>
      <w:r>
        <w:t>Te Tiriti o Waitangi / Treaty of Waitangi guidance and relevant public-sector practice.</w:t>
      </w:r>
    </w:p>
    <w:p>
      <w:pPr>
        <w:pStyle w:val="ListBullet"/>
      </w:pPr>
      <w:r>
        <w:t>Environmental statutory framework applicable to the pilot.</w:t>
      </w:r>
    </w:p>
    <w:p>
      <w:pPr>
        <w:pStyle w:val="Heading1"/>
      </w:pPr>
      <w:r>
        <w:t>4. Local Rights-Floor Baseline Selection</w:t>
      </w:r>
    </w:p>
    <w:p>
      <w:r>
        <w:t>Use a localized baseline. New Zealand rights protections are statutory, common-law, administrative, and Treaty-sensitive rather than a single codified constitutional catalogue. ECOL and Treaty implications must be mapped carefully rather than overclaimed.</w:t>
      </w:r>
    </w:p>
    <w:p>
      <w:pPr>
        <w:pStyle w:val="Heading1"/>
      </w:pPr>
      <w:r>
        <w:t>5. RippleLogic 8-Right Mapping Starter Table</w:t>
      </w:r>
    </w:p>
    <w:p>
      <w:pPr>
        <w:pStyle w:val="ListBullet"/>
      </w:pPr>
      <w:r>
        <w:rPr>
          <w:b/>
        </w:rPr>
        <w:t xml:space="preserve">LIFE: </w:t>
      </w:r>
      <w:r>
        <w:t>NZBORA s 8 as likely anchor. Operational interpretation: Right not to be deprived of life except on justified legal basis. Review status: legal review required.</w:t>
      </w:r>
    </w:p>
    <w:p>
      <w:pPr>
        <w:pStyle w:val="ListBullet"/>
      </w:pPr>
      <w:r>
        <w:rPr>
          <w:b/>
        </w:rPr>
        <w:t xml:space="preserve">BODY: </w:t>
      </w:r>
      <w:r>
        <w:t>NZBORA ss 9, 10, 11 as likely anchors. Operational interpretation: No torture or cruel treatment; medical and bodily integrity protections. Review status: legal review required.</w:t>
      </w:r>
    </w:p>
    <w:p>
      <w:pPr>
        <w:pStyle w:val="ListBullet"/>
      </w:pPr>
      <w:r>
        <w:rPr>
          <w:b/>
        </w:rPr>
        <w:t xml:space="preserve">LBTY: </w:t>
      </w:r>
      <w:r>
        <w:t>NZBORA ss 17, 18, 22, 23 as likely anchors. Operational interpretation: Association, movement, arbitrary detention, and treatment on detention. Review status: legal review required.</w:t>
      </w:r>
    </w:p>
    <w:p>
      <w:pPr>
        <w:pStyle w:val="ListBullet"/>
      </w:pPr>
      <w:r>
        <w:rPr>
          <w:b/>
        </w:rPr>
        <w:t xml:space="preserve">NEED: </w:t>
      </w:r>
      <w:r>
        <w:t>More statutory and policy-based than NZBORA-based. Operational interpretation: Social welfare, health, labour, education, and housing conditions must be localized by domain. Review status: legal review required.</w:t>
      </w:r>
    </w:p>
    <w:p>
      <w:pPr>
        <w:pStyle w:val="ListBullet"/>
      </w:pPr>
      <w:r>
        <w:rPr>
          <w:b/>
        </w:rPr>
        <w:t xml:space="preserve">DIGN: </w:t>
      </w:r>
      <w:r>
        <w:t>NZBORA s 19 and Human Rights Act 1993 as likely anchors. Operational interpretation: Freedom from discrimination and equal dignity treatment. Review status: legal review required.</w:t>
      </w:r>
    </w:p>
    <w:p>
      <w:pPr>
        <w:pStyle w:val="ListBullet"/>
      </w:pPr>
      <w:r>
        <w:rPr>
          <w:b/>
        </w:rPr>
        <w:t xml:space="preserve">PROC: </w:t>
      </w:r>
      <w:r>
        <w:t>NZBORA ss 24-27 and natural justice as likely anchors. Operational interpretation: Justice, reviewability, procedural fairness, and effective process. Review status: legal review required.</w:t>
      </w:r>
    </w:p>
    <w:p>
      <w:pPr>
        <w:pStyle w:val="ListBullet"/>
      </w:pPr>
      <w:r>
        <w:rPr>
          <w:b/>
        </w:rPr>
        <w:t xml:space="preserve">INFO: </w:t>
      </w:r>
      <w:r>
        <w:t>NZBORA ss 13-14, Official Information Act 1982, Privacy Act 2020 as likely anchors. Operational interpretation: Thought, expression, official information, privacy, and personal data handling. Review status: legal review required.</w:t>
      </w:r>
    </w:p>
    <w:p>
      <w:pPr>
        <w:pStyle w:val="ListBullet"/>
      </w:pPr>
      <w:r>
        <w:rPr>
          <w:b/>
        </w:rPr>
        <w:t xml:space="preserve">ECOL: </w:t>
      </w:r>
      <w:r>
        <w:t>Environmental statutes and Treaty-related stewardship where relevant. Operational interpretation: Must be localized carefully, not treated as a simple constitutional analogue. Review status: legal review required.</w:t>
      </w:r>
    </w:p>
    <w:p>
      <w:pPr>
        <w:pStyle w:val="Heading1"/>
      </w:pPr>
      <w:r>
        <w:t>6. Emergency / Derogation / Exception Rules</w:t>
      </w:r>
    </w:p>
    <w:p>
      <w:pPr>
        <w:pStyle w:val="ListBullet"/>
      </w:pPr>
      <w:r>
        <w:t>Emergency posture must be localized through NZ public-law and emergency statutory pathways.</w:t>
      </w:r>
    </w:p>
    <w:p>
      <w:pPr>
        <w:pStyle w:val="ListBullet"/>
      </w:pPr>
      <w:r>
        <w:t>Do not assume derogation or emergency override without explicit legal mapping.</w:t>
      </w:r>
    </w:p>
    <w:p>
      <w:pPr>
        <w:pStyle w:val="ListBullet"/>
      </w:pPr>
      <w:r>
        <w:t>Emergency triage must preserve natural justice and post-hoc review where applicable.</w:t>
      </w:r>
    </w:p>
    <w:p>
      <w:pPr>
        <w:pStyle w:val="Heading1"/>
      </w:pPr>
      <w:r>
        <w:t>7. Contestability and Recourse Localization</w:t>
      </w:r>
    </w:p>
    <w:p>
      <w:pPr>
        <w:pStyle w:val="ListBullet"/>
      </w:pPr>
      <w:r>
        <w:t>Identify agency review path.</w:t>
      </w:r>
    </w:p>
    <w:p>
      <w:pPr>
        <w:pStyle w:val="ListBullet"/>
      </w:pPr>
      <w:r>
        <w:t>Identify ombuds, tribunal, or court route where applicable.</w:t>
      </w:r>
    </w:p>
    <w:p>
      <w:pPr>
        <w:pStyle w:val="ListBullet"/>
      </w:pPr>
      <w:r>
        <w:t>Specify time-to-response and time-to-remedy targets.</w:t>
      </w:r>
    </w:p>
    <w:p>
      <w:pPr>
        <w:pStyle w:val="ListBullet"/>
      </w:pPr>
      <w:r>
        <w:t>Confirm redaction/privacy compatibility with recourse evidence.</w:t>
      </w:r>
    </w:p>
    <w:p>
      <w:pPr>
        <w:pStyle w:val="Heading1"/>
      </w:pPr>
      <w:r>
        <w:t>8. Subgroup and Protected-Group Handling</w:t>
      </w:r>
    </w:p>
    <w:p>
      <w:pPr>
        <w:pStyle w:val="ListBullet"/>
      </w:pPr>
      <w:r>
        <w:t>Maori, iwi, and hapu where appropriate and lawful.</w:t>
      </w:r>
    </w:p>
    <w:p>
      <w:pPr>
        <w:pStyle w:val="ListBullet"/>
      </w:pPr>
      <w:r>
        <w:t>Pacific peoples where appropriate.</w:t>
      </w:r>
    </w:p>
    <w:p>
      <w:pPr>
        <w:pStyle w:val="ListBullet"/>
      </w:pPr>
      <w:r>
        <w:t>Disability, gender, rural/remote geography, and low-income vulnerability.</w:t>
      </w:r>
    </w:p>
    <w:p>
      <w:pPr>
        <w:pStyle w:val="ListBullet"/>
      </w:pPr>
      <w:r>
        <w:t>Apply data minimization and consult relevant data sovereignty considerations where applicable.</w:t>
      </w:r>
    </w:p>
    <w:p>
      <w:pPr>
        <w:pStyle w:val="Heading1"/>
      </w:pPr>
      <w:r>
        <w:t>9. Stakeholder / Union Scope Mapping Notes</w:t>
      </w:r>
    </w:p>
    <w:p>
      <w:pPr>
        <w:pStyle w:val="ListBullet"/>
      </w:pPr>
      <w:r>
        <w:t>Treaty-sensitive domains require explicit stakeholder mapping.</w:t>
      </w:r>
    </w:p>
    <w:p>
      <w:pPr>
        <w:pStyle w:val="ListBullet"/>
      </w:pPr>
      <w:r>
        <w:t>Iwi and hapu may need multi-scope mapping across U3 Community and U5 Polity with declared rationale.</w:t>
      </w:r>
    </w:p>
    <w:p>
      <w:pPr>
        <w:pStyle w:val="ListBullet"/>
      </w:pPr>
      <w:r>
        <w:t>Land, water, taonga, and stewardship concerns may also activate U7 Biosphere.</w:t>
      </w:r>
    </w:p>
    <w:p>
      <w:pPr>
        <w:pStyle w:val="Heading1"/>
      </w:pPr>
      <w:r>
        <w:t>10. Non-Domination Review</w:t>
      </w:r>
    </w:p>
    <w:p>
      <w:pPr>
        <w:pStyle w:val="ListBullet"/>
      </w:pPr>
      <w:r>
        <w:t>Do not flatten procedural legitimacy into ordinary administrative convenience.</w:t>
      </w:r>
    </w:p>
    <w:p>
      <w:pPr>
        <w:pStyle w:val="ListBullet"/>
      </w:pPr>
      <w:r>
        <w:t>Natural justice and meaningful review should be live requirements.</w:t>
      </w:r>
    </w:p>
    <w:p>
      <w:pPr>
        <w:pStyle w:val="ListBullet"/>
      </w:pPr>
      <w:r>
        <w:t>Avoid pilots that treat consultation as symbolic when affected rights or Treaty interests are live.</w:t>
      </w:r>
    </w:p>
    <w:p>
      <w:pPr>
        <w:pStyle w:val="Heading1"/>
      </w:pPr>
      <w:r>
        <w:t>11. TRC and Containment Localization Notes</w:t>
      </w:r>
    </w:p>
    <w:p>
      <w:pPr>
        <w:pStyle w:val="ListBullet"/>
      </w:pPr>
      <w:r>
        <w:t>Good first pilots include resilience planning, environmental planning, procurement, and public digital-service governance.</w:t>
      </w:r>
    </w:p>
    <w:p>
      <w:pPr>
        <w:pStyle w:val="ListBullet"/>
      </w:pPr>
      <w:r>
        <w:t>Escalate anything with Treaty-sensitive distributional consequences or irreversible environmental consequences.</w:t>
      </w:r>
    </w:p>
    <w:p>
      <w:pPr>
        <w:pStyle w:val="Heading1"/>
      </w:pPr>
      <w:r>
        <w:t>12. Implementation-Defined Parameters for First Pilot</w:t>
      </w:r>
    </w:p>
    <w:p>
      <w:pPr>
        <w:pStyle w:val="ListBullet"/>
      </w:pPr>
      <w:r>
        <w:t>High-impact threshold: set conservatively and approve locally.</w:t>
      </w:r>
    </w:p>
    <w:p>
      <w:pPr>
        <w:pStyle w:val="ListBullet"/>
      </w:pPr>
      <w:r>
        <w:t>Remedy target: must name review authority and time target.</w:t>
      </w:r>
    </w:p>
    <w:p>
      <w:pPr>
        <w:pStyle w:val="ListBullet"/>
      </w:pPr>
      <w:r>
        <w:t>Rollback target: required for digital-service and workflow changes.</w:t>
      </w:r>
    </w:p>
    <w:p>
      <w:pPr>
        <w:pStyle w:val="ListBullet"/>
      </w:pPr>
      <w:r>
        <w:t>Audit cadence: monthly during Phase 1 unless stricter review is required.</w:t>
      </w:r>
    </w:p>
    <w:p>
      <w:pPr>
        <w:pStyle w:val="ListBullet"/>
      </w:pPr>
      <w:r>
        <w:t>Comprehension threshold: must be tested where affected stakeholder understanding is material.</w:t>
      </w:r>
    </w:p>
    <w:p>
      <w:pPr>
        <w:pStyle w:val="ListBullet"/>
      </w:pPr>
      <w:r>
        <w:t>Recourse reconstruction threshold: must be tested by an independent reviewer.</w:t>
      </w:r>
    </w:p>
    <w:p>
      <w:pPr>
        <w:pStyle w:val="Heading1"/>
      </w:pPr>
      <w:r>
        <w:t>13. Translation and Terminology Control</w:t>
      </w:r>
    </w:p>
    <w:p>
      <w:pPr>
        <w:pStyle w:val="ListBullet"/>
      </w:pPr>
      <w:r>
        <w:t>Approved local rendering required for rights floor, non-compensatory, contestability, containment, tail risk, Union Scope, Decision Note, PCC, non-domination, and emergency triage.</w:t>
      </w:r>
    </w:p>
    <w:p>
      <w:pPr>
        <w:pStyle w:val="Heading1"/>
      </w:pPr>
      <w:r>
        <w:t>14. Country-Specific Threat Model</w:t>
      </w:r>
    </w:p>
    <w:p>
      <w:pPr>
        <w:pStyle w:val="ListBullet"/>
      </w:pPr>
      <w:r>
        <w:t>Treaty flattening where Maori, iwi, or hapu interests are treated as ordinary stakeholder input only.</w:t>
      </w:r>
    </w:p>
    <w:p>
      <w:pPr>
        <w:pStyle w:val="ListBullet"/>
      </w:pPr>
      <w:r>
        <w:t>ECOL overclaiming where environmental interests are mislabeled as simple constitutional rights.</w:t>
      </w:r>
    </w:p>
    <w:p>
      <w:pPr>
        <w:pStyle w:val="ListBullet"/>
      </w:pPr>
      <w:r>
        <w:t>Privacy and OIA tension in evidence records.</w:t>
      </w:r>
    </w:p>
    <w:p>
      <w:pPr>
        <w:pStyle w:val="ListBullet"/>
      </w:pPr>
      <w:r>
        <w:t>Procedural convenience displacing natural justice.</w:t>
      </w:r>
    </w:p>
    <w:p>
      <w:pPr>
        <w:pStyle w:val="Heading1"/>
      </w:pPr>
      <w:r>
        <w:t>15. Open Issues Before Pilot Approval</w:t>
      </w:r>
    </w:p>
    <w:p>
      <w:pPr>
        <w:pStyle w:val="ListBullet"/>
      </w:pPr>
      <w:r>
        <w:t>Exact Treaty / tikanga integration method.</w:t>
      </w:r>
    </w:p>
    <w:p>
      <w:pPr>
        <w:pStyle w:val="ListBullet"/>
      </w:pPr>
      <w:r>
        <w:t>ECOL localization source set.</w:t>
      </w:r>
    </w:p>
    <w:p>
      <w:pPr>
        <w:pStyle w:val="ListBullet"/>
      </w:pPr>
      <w:r>
        <w:t>Stakeholder mapping for iwi and hapu in affected domains.</w:t>
      </w:r>
    </w:p>
    <w:p>
      <w:pPr>
        <w:pStyle w:val="ListBullet"/>
      </w:pPr>
      <w:r>
        <w:t>Complete sample New Zealand Decision Note and PCC before launch.</w:t>
      </w:r>
    </w:p>
    <w:p>
      <w:pPr>
        <w:pStyle w:val="Heading1"/>
      </w:pPr>
      <w:r>
        <w:t>16. Approval Status</w:t>
      </w:r>
    </w:p>
    <w:p>
      <w:pPr>
        <w:pStyle w:val="ListBullet"/>
      </w:pPr>
      <w:r>
        <w:t>Legal review complete: NO</w:t>
      </w:r>
    </w:p>
    <w:p>
      <w:pPr>
        <w:pStyle w:val="ListBullet"/>
      </w:pPr>
      <w:r>
        <w:t>Policy review complete: NO</w:t>
      </w:r>
    </w:p>
    <w:p>
      <w:pPr>
        <w:pStyle w:val="ListBullet"/>
      </w:pPr>
      <w:r>
        <w:t>Technical review complete: NO</w:t>
      </w:r>
    </w:p>
    <w:p>
      <w:pPr>
        <w:pStyle w:val="ListBullet"/>
      </w:pPr>
      <w:r>
        <w:t>Stakeholder review complete: NO</w:t>
      </w:r>
    </w:p>
    <w:p>
      <w:pPr>
        <w:pStyle w:val="ListBullet"/>
      </w:pPr>
      <w:r>
        <w:t>Translation review complete: NO / Not yet applicable</w:t>
      </w:r>
    </w:p>
    <w:p>
      <w:pPr>
        <w:pStyle w:val="ListBullet"/>
      </w:pPr>
      <w:r>
        <w:t>Approved for pilot use: NO, pending review</w:t>
      </w:r>
    </w:p>
    <w:p>
      <w:pPr>
        <w:pStyle w:val="Heading1"/>
      </w:pPr>
      <w:r>
        <w:t>Source Anchors for Reviewer Verification</w:t>
      </w:r>
    </w:p>
    <w:p>
      <w:r>
        <w:t>These anchors help local reviewers verify the legal and institutional mapping. They are not a substitute for local legal advice or official counsel review.</w:t>
      </w:r>
    </w:p>
    <w:p>
      <w:pPr>
        <w:pStyle w:val="ListBullet"/>
      </w:pPr>
      <w:r>
        <w:rPr>
          <w:b/>
        </w:rPr>
        <w:t xml:space="preserve">New Zealand Bill of Rights Act 1990: </w:t>
      </w:r>
      <w:r>
        <w:t>Official legislation source anchor for rights mapping. URL: https://www.legislation.govt.nz/act/public/1990/0109/latest/DLM224792.html</w:t>
      </w:r>
    </w:p>
    <w:p>
      <w:pPr>
        <w:pStyle w:val="ListBullet"/>
      </w:pPr>
      <w:r>
        <w:rPr>
          <w:b/>
        </w:rPr>
        <w:t xml:space="preserve">Human Rights Act 1993: </w:t>
      </w:r>
      <w:r>
        <w:t>Official legislation source anchor for discrimination and equal treatment protections. URL: https://www.legislation.govt.nz/act/public/1993/0082/latest/dlm304212.html</w:t>
      </w:r>
    </w:p>
    <w:p>
      <w:pPr>
        <w:pStyle w:val="ListBullet"/>
      </w:pPr>
      <w:r>
        <w:rPr>
          <w:b/>
        </w:rPr>
        <w:t xml:space="preserve">Privacy Act 2020: </w:t>
      </w:r>
      <w:r>
        <w:t>Official legislation source anchor for personal information protection. URL: https://www.legislation.govt.nz/act/public/2020/0031/latest/LMS23223.html</w:t>
      </w:r>
    </w:p>
    <w:p>
      <w:pPr>
        <w:pStyle w:val="ListBullet"/>
      </w:pPr>
      <w:r>
        <w:rPr>
          <w:b/>
        </w:rPr>
        <w:t xml:space="preserve">Official Information Act 1982: </w:t>
      </w:r>
      <w:r>
        <w:t>Official legislation source anchor for official-information access and limits. URL: https://www.legislation.govt.nz/act/public/1982/0156/latest/whole.html</w:t>
      </w:r>
    </w:p>
    <w:p>
      <w:pPr>
        <w:pStyle w:val="ListBullet"/>
      </w:pPr>
      <w:r>
        <w:rPr>
          <w:b/>
        </w:rPr>
        <w:t xml:space="preserve">Te Tiriti / Treaty of Waitangi guidance: </w:t>
      </w:r>
      <w:r>
        <w:t>Official Cabinet guidance source anchor for Treaty-sensitive policy work. URL: https://www.dpmc.govt.nz/publications/co-19-5-te-tiriti-o-waitangi-treaty-waitangi-guidance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6"/>
      </w:rPr>
      <w:t>Pilot-grade decision-support material. Not legal advice. Local review required before use.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46464"/>
        <w:sz w:val="16"/>
      </w:rPr>
      <w:t>MathGov / RippleLogic Pilot Extension Package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