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4E79"/>
          <w:sz w:val="40"/>
        </w:rPr>
        <w:t>Vietnam Localization Annex v0.2</w:t>
      </w:r>
    </w:p>
    <w:p>
      <w:pPr>
        <w:jc w:val="center"/>
      </w:pPr>
      <w:r>
        <w:rPr>
          <w:i/>
          <w:color w:val="505050"/>
          <w:sz w:val="22"/>
        </w:rPr>
        <w:t>Starter draft for RippleLogic / ripple.md / SGP Tier-2 pilot localization</w:t>
      </w:r>
    </w:p>
    <w:p>
      <w:r>
        <w:rPr>
          <w:b/>
        </w:rPr>
        <w:t xml:space="preserve">Status: </w:t>
      </w:r>
      <w:r>
        <w:t>Starter draft. Not approved for pilot use until local review is complete</w:t>
      </w:r>
    </w:p>
    <w:p>
      <w:r>
        <w:rPr>
          <w:b/>
        </w:rPr>
        <w:t xml:space="preserve">Release line: </w:t>
      </w:r>
      <w:r>
        <w:t>RippleLogic v9.6.4 / ripple.md v2.2 / SGP v4.7.1 / Agent System v9.2 / Aligners Sheet v2.5</w:t>
      </w:r>
    </w:p>
    <w:p>
      <w:r>
        <w:rPr>
          <w:b/>
        </w:rPr>
        <w:t xml:space="preserve">Prepared for: </w:t>
      </w:r>
      <w:r>
        <w:t>Bounded Tier-2 public-sector pilots in Nepal, Vietnam, and New Zealand</w:t>
      </w:r>
    </w:p>
    <w:p>
      <w:r>
        <w:rPr>
          <w:b/>
        </w:rPr>
        <w:t xml:space="preserve">Date: </w:t>
      </w:r>
      <w:r>
        <w:t>2026-05-01</w:t>
      </w:r>
    </w:p>
    <w:p/>
    <w:p>
      <w:r>
        <w:rPr>
          <w:b/>
        </w:rPr>
        <w:t xml:space="preserve">Use boundary. </w:t>
      </w:r>
      <w:r>
        <w:t>This document is a pilot-planning artifact. It is not legal advice, does not replace local administrative law, and does not authorize automated or coercive public-sector action. Every jurisdiction-specific annex must be reviewed by qualified local legal, policy, and stakeholder reviewers before use.</w:t>
      </w:r>
    </w:p>
    <w:p>
      <w:r>
        <w:rPr>
          <w:sz w:val="18"/>
        </w:rPr>
        <w:t>Starter-draft completeness note. This starter draft is intentionally non-exhaustive and does not instantiate every field in the Localization Annex Template. All omitted template fields remain mandatory before pilot approval.</w:t>
      </w:r>
    </w:p>
    <w:p>
      <w:pPr>
        <w:pStyle w:val="Heading1"/>
      </w:pPr>
      <w:r>
        <w:t>1. Annex Metadata</w:t>
      </w:r>
    </w:p>
    <w:p>
      <w:r>
        <w:rPr>
          <w:b/>
        </w:rPr>
        <w:t xml:space="preserve">Jurisdiction: </w:t>
      </w:r>
      <w:r>
        <w:t>Vietnam</w:t>
      </w:r>
    </w:p>
    <w:p>
      <w:r>
        <w:rPr>
          <w:b/>
        </w:rPr>
        <w:t xml:space="preserve">Annex ID: </w:t>
      </w:r>
      <w:r>
        <w:t>RL-LA-VN-001</w:t>
      </w:r>
    </w:p>
    <w:p>
      <w:r>
        <w:rPr>
          <w:b/>
        </w:rPr>
        <w:t xml:space="preserve">Version: </w:t>
      </w:r>
      <w:r>
        <w:t>starter-draft-v0.2</w:t>
      </w:r>
    </w:p>
    <w:p>
      <w:r>
        <w:rPr>
          <w:b/>
        </w:rPr>
        <w:t>Status: Draft - review pending; not approved for pilot use</w:t>
      </w:r>
      <w:r/>
    </w:p>
    <w:p>
      <w:r>
        <w:t>Pilot posture: Candidate for bounded Tier-2 pilot review after local legal, policy, technical, stakeholder, and translation review.</w:t>
      </w:r>
    </w:p>
    <w:p>
      <w:r>
        <w:rPr>
          <w:b/>
        </w:rPr>
        <w:t xml:space="preserve">Linked release line: </w:t>
      </w:r>
      <w:r>
        <w:t>RippleLogic v9.6.4 / ripple.md v2.2 / SGP v4.7.1 / Agent System v9.2 / Aligners Sheet v2.5</w:t>
      </w:r>
    </w:p>
    <w:p>
      <w:r>
        <w:rPr>
          <w:b/>
        </w:rPr>
        <w:t xml:space="preserve">Intended pilot tier: </w:t>
      </w:r>
      <w:r>
        <w:t>Tier 2 only</w:t>
      </w:r>
    </w:p>
    <w:p>
      <w:r>
        <w:rPr>
          <w:b/>
        </w:rPr>
        <w:t xml:space="preserve">Autonomous execution: </w:t>
      </w:r>
      <w:r>
        <w:t>Prohibited</w:t>
      </w:r>
    </w:p>
    <w:p>
      <w:r>
        <w:rPr>
          <w:b/>
        </w:rPr>
        <w:t xml:space="preserve">Human final authority: </w:t>
      </w:r>
      <w:r>
        <w:t>Required and must be named before pilot launch</w:t>
      </w:r>
    </w:p>
    <w:p>
      <w:pPr>
        <w:pStyle w:val="Heading1"/>
      </w:pPr>
      <w:r>
        <w:t>2. Pilot Scope</w:t>
      </w:r>
    </w:p>
    <w:p>
      <w:pPr>
        <w:pStyle w:val="Heading2"/>
      </w:pPr>
      <w:r>
        <w:t>Covered first-pilot classes</w:t>
      </w:r>
    </w:p>
    <w:p>
      <w:pPr>
        <w:pStyle w:val="ListBullet"/>
      </w:pPr>
      <w:r>
        <w:t>Public-sector AI procurement</w:t>
      </w:r>
    </w:p>
    <w:p>
      <w:pPr>
        <w:pStyle w:val="ListBullet"/>
      </w:pPr>
      <w:r>
        <w:t>Administrative-service digitization</w:t>
      </w:r>
    </w:p>
    <w:p>
      <w:pPr>
        <w:pStyle w:val="ListBullet"/>
      </w:pPr>
      <w:r>
        <w:t>Institutional workflow redesign</w:t>
      </w:r>
    </w:p>
    <w:p>
      <w:pPr>
        <w:pStyle w:val="ListBullet"/>
      </w:pPr>
      <w:r>
        <w:t>Infrastructure maintenance prioritization</w:t>
      </w:r>
    </w:p>
    <w:p>
      <w:pPr>
        <w:pStyle w:val="ListBullet"/>
      </w:pPr>
      <w:r>
        <w:t>Bounded environmental resilience planning</w:t>
      </w:r>
    </w:p>
    <w:p>
      <w:pPr>
        <w:pStyle w:val="Heading2"/>
      </w:pPr>
      <w:r>
        <w:t>Excluded Phase 1 classes</w:t>
      </w:r>
    </w:p>
    <w:p>
      <w:pPr>
        <w:pStyle w:val="ListBullet"/>
      </w:pPr>
      <w:r>
        <w:t>Speech or content restriction</w:t>
      </w:r>
    </w:p>
    <w:p>
      <w:pPr>
        <w:pStyle w:val="ListBullet"/>
      </w:pPr>
      <w:r>
        <w:t>Surveillance expansion</w:t>
      </w:r>
    </w:p>
    <w:p>
      <w:pPr>
        <w:pStyle w:val="ListBullet"/>
      </w:pPr>
      <w:r>
        <w:t>Policing or enforcement-heavy public control</w:t>
      </w:r>
    </w:p>
    <w:p>
      <w:pPr>
        <w:pStyle w:val="ListBullet"/>
      </w:pPr>
      <w:r>
        <w:t>High-coercion public-order decisions</w:t>
      </w:r>
    </w:p>
    <w:p>
      <w:pPr>
        <w:pStyle w:val="ListBullet"/>
      </w:pPr>
      <w:r>
        <w:t>Politically sensitive information-control cases</w:t>
      </w:r>
    </w:p>
    <w:p>
      <w:pPr>
        <w:pStyle w:val="Heading1"/>
      </w:pPr>
      <w:r>
        <w:t>3. Governing Legal / Normative Sources to Review</w:t>
      </w:r>
    </w:p>
    <w:p>
      <w:pPr>
        <w:pStyle w:val="ListBullet"/>
      </w:pPr>
      <w:r>
        <w:t>Constitution of the Socialist Republic of Vietnam 2013, especially Chapter II.</w:t>
      </w:r>
    </w:p>
    <w:p>
      <w:pPr>
        <w:pStyle w:val="ListBullet"/>
      </w:pPr>
      <w:r>
        <w:t>Administrative complaint and public-authority review procedures applicable to the institution.</w:t>
      </w:r>
    </w:p>
    <w:p>
      <w:pPr>
        <w:pStyle w:val="ListBullet"/>
      </w:pPr>
      <w:r>
        <w:t>Data, privacy, cybersecurity, and sector-specific rules applicable to the pilot.</w:t>
      </w:r>
    </w:p>
    <w:p>
      <w:pPr>
        <w:pStyle w:val="Heading1"/>
      </w:pPr>
      <w:r>
        <w:t>4. Local Rights-Floor Baseline Selection</w:t>
      </w:r>
    </w:p>
    <w:p>
      <w:r>
        <w:t>Adopt the ripple.md jurisdiction-neutral rights baseline with explicit Vietnamese constitutional mapping and operational notes. The annex must explain how reviewability, recourse, and restrictions are handled in practice.</w:t>
      </w:r>
    </w:p>
    <w:p>
      <w:pPr>
        <w:pStyle w:val="Heading1"/>
      </w:pPr>
      <w:r>
        <w:t>5. RippleLogic 8-Right Mapping Starter Table</w:t>
      </w:r>
    </w:p>
    <w:p>
      <w:pPr>
        <w:pStyle w:val="ListBullet"/>
      </w:pPr>
      <w:r>
        <w:rPr>
          <w:b/>
        </w:rPr>
        <w:t xml:space="preserve">LIFE: </w:t>
      </w:r>
      <w:r>
        <w:t>Article 19 and health-related protections such as Article 38 as likely anchors. Operational interpretation: Life and fundamental health-preserving conditions. Review status: legal review required.</w:t>
      </w:r>
    </w:p>
    <w:p>
      <w:pPr>
        <w:pStyle w:val="ListBullet"/>
      </w:pPr>
      <w:r>
        <w:rPr>
          <w:b/>
        </w:rPr>
        <w:t xml:space="preserve">BODY: </w:t>
      </w:r>
      <w:r>
        <w:t>Articles 19, 20, 38 as likely anchors. Operational interpretation: Inviolability of person, anti-coercive bodily harm, health protection. Review status: legal review required.</w:t>
      </w:r>
    </w:p>
    <w:p>
      <w:pPr>
        <w:pStyle w:val="ListBullet"/>
      </w:pPr>
      <w:r>
        <w:rPr>
          <w:b/>
        </w:rPr>
        <w:t xml:space="preserve">LBTY: </w:t>
      </w:r>
      <w:r>
        <w:t>Articles 20, 22, 23, 24, 25 as likely anchors. Operational interpretation: Bodily liberty, residence, movement, belief, expression and association within local legal structure. Review status: legal review required.</w:t>
      </w:r>
    </w:p>
    <w:p>
      <w:pPr>
        <w:pStyle w:val="ListBullet"/>
      </w:pPr>
      <w:r>
        <w:rPr>
          <w:b/>
        </w:rPr>
        <w:t xml:space="preserve">NEED: </w:t>
      </w:r>
      <w:r>
        <w:t>Articles 32, 34, 35, 38 as likely anchors. Operational interpretation: Property, social security, work, and health-related minimum conditions. Review status: legal review required.</w:t>
      </w:r>
    </w:p>
    <w:p>
      <w:pPr>
        <w:pStyle w:val="ListBullet"/>
      </w:pPr>
      <w:r>
        <w:rPr>
          <w:b/>
        </w:rPr>
        <w:t xml:space="preserve">DIGN: </w:t>
      </w:r>
      <w:r>
        <w:t>Articles 20, 26 as likely anchors. Operational interpretation: Dignity, equality, honor, and non-discriminatory treatment. Review status: legal review required.</w:t>
      </w:r>
    </w:p>
    <w:p>
      <w:pPr>
        <w:pStyle w:val="ListBullet"/>
      </w:pPr>
      <w:r>
        <w:rPr>
          <w:b/>
        </w:rPr>
        <w:t xml:space="preserve">PROC: </w:t>
      </w:r>
      <w:r>
        <w:t>Articles 30, 31 as likely anchors. Operational interpretation: Complaint, denunciation, fair process, and procedural protections. Review status: legal review required.</w:t>
      </w:r>
    </w:p>
    <w:p>
      <w:pPr>
        <w:pStyle w:val="ListBullet"/>
      </w:pPr>
      <w:r>
        <w:rPr>
          <w:b/>
        </w:rPr>
        <w:t xml:space="preserve">INFO: </w:t>
      </w:r>
      <w:r>
        <w:t>Articles 21, 25 as likely anchors. Operational interpretation: Privacy, correspondence, access to information, and expression-related protections. Review status: legal review required.</w:t>
      </w:r>
    </w:p>
    <w:p>
      <w:pPr>
        <w:pStyle w:val="ListBullet"/>
      </w:pPr>
      <w:r>
        <w:rPr>
          <w:b/>
        </w:rPr>
        <w:t xml:space="preserve">ECOL: </w:t>
      </w:r>
      <w:r>
        <w:t>Article 43 as likely anchor. Operational interpretation: Clean environment and environmental protection. Review status: legal review required.</w:t>
      </w:r>
    </w:p>
    <w:p>
      <w:pPr>
        <w:pStyle w:val="Heading1"/>
      </w:pPr>
      <w:r>
        <w:t>6. Emergency / Derogation / Exception Rules</w:t>
      </w:r>
    </w:p>
    <w:p>
      <w:pPr>
        <w:pStyle w:val="ListBullet"/>
      </w:pPr>
      <w:r>
        <w:t>Any rights restriction or emergency posture must be explicitly grounded in applicable law and reviewed locally.</w:t>
      </w:r>
    </w:p>
    <w:p>
      <w:pPr>
        <w:pStyle w:val="ListBullet"/>
      </w:pPr>
      <w:r>
        <w:t>Do not begin with coercive public-authority contexts.</w:t>
      </w:r>
    </w:p>
    <w:p>
      <w:pPr>
        <w:pStyle w:val="ListBullet"/>
      </w:pPr>
      <w:r>
        <w:t>Emergency triage must not bypass NCRC, review, or recourse documentation.</w:t>
      </w:r>
    </w:p>
    <w:p>
      <w:pPr>
        <w:pStyle w:val="Heading1"/>
      </w:pPr>
      <w:r>
        <w:t>7. Contestability and Recourse Localization</w:t>
      </w:r>
    </w:p>
    <w:p>
      <w:pPr>
        <w:pStyle w:val="ListBullet"/>
      </w:pPr>
      <w:r>
        <w:t>Identify administrative complaint channel before launch.</w:t>
      </w:r>
    </w:p>
    <w:p>
      <w:pPr>
        <w:pStyle w:val="ListBullet"/>
      </w:pPr>
      <w:r>
        <w:t>Identify supervisory review authority with real power.</w:t>
      </w:r>
    </w:p>
    <w:p>
      <w:pPr>
        <w:pStyle w:val="ListBullet"/>
      </w:pPr>
      <w:r>
        <w:t>Identify court or legal-review route where applicable.</w:t>
      </w:r>
    </w:p>
    <w:p>
      <w:pPr>
        <w:pStyle w:val="ListBullet"/>
      </w:pPr>
      <w:r>
        <w:t>Recourse usability must be treated as an empirical pilot question, not assumed from formal availability.</w:t>
      </w:r>
    </w:p>
    <w:p>
      <w:pPr>
        <w:pStyle w:val="Heading1"/>
      </w:pPr>
      <w:r>
        <w:t>8. Subgroup and Protected-Group Handling</w:t>
      </w:r>
    </w:p>
    <w:p>
      <w:pPr>
        <w:pStyle w:val="ListBullet"/>
      </w:pPr>
      <w:r>
        <w:t>Confirm what protected or vulnerable categories may be lawfully collected or used.</w:t>
      </w:r>
    </w:p>
    <w:p>
      <w:pPr>
        <w:pStyle w:val="ListBullet"/>
      </w:pPr>
      <w:r>
        <w:t>Where direct demographic data is restricted, use documented substitute harm-detection methods.</w:t>
      </w:r>
    </w:p>
    <w:p>
      <w:pPr>
        <w:pStyle w:val="ListBullet"/>
      </w:pPr>
      <w:r>
        <w:t>Apply data minimization and purpose limitation.</w:t>
      </w:r>
    </w:p>
    <w:p>
      <w:pPr>
        <w:pStyle w:val="Heading1"/>
      </w:pPr>
      <w:r>
        <w:t>9. Stakeholder / Union Scope Mapping Notes</w:t>
      </w:r>
    </w:p>
    <w:p>
      <w:pPr>
        <w:pStyle w:val="ListBullet"/>
      </w:pPr>
      <w:r>
        <w:t>Polity and organization boundaries must be carefully adapted for public institutions.</w:t>
      </w:r>
    </w:p>
    <w:p>
      <w:pPr>
        <w:pStyle w:val="ListBullet"/>
      </w:pPr>
      <w:r>
        <w:t>Formal authority structures should be mapped explicitly, not assumed neutral.</w:t>
      </w:r>
    </w:p>
    <w:p>
      <w:pPr>
        <w:pStyle w:val="ListBullet"/>
      </w:pPr>
      <w:r>
        <w:t>Cross-agency dependencies should be treated as possible containment risks.</w:t>
      </w:r>
    </w:p>
    <w:p>
      <w:pPr>
        <w:pStyle w:val="Heading1"/>
      </w:pPr>
      <w:r>
        <w:t>10. Non-Domination Review</w:t>
      </w:r>
    </w:p>
    <w:p>
      <w:pPr>
        <w:pStyle w:val="ListBullet"/>
      </w:pPr>
      <w:r>
        <w:t>This is a major localization issue for Vietnam pilots.</w:t>
      </w:r>
    </w:p>
    <w:p>
      <w:pPr>
        <w:pStyle w:val="ListBullet"/>
      </w:pPr>
      <w:r>
        <w:t>Do not treat paper process as sufficient evidence of non-domination.</w:t>
      </w:r>
    </w:p>
    <w:p>
      <w:pPr>
        <w:pStyle w:val="ListBullet"/>
      </w:pPr>
      <w:r>
        <w:t>Article 4 and institutional power structure should be addressed in the annex where relevant to reviewability and independence assumptions.</w:t>
      </w:r>
    </w:p>
    <w:p>
      <w:pPr>
        <w:pStyle w:val="Heading1"/>
      </w:pPr>
      <w:r>
        <w:t>11. TRC and Containment Localization Notes</w:t>
      </w:r>
    </w:p>
    <w:p>
      <w:pPr>
        <w:pStyle w:val="ListBullet"/>
      </w:pPr>
      <w:r>
        <w:t>Avoid surveillance normalization, information-control escalation, durable dependency lock-in, and coercive administrative expansion.</w:t>
      </w:r>
    </w:p>
    <w:p>
      <w:pPr>
        <w:pStyle w:val="ListBullet"/>
      </w:pPr>
      <w:r>
        <w:t>Good first pilots should be procedural, procurement-oriented, or service-efficiency oriented.</w:t>
      </w:r>
    </w:p>
    <w:p>
      <w:pPr>
        <w:pStyle w:val="Heading1"/>
      </w:pPr>
      <w:r>
        <w:t>12. Implementation-Defined Parameters for First Pilot</w:t>
      </w:r>
    </w:p>
    <w:p>
      <w:pPr>
        <w:pStyle w:val="ListBullet"/>
      </w:pPr>
      <w:r>
        <w:t>High-impact threshold: set conservatively and approve locally.</w:t>
      </w:r>
    </w:p>
    <w:p>
      <w:pPr>
        <w:pStyle w:val="ListBullet"/>
      </w:pPr>
      <w:r>
        <w:t>Remedy target: must name review authority and time target.</w:t>
      </w:r>
    </w:p>
    <w:p>
      <w:pPr>
        <w:pStyle w:val="ListBullet"/>
      </w:pPr>
      <w:r>
        <w:t>Rollback target: required for digital-service and workflow changes.</w:t>
      </w:r>
    </w:p>
    <w:p>
      <w:pPr>
        <w:pStyle w:val="ListBullet"/>
      </w:pPr>
      <w:r>
        <w:t>Audit cadence: monthly during Phase 1 unless stricter review is required.</w:t>
      </w:r>
    </w:p>
    <w:p>
      <w:pPr>
        <w:pStyle w:val="ListBullet"/>
      </w:pPr>
      <w:r>
        <w:t>Comprehension threshold: must be tested where affected stakeholder understanding is material.</w:t>
      </w:r>
    </w:p>
    <w:p>
      <w:pPr>
        <w:pStyle w:val="ListBullet"/>
      </w:pPr>
      <w:r>
        <w:t>Recourse reconstruction threshold: must be tested by an independent reviewer.</w:t>
      </w:r>
    </w:p>
    <w:p>
      <w:pPr>
        <w:pStyle w:val="Heading1"/>
      </w:pPr>
      <w:r>
        <w:t>13. Translation and Terminology Control</w:t>
      </w:r>
    </w:p>
    <w:p>
      <w:pPr>
        <w:pStyle w:val="ListBullet"/>
      </w:pPr>
      <w:r>
        <w:t>Approved local rendering required for rights floor, non-compensatory, contestability, containment, tail risk, Union Scope, Decision Note, PCC, non-domination, and emergency triage.</w:t>
      </w:r>
    </w:p>
    <w:p>
      <w:pPr>
        <w:pStyle w:val="Heading1"/>
      </w:pPr>
      <w:r>
        <w:t>14. Country-Specific Threat Model</w:t>
      </w:r>
    </w:p>
    <w:p>
      <w:pPr>
        <w:pStyle w:val="ListBullet"/>
      </w:pPr>
      <w:r>
        <w:t>Non-domination risk where review is formally present but weak in practice.</w:t>
      </w:r>
    </w:p>
    <w:p>
      <w:pPr>
        <w:pStyle w:val="ListBullet"/>
      </w:pPr>
      <w:r>
        <w:t>Information-control drift.</w:t>
      </w:r>
    </w:p>
    <w:p>
      <w:pPr>
        <w:pStyle w:val="ListBullet"/>
      </w:pPr>
      <w:r>
        <w:t>Surveillance lock-in through digital-service infrastructure.</w:t>
      </w:r>
    </w:p>
    <w:p>
      <w:pPr>
        <w:pStyle w:val="ListBullet"/>
      </w:pPr>
      <w:r>
        <w:t>Sensitive subgroup data limitations.</w:t>
      </w:r>
    </w:p>
    <w:p>
      <w:pPr>
        <w:pStyle w:val="Heading1"/>
      </w:pPr>
      <w:r>
        <w:t>15. Open Issues Before Pilot Approval</w:t>
      </w:r>
    </w:p>
    <w:p>
      <w:pPr>
        <w:pStyle w:val="ListBullet"/>
      </w:pPr>
      <w:r>
        <w:t>Legal review of constitutional rights mapping.</w:t>
      </w:r>
    </w:p>
    <w:p>
      <w:pPr>
        <w:pStyle w:val="ListBullet"/>
      </w:pPr>
      <w:r>
        <w:t>Operational meaning of independent review in pilot institution.</w:t>
      </w:r>
    </w:p>
    <w:p>
      <w:pPr>
        <w:pStyle w:val="ListBullet"/>
      </w:pPr>
      <w:r>
        <w:t>Lawful subgroup-data strategy.</w:t>
      </w:r>
    </w:p>
    <w:p>
      <w:pPr>
        <w:pStyle w:val="ListBullet"/>
      </w:pPr>
      <w:r>
        <w:t>Complete sample Vietnam Decision Note and PCC before launch.</w:t>
      </w:r>
    </w:p>
    <w:p>
      <w:pPr>
        <w:pStyle w:val="Heading1"/>
      </w:pPr>
      <w:r>
        <w:t>16. Approval Status</w:t>
      </w:r>
    </w:p>
    <w:p>
      <w:pPr>
        <w:pStyle w:val="ListBullet"/>
      </w:pPr>
      <w:r>
        <w:t>Legal review complete: NO</w:t>
      </w:r>
    </w:p>
    <w:p>
      <w:pPr>
        <w:pStyle w:val="ListBullet"/>
      </w:pPr>
      <w:r>
        <w:t>Policy review complete: NO</w:t>
      </w:r>
    </w:p>
    <w:p>
      <w:pPr>
        <w:pStyle w:val="ListBullet"/>
      </w:pPr>
      <w:r>
        <w:t>Technical review complete: NO</w:t>
      </w:r>
    </w:p>
    <w:p>
      <w:pPr>
        <w:pStyle w:val="ListBullet"/>
      </w:pPr>
      <w:r>
        <w:t>Stakeholder review complete: NO</w:t>
      </w:r>
    </w:p>
    <w:p>
      <w:pPr>
        <w:pStyle w:val="ListBullet"/>
      </w:pPr>
      <w:r>
        <w:t>Translation review complete: NO / Not yet applicable</w:t>
      </w:r>
    </w:p>
    <w:p>
      <w:pPr>
        <w:pStyle w:val="ListBullet"/>
      </w:pPr>
      <w:r>
        <w:t>Approved for pilot use: NO, pending review</w:t>
      </w:r>
    </w:p>
    <w:p>
      <w:pPr>
        <w:pStyle w:val="Heading1"/>
      </w:pPr>
      <w:r>
        <w:t>Source Anchors for Reviewer Verification</w:t>
      </w:r>
    </w:p>
    <w:p>
      <w:r>
        <w:t>These anchors help local reviewers verify the legal and institutional mapping. They are not a substitute for local legal advice or official counsel review.</w:t>
      </w:r>
    </w:p>
    <w:p>
      <w:pPr>
        <w:pStyle w:val="ListBullet"/>
      </w:pPr>
      <w:r>
        <w:t>Constitution of the Socialist Republic of Vietnam 2013: English translation source anchor for reviewer convenience only. Official Vietnamese legal texts and local legal review control for operational use. Reference: ConstitutionNet English translation.</w:t>
      </w:r>
    </w:p>
    <w:p/>
    <w:sectPr w:rsidR="00FC693F" w:rsidRPr="0006063C" w:rsidSect="00034616">
      <w:headerReference w:type="default" r:id="rId9"/>
      <w:footerReference w:type="default" r:id="rId10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color w:val="646464"/>
        <w:sz w:val="16"/>
      </w:rPr>
      <w:t>Pilot-grade decision-support material. Not legal advice. Local review required before use.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color w:val="646464"/>
        <w:sz w:val="16"/>
      </w:rPr>
      <w:t>MathGov / RippleLogic Pilot Extension Package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 w:eastAsia="Aptos Display"/>
      <w:b/>
      <w:bCs/>
      <w:color w:val="1F4E79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 Display" w:hAnsi="Aptos Display" w:eastAsia="Aptos Display"/>
      <w:b/>
      <w:bCs/>
      <w:color w:val="1F4E7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 Display" w:hAnsi="Aptos Display" w:eastAsia="Aptos Display"/>
      <w:b/>
      <w:bCs/>
      <w:color w:val="1F4E79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