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80"/>
        <w:jc w:val="center"/>
      </w:pPr>
      <w:r>
        <w:rPr>
          <w:rFonts w:ascii="Arial" w:cs="Arial" w:eastAsia="Arial" w:hAnsi="Arial"/>
          <w:b/>
          <w:bCs/>
          <w:color w:val="1F3864"/>
          <w:sz w:val="52"/>
          <w:szCs w:val="52"/>
        </w:rPr>
        <w:t xml:space="preserve">일치도 평가 기준</w:t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2E75B6"/>
          <w:sz w:val="72"/>
          <w:szCs w:val="72"/>
        </w:rPr>
        <w:t xml:space="preserve">v1.6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595959"/>
          <w:sz w:val="24"/>
          <w:szCs w:val="24"/>
        </w:rPr>
        <w:t xml:space="preserve">기반 방법론: K-Law v13.2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595959"/>
          <w:sz w:val="22"/>
          <w:szCs w:val="22"/>
        </w:rPr>
        <w:t xml:space="preserve">작성일: 2026. 5. 1.</w:t>
      </w:r>
    </w:p>
    <w:p>
      <w:pPr>
        <w:spacing w:after="480" w:before="0"/>
        <w:jc w:val="center"/>
      </w:pPr>
      <w:r>
        <w:rPr>
          <w:rFonts w:ascii="Arial" w:cs="Arial" w:eastAsia="Arial" w:hAnsi="Arial"/>
          <w:color w:val="595959"/>
          <w:sz w:val="22"/>
          <w:szCs w:val="22"/>
        </w:rPr>
        <w:t xml:space="preserve">이전 버전: v1.5 (2026. 4. 27.)</w:t>
      </w:r>
    </w:p>
    <w:p>
      <w:pPr>
        <w:shd w:color="2E75B6" w:val="solid"/>
        <w:spacing w:after="60" w:before="0"/>
        <w:ind w:lef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주요 갱신 (v1.5 → v1.6)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공리 번호 오류 수정: 공리 11 → 공리 G, 공리 19 → 공리 J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절차 참조 수정: 절차 B-7 → STEP B-7 / 구조 이해도 STEP C-7 → C-α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용어 통일: [잠정 결론] → [조건부 결론] (공리 G 용어 정합)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판단 유보 면책 조건 정밀화: 공리 G 결정 회피 방지 장치 연동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세부 논증 평가: A-0-S 의미 해석 완료 여부 반영 기준 추가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다층 검증 모듈 평가 반영: B-5-A/B/C 결과 연동 기준 신설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확신도 가산 연동: B-5-C (3) +1점 트리거와 평가 가산 연계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강제규칙 범위 갱신: 1~13 → 1~16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기반 방법론 갱신: K-Law v9.2 → v13.2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제1장 목적 및 적용 범위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본 기준은 K-Law 방법론에 의해 생성된 가상 판결문과 실제 상위 법원(대법원 등)의 판결문 간 일치도를 체계적으로 평가하기 위해 설계되었다. 평가 결과는 K-Law 방법론의 품질 측정 및 갱신 필요성 판단에 사용된다.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적용 대상:</w:t>
      </w:r>
      <w:r>
        <w:rPr>
          <w:rFonts w:ascii="Arial" w:cs="Arial" w:eastAsia="Arial" w:hAnsi="Arial"/>
          <w:sz w:val="22"/>
          <w:szCs w:val="22"/>
        </w:rPr>
        <w:t xml:space="preserve"> K-Law 가상 판결문과 대응하는 실제 판결문(또는 판례 요약문) 쌍.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적용 방법론:</w:t>
      </w:r>
      <w:r>
        <w:rPr>
          <w:rFonts w:ascii="Arial" w:cs="Arial" w:eastAsia="Arial" w:hAnsi="Arial"/>
          <w:sz w:val="22"/>
          <w:szCs w:val="22"/>
        </w:rPr>
        <w:t xml:space="preserve"> K-Law v13.2 이상. 이전 버전(v12.x 이하)에서 생성된 판결문은 해당 버전 기준으로 평가한다.</w:t>
      </w:r>
      <w:r>
        <w:rPr>
          <w:rFonts w:ascii="Arial" w:cs="Arial" w:eastAsia="Arial" w:hAnsi="Arial"/>
          <w:b/>
          <w:bCs/>
          <w:color w:val="C00000"/>
          <w:sz w:val="18"/>
          <w:szCs w:val="18"/>
        </w:rPr>
        <w:t xml:space="preserve">  [v1.6 수정]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제2장 평가 항목 및 배점 (10점 만점)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8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항목</w:t>
            </w:r>
          </w:p>
        </w:tc>
        <w:tc>
          <w:tcPr>
            <w:tcW w:type="dxa" w:w="12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배점</w:t>
            </w:r>
          </w:p>
        </w:tc>
        <w:tc>
          <w:tcPr>
            <w:tcW w:type="dxa" w:w="50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설명</w:t>
            </w:r>
          </w:p>
        </w:tc>
      </w:tr>
      <w:tr>
        <w:tc>
          <w:tcPr>
            <w:tcW w:type="dxa" w:w="28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결론 방향 일치도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4점</w:t>
            </w:r>
          </w:p>
        </w:tc>
        <w:tc>
          <w:tcPr>
            <w:tcW w:type="dxa" w:w="50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최종 주문(인용, 기각, 각하, 파기, 환송 등)의 방향 일치</w:t>
            </w:r>
          </w:p>
        </w:tc>
      </w:tr>
      <w:tr>
        <w:tc>
          <w:tcPr>
            <w:tcW w:type="dxa" w:w="28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핵심 법리 일치도</w:t>
            </w:r>
          </w:p>
        </w:tc>
        <w:tc>
          <w:tcPr>
            <w:tcW w:type="dxa" w:w="1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3점</w:t>
            </w:r>
          </w:p>
        </w:tc>
        <w:tc>
          <w:tcPr>
            <w:tcW w:type="dxa" w:w="50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사건의 핵심 쟁점에 대한 법리 적용 및 해석의 일치</w:t>
            </w:r>
          </w:p>
        </w:tc>
      </w:tr>
      <w:tr>
        <w:tc>
          <w:tcPr>
            <w:tcW w:type="dxa" w:w="28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세부 논증 일치도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3점</w:t>
            </w:r>
          </w:p>
        </w:tc>
        <w:tc>
          <w:tcPr>
            <w:tcW w:type="dxa" w:w="50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구체적 사실 평가, 논증 구조, 보조 법리, A-0-S 의미 해석 등의 일치</w:t>
            </w:r>
          </w:p>
        </w:tc>
      </w:tr>
      <w:tr>
        <w:tc>
          <w:tcPr>
            <w:tcW w:type="dxa" w:w="28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종합 점수</w:t>
            </w:r>
          </w:p>
        </w:tc>
        <w:tc>
          <w:tcPr>
            <w:tcW w:type="dxa" w:w="1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10점</w:t>
            </w:r>
          </w:p>
        </w:tc>
        <w:tc>
          <w:tcPr>
            <w:tcW w:type="dxa" w:w="50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위 항목 단순 합계 (4+3+3)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세부 논증 일치도(3점)는 v1.6부터 A-0-S 의미 해석 완료 여부를 평가 항목에 포함한다. (→ 제2장 2.1 참조)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2.1 세부 논증 일치도 세부 기준 (v1.6 강화)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세부 논증 3점은 다음 3개 하위 항목으로 구성된다.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하위 항목</w:t>
            </w:r>
          </w:p>
        </w:tc>
        <w:tc>
          <w:tcPr>
            <w:tcW w:type="dxa" w:w="12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배점</w:t>
            </w:r>
          </w:p>
        </w:tc>
        <w:tc>
          <w:tcPr>
            <w:tcW w:type="dxa" w:w="48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평가 기준</w:t>
            </w:r>
          </w:p>
        </w:tc>
      </w:tr>
      <w:tr>
        <w:tc>
          <w:tcPr>
            <w:tcW w:type="dxa" w:w="3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사실 평가·논증 구조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1.5점</w:t>
            </w:r>
          </w:p>
        </w:tc>
        <w:tc>
          <w:tcPr>
            <w:tcW w:type="dxa" w:w="4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구체적 사실 인정, 인과관계 분석, 논증 흐름의 일치</w:t>
            </w:r>
          </w:p>
        </w:tc>
      </w:tr>
      <w:tr>
        <w:tc>
          <w:tcPr>
            <w:tcW w:type="dxa" w:w="30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보조 법리·판례 적용</w:t>
            </w:r>
          </w:p>
        </w:tc>
        <w:tc>
          <w:tcPr>
            <w:tcW w:type="dxa" w:w="1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1.0점</w:t>
            </w:r>
          </w:p>
        </w:tc>
        <w:tc>
          <w:tcPr>
            <w:tcW w:type="dxa" w:w="4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주요 쟁점 외 보조 법리, 입증책임 분배의 일치</w:t>
            </w:r>
          </w:p>
        </w:tc>
      </w:tr>
      <w:tr>
        <w:tc>
          <w:tcPr>
            <w:tcW w:type="dxa" w:w="3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A-0-S 의미 해석 정합성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0.5점</w:t>
            </w:r>
          </w:p>
        </w:tc>
        <w:tc>
          <w:tcPr>
            <w:tcW w:type="dxa" w:w="4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v13.2 STEP A-0-S의 핵심 단어·문구 의미 해석이 실제 판결의 법령 해석과 일치하는지 여부</w:t>
            </w:r>
          </w:p>
        </w:tc>
      </w:tr>
    </w:tbl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A-0-S 의미 해석 정합성(0.5점)은 가상 판결문에 A-0-S 출력이 존재하는 경우에만 평가한다. A-0-S 출력이 누락된 경우는 강제규칙 10 위반으로 별도 기록하고, 이 항목은 N/A 처리한다.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2.2 등급 구분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5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등급</w:t>
            </w:r>
          </w:p>
        </w:tc>
        <w:tc>
          <w:tcPr>
            <w:tcW w:type="dxa" w:w="20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점수 범위</w:t>
            </w:r>
          </w:p>
        </w:tc>
        <w:tc>
          <w:tcPr>
            <w:tcW w:type="dxa" w:w="45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설명</w:t>
            </w:r>
          </w:p>
        </w:tc>
      </w:tr>
      <w:tr>
        <w:tc>
          <w:tcPr>
            <w:tcW w:type="dxa" w:w="25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완전 일치</w:t>
            </w:r>
          </w:p>
        </w:tc>
        <w:tc>
          <w:tcPr>
            <w:tcW w:type="dxa" w:w="2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9.0 ~ 10.0</w:t>
            </w:r>
          </w:p>
        </w:tc>
        <w:tc>
          <w:tcPr>
            <w:tcW w:type="dxa" w:w="45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대체로 일치</w:t>
            </w:r>
          </w:p>
        </w:tc>
        <w:tc>
          <w:tcPr>
            <w:tcW w:type="dxa" w:w="20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7.0 ~ 8.9</w:t>
            </w:r>
          </w:p>
        </w:tc>
        <w:tc>
          <w:tcPr>
            <w:tcW w:type="dxa" w:w="45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부분 일치</w:t>
            </w:r>
          </w:p>
        </w:tc>
        <w:tc>
          <w:tcPr>
            <w:tcW w:type="dxa" w:w="2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5.0 ~ 6.9</w:t>
            </w:r>
          </w:p>
        </w:tc>
        <w:tc>
          <w:tcPr>
            <w:tcW w:type="dxa" w:w="45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불일치</w:t>
            </w:r>
          </w:p>
        </w:tc>
        <w:tc>
          <w:tcPr>
            <w:tcW w:type="dxa" w:w="20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3.0 ~ 4.9</w:t>
            </w:r>
          </w:p>
        </w:tc>
        <w:tc>
          <w:tcPr>
            <w:tcW w:type="dxa" w:w="45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완전 불일치</w:t>
            </w:r>
          </w:p>
        </w:tc>
        <w:tc>
          <w:tcPr>
            <w:tcW w:type="dxa" w:w="2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0.0 ~ 2.9</w:t>
            </w:r>
          </w:p>
        </w:tc>
        <w:tc>
          <w:tcPr>
            <w:tcW w:type="dxa" w:w="45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2.3 다층 검증 모듈(B-5-A/B/C) 평가 반영 기준 (v1.6 신설)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v13.2 STEP B-5-A(역방향 판결 초안), B-5-B(국제 비교 법원칙 검증), B-5-C(통합 비교 분석)의 결과는 다음과 같이 평가에 반영한다.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0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상황</w:t>
            </w:r>
          </w:p>
        </w:tc>
        <w:tc>
          <w:tcPr>
            <w:tcW w:type="dxa" w:w="50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평가 반영</w:t>
            </w:r>
          </w:p>
        </w:tc>
      </w:tr>
      <w:tr>
        <w:tc>
          <w:tcPr>
            <w:tcW w:type="dxa" w:w="4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B-5-A/B 발동 조건 미해당 → [미해당] 1줄 출력</w:t>
            </w:r>
          </w:p>
        </w:tc>
        <w:tc>
          <w:tcPr>
            <w:tcW w:type="dxa" w:w="50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정상 평가. 감점 없음.</w:t>
            </w:r>
          </w:p>
        </w:tc>
      </w:tr>
      <w:tr>
        <w:tc>
          <w:tcPr>
            <w:tcW w:type="dxa" w:w="40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B-5-A/B 발동 조건 해당 → 출력 누락</w:t>
            </w:r>
          </w:p>
        </w:tc>
        <w:tc>
          <w:tcPr>
            <w:tcW w:type="dxa" w:w="50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강제규칙 15 또는 16 위반. 세부 논증 -0.5점.</w:t>
            </w:r>
          </w:p>
        </w:tc>
      </w:tr>
      <w:tr>
        <w:tc>
          <w:tcPr>
            <w:tcW w:type="dxa" w:w="4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B-5-C (1): 역방향+국제 법원칙 모두 K-Law와 상이 → 최종 결론 미수정</w:t>
            </w:r>
          </w:p>
        </w:tc>
        <w:tc>
          <w:tcPr>
            <w:tcW w:type="dxa" w:w="50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결론 방향 점수에서 추가 -0.5점 고려 (평가자 재량).</w:t>
            </w:r>
          </w:p>
        </w:tc>
      </w:tr>
      <w:tr>
        <w:tc>
          <w:tcPr>
            <w:tcW w:type="dxa" w:w="40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B-5-C (3): 모두 동일 → +1점 가산 트리거 발동</w:t>
            </w:r>
          </w:p>
        </w:tc>
        <w:tc>
          <w:tcPr>
            <w:tcW w:type="dxa" w:w="50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세부 논증 +0.5점 가산 가능 (10점 초과 불가).</w:t>
            </w:r>
          </w:p>
        </w:tc>
      </w:tr>
      <w:tr>
        <w:tc>
          <w:tcPr>
            <w:tcW w:type="dxa" w:w="40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B-5-B 국제 법원칙 참조 시 판례 번호 인용</w:t>
            </w:r>
          </w:p>
        </w:tc>
        <w:tc>
          <w:tcPr>
            <w:tcW w:type="dxa" w:w="50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공리 J 허위 판례 차단 위반. 핵심 법리 -0.5점.</w:t>
            </w:r>
          </w:p>
        </w:tc>
      </w:tr>
    </w:tbl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B-5-C (3) +0.5점 가산은 v1.6에서 최초 도입된 유일한 세부 논증 가산 트리거이다.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제3장 정보 부족 처리 및 면책 조항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3.1 판단 유보 면책 (v1.6 정밀화)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K-Law 가상 판결문이 다음 조건 중 하나에 해당하여 특정 쟁점에 대해 확정적 결론을 내리지 않은 경우, 평가 시 해당 쟁점에 대한 감점을 적용하지 않는다.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단, K-Law가 면책 조건을 충족했음을 명시적으로 기록하여야 한다.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3"/>
        <w:shd w:color="D6E4F0" w:val="solid"/>
        <w:spacing w:after="60" w:before="180"/>
      </w:pPr>
      <w:r>
        <w:rPr>
          <w:rFonts w:ascii="Arial" w:cs="Arial" w:eastAsia="Arial" w:hAnsi="Arial"/>
          <w:b/>
          <w:bCs/>
          <w:color w:val="000000"/>
          <w:sz w:val="24"/>
          <w:szCs w:val="24"/>
        </w:rPr>
        <w:t xml:space="preserve">(1) 판단 유보 면책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공리 G 분기표에 따라 사실 확신도 &lt; 4 또는 법리 확신도 &lt; 4인 경우, STEP B-7에서 [판단 유보: 필요 정보 목록]을 출력하고 명확한 필요 정보를 제시한 경우.</w:t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v1.5의 "공리 11 및 절차 B-7" 참조를 "공리 G(정보 불확실성과 확신도) 및 STEP B-7"로 수정.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해당 쟁점에 대한 결론 방향 및 세부 논증 평가 항목은 면책하여 점수에 반영하지 않음.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나머지 쟁점은 정상 평가.</w:t>
      </w:r>
    </w:p>
    <w:p>
      <w:pPr>
        <w:pStyle w:val="Heading3"/>
        <w:shd w:color="D6E4F0" w:val="solid"/>
        <w:spacing w:after="60" w:before="180"/>
      </w:pPr>
      <w:r>
        <w:rPr>
          <w:rFonts w:ascii="Arial" w:cs="Arial" w:eastAsia="Arial" w:hAnsi="Arial"/>
          <w:b/>
          <w:bCs/>
          <w:color w:val="000000"/>
          <w:sz w:val="24"/>
          <w:szCs w:val="24"/>
        </w:rPr>
        <w:t xml:space="preserve">(2) 조건부 결론 면책 (v1.6: 용어 수정)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공리 G 분기표에 따라 사실 확신도 4~6인 경우, STEP B-7에서 [조건부 결론]을 출력한 경우.</w:t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v1.5의 "[잠정 결론]" 용어를 v13.2 공리 G 용어인 "[조건부 결론]"으로 통일.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결론 방향 점수(4점)는 면책하고, 조건부 결론의 법리와 논증만 평가(최대 3점).</w:t>
      </w:r>
    </w:p>
    <w:p>
      <w:pPr>
        <w:pStyle w:val="Heading3"/>
        <w:shd w:color="D6E4F0" w:val="solid"/>
        <w:spacing w:after="60" w:before="180"/>
      </w:pPr>
      <w:r>
        <w:rPr>
          <w:rFonts w:ascii="Arial" w:cs="Arial" w:eastAsia="Arial" w:hAnsi="Arial"/>
          <w:b/>
          <w:bCs/>
          <w:color w:val="000000"/>
          <w:sz w:val="24"/>
          <w:szCs w:val="24"/>
        </w:rPr>
        <w:t xml:space="preserve">(3) 결정 회피 방지 장치와의 관계 (v1.6 신설)</w:t>
      </w:r>
      <w:r>
        <w:rPr>
          <w:rFonts w:ascii="Arial" w:cs="Arial" w:eastAsia="Arial" w:hAnsi="Arial"/>
          <w:b/>
          <w:bCs/>
          <w:color w:val="C00000"/>
          <w:sz w:val="20"/>
          <w:szCs w:val="20"/>
        </w:rPr>
        <w:t xml:space="preserve">  [v1.6 신설]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v13.2 공리 G의 "결정 회피 방지 장치"에 따라 다음 4가지 정보가 모두 제공된 경우에는 판단 유보 면책이 적용되지 않는다.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(a) 청구 취지 및 청구 원인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(b) 당사자 특정 정보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(c) 사건 발생 일시 및 경위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(d) 원심의 판단 요지</w:t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4대 정보가 모두 제공되었음에도 K-Law가 판단을 유보한 경우, 이는 강제규칙 3 위반이므로 면책하지 않고 정상 감점한다.</w:t>
      </w:r>
    </w:p>
    <w:p>
      <w:pPr>
        <w:pStyle w:val="Heading3"/>
        <w:shd w:color="D6E4F0" w:val="solid"/>
        <w:spacing w:after="60" w:before="180"/>
      </w:pPr>
      <w:r>
        <w:rPr>
          <w:rFonts w:ascii="Arial" w:cs="Arial" w:eastAsia="Arial" w:hAnsi="Arial"/>
          <w:b/>
          <w:bCs/>
          <w:color w:val="000000"/>
          <w:sz w:val="24"/>
          <w:szCs w:val="24"/>
        </w:rPr>
        <w:t xml:space="preserve">(4) 완전한 정보 부족으로 전체 평가 불가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사건 요약 자체가 핵심 사실(청구 취지, 당사자, 발생 일시 등)을 전혀 제공하지 않아 K-Law가 어떠한 결론도 내릴 수 없는 경우.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평가자는 "평가 불가"로 표시하고 점수를 부여하지 않는다.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Arial" w:cs="Arial" w:eastAsia="Arial" w:hAnsi="Arial"/>
          <w:sz w:val="22"/>
          <w:szCs w:val="22"/>
        </w:rPr>
        <w:t xml:space="preserve">이 경우 방법론 갱신 통계에서 제외한다.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3.2 판례 미인용 면책 (v1.5 유지)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K-Law 가상 판결문이 실제 판례를 전혀 인용하지 않았더라도 감점 없음. 단, 다음 조건을 만족하여야 한다.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허위 판례 생성 금지: 존재하지 않는 판례번호를 임의로 생성하는 행위는 감점 대상.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판례 부재 시 표준 문구 의무 (공리 J 준수 시 면책): "※ 직접 적용 가능한 판례 없음" 문구 출력 시 면책.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판례 인용의 정확성 평가: 판례를 인용한 경우에만 정확성(판례 번호, 법리 일치 여부)을 평가한다.</w:t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v1.5의 "공리 19 준수 시 면책" 참조를 "공리 J(판례법적 사고) 7항 허위 판례 차단 준수 시 면책"으로 수정.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3.3 정보 부족 가산점 체크리스트 (v1.5 유지)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정보 부족으로 평가가 어려운 경우 아래 체크리스트에 따라 최대 +1.5점 가산.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단, 이 가산점은 면책 조건과 별도로 적용된다.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6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항목</w:t>
            </w:r>
          </w:p>
        </w:tc>
        <w:tc>
          <w:tcPr>
            <w:tcW w:type="dxa" w:w="12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가산점</w:t>
            </w:r>
          </w:p>
        </w:tc>
        <w:tc>
          <w:tcPr>
            <w:tcW w:type="dxa" w:w="42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조건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① 미포착 쟁점이 결론 방향에 직접 영향을 미쳤는가?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-</w:t>
            </w:r>
          </w:p>
        </w:tc>
        <w:tc>
          <w:tcPr>
            <w:tcW w:type="dxa" w:w="42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영향 시 가산 불가</w:t>
            </w:r>
          </w:p>
        </w:tc>
      </w:tr>
      <w:tr>
        <w:tc>
          <w:tcPr>
            <w:tcW w:type="dxa" w:w="36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② K-Law가 정보 부족을 인지하고 추가 정보 요청하였는가?</w:t>
            </w:r>
          </w:p>
        </w:tc>
        <w:tc>
          <w:tcPr>
            <w:tcW w:type="dxa" w:w="1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+0.5점</w:t>
            </w:r>
          </w:p>
        </w:tc>
        <w:tc>
          <w:tcPr>
            <w:tcW w:type="dxa" w:w="42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③ 제공된 사실관계에 해당 정보가 애초에 없었는가?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+0.5점</w:t>
            </w:r>
          </w:p>
        </w:tc>
        <w:tc>
          <w:tcPr>
            <w:tcW w:type="dxa" w:w="42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④ 정보 부족의 정도가 중대한 수준인가?</w:t>
            </w:r>
          </w:p>
        </w:tc>
        <w:tc>
          <w:tcPr>
            <w:tcW w:type="dxa" w:w="1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+1.0점</w:t>
            </w:r>
          </w:p>
        </w:tc>
        <w:tc>
          <w:tcPr>
            <w:tcW w:type="dxa" w:w="42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예: 원심·대법원 판결문 미제공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⑤ 미포착 쟁점이 구조적 부재에 기인하는가?</w:t>
            </w:r>
          </w:p>
        </w:tc>
        <w:tc>
          <w:tcPr>
            <w:tcW w:type="dxa" w:w="1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+0.5점</w:t>
            </w:r>
          </w:p>
        </w:tc>
        <w:tc>
          <w:tcPr>
            <w:tcW w:type="dxa" w:w="42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예: 판결문 자체 미제공</w:t>
            </w:r>
          </w:p>
        </w:tc>
      </w:tr>
    </w:tbl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가산 적용 시 최종 점수 = (결론+법리+논증) + 가산점, 단 10점 초과 불가.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제4장 1심·2심 결론 유추 및 평가 (강제 규칙, v1.5 유지)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실제 심급별 판결문이 제공되지 않은 경우라도, 대법원 판결문만으로 원심 결론을 반드시 유추하여 평가한다.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대법원 결과</w:t>
            </w:r>
          </w:p>
        </w:tc>
        <w:tc>
          <w:tcPr>
            <w:tcW w:type="dxa" w:w="55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원심 결론 유추</w:t>
            </w:r>
          </w:p>
        </w:tc>
      </w:tr>
      <w:tr>
        <w:tc>
          <w:tcPr>
            <w:tcW w:type="dxa" w:w="35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상고인용 + 원심 파기환송</w:t>
            </w:r>
          </w:p>
        </w:tc>
        <w:tc>
          <w:tcPr>
            <w:tcW w:type="dxa" w:w="55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원심 결론 = 대법원 결론의 정반대 방향</w:t>
            </w:r>
          </w:p>
        </w:tc>
      </w:tr>
      <w:tr>
        <w:tc>
          <w:tcPr>
            <w:tcW w:type="dxa" w:w="35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상고기각 (원심 확정)</w:t>
            </w:r>
          </w:p>
        </w:tc>
        <w:tc>
          <w:tcPr>
            <w:tcW w:type="dxa" w:w="55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원심 결론 = 대법원 결론</w:t>
            </w:r>
          </w:p>
        </w:tc>
      </w:tr>
      <w:tr>
        <w:tc>
          <w:tcPr>
            <w:tcW w:type="dxa" w:w="35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상고 각하</w:t>
            </w:r>
          </w:p>
        </w:tc>
        <w:tc>
          <w:tcPr>
            <w:tcW w:type="dxa" w:w="55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원심 결론 평가 불가 (N/A)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유추가 불가능한 경우는 없다. 최소한 결론 방향(4점 또는 0점)은 항상 부여한다.</w:t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단, 사실 데이터 부족 면책 조항(제3장 3.1)에 따라 K-Law가 원심 정보 부족으로 판단 유보한 경우, 해당 심급 평가도 면책된다.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제5장 평가 출력 형식 (v1.6 개정)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평가자는 아래 형식을 반드시 따라야 한다. 모든 점수는 숫자 또는 "N/A", 면책 사항은 "[면책]" 표시.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hd w:color="1F3864" w:val="solid"/>
        <w:spacing w:after="60" w:before="120"/>
        <w:ind w:lef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▶ 필수 출력 형식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항목</w:t>
            </w:r>
          </w:p>
        </w:tc>
        <w:tc>
          <w:tcPr>
            <w:tcW w:type="dxa" w:w="58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형식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다툼의 요지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(2~3문장)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K-Law 가상 판결 vs 대법원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결론 방향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[0-4]점 또는 [면책] / 4점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핵심 법리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[0-3]점 / 3점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세부 논증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[0-3]점 / 3점 (A-0-S 정합성 포함)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A-0-S 의미 해석 정합성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[0-0.5]점 또는 N/A (세부 논증 내 포함)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종합 점수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[0-10]점 또는 [면책] / 10점 (등급: ...)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면책 사유 (있는 경우)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예: 사실 확신도 4 미만으로 판단 유보 / 판례 미인용 / 4대 정보 미제공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  B-5-A/B/C 결과 반영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발동: [해당/미해당] → 감점/가산: [±X점 / 없음]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1심(유추/추정) vs 대법원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동일 형식. 정보 부족 시 N/A.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2심(유추/추정) vs 대법원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동일 형식.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종합 비교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K-Law vs 대법원: X.X점 / 1심: X.X점 / 2심: X.X점 / 더 일치: [K-Law / 1심 / 2심 / 면책]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정보 부족 가산점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적용 여부: [예/아니오] / 체크리스트 ①②③④⑤ / 가산점: +?점 / 최종: X.X점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구조 이해도 반영 (C-α 기준)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C-α 항목 (1)~(10) 완료율 [N/10] / 세부 논증 가감: ±?점 (재량)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방법론 갱신 필요성 분석</w:t>
            </w:r>
          </w:p>
        </w:tc>
        <w:tc>
          <w:tcPr>
            <w:tcW w:type="dxa" w:w="58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종합 점수 &lt; 7 시 필수 / 갱신 트리거 / 미흡 지점 / 개선 제안</w:t>
            </w:r>
          </w:p>
        </w:tc>
      </w:tr>
      <w:tr>
        <w:tc>
          <w:tcPr>
            <w:tcW w:type="dxa" w:w="32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강제규칙 준수 현황</w:t>
            </w:r>
          </w:p>
        </w:tc>
        <w:tc>
          <w:tcPr>
            <w:tcW w:type="dxa" w:w="58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강제규칙 1~16 중 위반 여부: [없음 / 위반 규칙 번호 명시]</w:t>
            </w:r>
          </w:p>
        </w:tc>
      </w:tr>
    </w:tbl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v1.6 수정: 구조 이해도 기준이 "STEP C-7"에서 "C-α (1)~(10) 항목 완료율"로 변경되었다.</w:t>
      </w:r>
    </w:p>
    <w:p>
      <w:pPr>
        <w:spacing w:after="40" w:before="40"/>
        <w:ind w:left="36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※ v1.6 신설: B-5-A/B/C 결과 반영 항목 및 강제규칙 1~16 준수 현황 항목이 추가되었다.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제6장 특별 규정 (v1.5 유지, v1.6 조항 추가)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6.1 면책과 가산점의 관계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면책은 감점을 방지하는 소극적 보호이며, 가산점은 평가자가 정보 부족을 고려해 점수를 높이는 적극적 조치이다. 둘은 함께 사용할 수 있다.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6.2 판례 미인용 완전 면책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v1.5부터 판례 미인용 자체는 어떤 경우에도 감점되지 않는다. 그러나 평가 보고서에는 "판례 인용 여부"를 별도로 기록할 수 있다.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6.3 일치도 저하 통계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면책 처리된 사건은 방법론 갱신 트리거(일치도 평균 7점 미만 등) 계산에서 제외한다. 별도로 "면책 사건 수"와 "정상 평가 사건 수"를 분리 기록한다.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6.4 결정 회피 방지 장치 위반 처리 (v1.6 신설)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4대 정보(청구 취지, 당사자, 발생 일시, 원심 판단 요지)가 모두 제공되었음에도 K-Law가 판단을 유보한 경우, 이는 강제규칙 3 위반 및 공리 G 결정 회피 방지 장치 위반으로 처리한다.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결론 방향 점수: 면책 불가. 정상 채점.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방법론 갱신 보고서: 해당 사건을 "결정 회피 위반" 항목으로 별도 기록.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공리 O 트리거 (p) 발동 여부 검토.</w:t>
      </w:r>
    </w:p>
    <w:p>
      <w:pPr>
        <w:pStyle w:val="Heading2"/>
        <w:shd w:color="2E75B6" w:val="solid"/>
        <w:spacing w:after="8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6.5 다층 검증 모듈 미발동 처리 (v1.6 신설)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B-5-A/B/C 발동 조건에 해당함에도 출력이 누락된 경우: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강제규칙 15 또는 16 위반으로 기록.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세부 논증에서 -0.5점 반영.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방법론 갱신 보고서에 누락 건수 기록 (공리 O 트리거 (x)(y) 발동 기준).</w:t>
      </w:r>
    </w:p>
    <w:p>
      <w:pPr>
        <w:pBdr>
          <w:bottom w:val="single" w:color="2E75B6" w:sz="6"/>
        </w:pBdr>
        <w:spacing w:after="120" w:before="120"/>
      </w:pPr>
      <w:r>
        <w:t xml:space="preserve"/>
      </w:r>
    </w:p>
    <w:p>
      <w:pPr>
        <w:pStyle w:val="Heading1"/>
        <w:shd w:color="1F3864" w:val="solid"/>
        <w:spacing w:after="120" w:before="30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제7장 버전 이력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9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버전</w:t>
            </w:r>
          </w:p>
        </w:tc>
        <w:tc>
          <w:tcPr>
            <w:tcW w:type="dxa" w:w="1400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날짜</w:t>
            </w:r>
          </w:p>
        </w:tc>
        <w:tc>
          <w:tcPr>
            <w:tcW w:type="dxa" w:w="6726"/>
            <w:shd w:color="2E75B6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주요 변경 사항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v1.6</w:t>
            </w:r>
          </w:p>
        </w:tc>
        <w:tc>
          <w:tcPr>
            <w:tcW w:type="dxa" w:w="14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2026. 5. 1.</w:t>
            </w:r>
          </w:p>
        </w:tc>
        <w:tc>
          <w:tcPr>
            <w:tcW w:type="dxa" w:w="67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기반 방법론 K-Law v13.2 반영. 공리 번호 오류 수정(공리 11→G, 공리 19→J). 절차 참조 수정(절차 B-7→STEP B-7, STEP C-7→C-α). 용어 통일([잠정 결론]→[조건부 결론]). 결정 회피 방지 장치 면책 제한 신설. A-0-S 의미 해석 정합성 세부 논증 0.5점 반영. 다층 검증 모듈(B-5-A/B/C) 평가 반영 기준 신설. B-5-C (3) +0.5점 가산 도입. 강제규칙 1~16 준수 현황 출력 항목 신설.</w:t>
            </w:r>
          </w:p>
        </w:tc>
      </w:tr>
      <w:tr>
        <w:tc>
          <w:tcPr>
            <w:tcW w:type="dxa" w:w="9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v1.5</w:t>
            </w:r>
          </w:p>
        </w:tc>
        <w:tc>
          <w:tcPr>
            <w:tcW w:type="dxa" w:w="14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2026. 4. 27.</w:t>
            </w:r>
          </w:p>
        </w:tc>
        <w:tc>
          <w:tcPr>
            <w:tcW w:type="dxa" w:w="67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사실 데이터 부족 판단 불가(유보) 시 면책 조항 신설, 판례 미인용 전면 면책, 출력 형식에 면책 표시 추가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v1.4</w:t>
            </w:r>
          </w:p>
        </w:tc>
        <w:tc>
          <w:tcPr>
            <w:tcW w:type="dxa" w:w="14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2026. 4. 26.</w:t>
            </w:r>
          </w:p>
        </w:tc>
        <w:tc>
          <w:tcPr>
            <w:tcW w:type="dxa" w:w="67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정보 부족 가산점 체크리스트, 1심·2심 유추 강제, 판례 인용 의무화</w:t>
            </w:r>
          </w:p>
        </w:tc>
      </w:tr>
      <w:tr>
        <w:tc>
          <w:tcPr>
            <w:tcW w:type="dxa" w:w="9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v1.3</w:t>
            </w:r>
          </w:p>
        </w:tc>
        <w:tc>
          <w:tcPr>
            <w:tcW w:type="dxa" w:w="1400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2026. 4. 25.</w:t>
            </w:r>
          </w:p>
        </w:tc>
        <w:tc>
          <w:tcPr>
            <w:tcW w:type="dxa" w:w="6726"/>
            <w:shd w:color="EBF3FB" w:val="solid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확신도 이원화 반영, 종합 점수 산출식 수정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v1.0</w:t>
            </w:r>
          </w:p>
        </w:tc>
        <w:tc>
          <w:tcPr>
            <w:tcW w:type="dxa" w:w="1400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2026. 4. 20.</w:t>
            </w:r>
          </w:p>
        </w:tc>
        <w:tc>
          <w:tcPr>
            <w:tcW w:type="dxa" w:w="6726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최초 제정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이 기준은 K-Law 방법론 v13.2 이상과 함께 사용되며, 평가의 공정성과 일관성을 보장한다.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0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0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2026-05-01T10:04:06.016Z</dcterms:created>
  <dcterms:modified xsi:type="dcterms:W3CDTF">2026-05-01T10:04:06.016Z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