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pPr>
      <w:r>
        <w:rPr>
          <w:rFonts w:ascii="Malgun Gothic" w:cs="Malgun Gothic" w:eastAsia="Malgun Gothic" w:hAnsi="Malgun Gothic"/>
          <w:b/>
          <w:bCs/>
          <w:sz w:val="44"/>
          <w:szCs w:val="44"/>
        </w:rPr>
        <w:t xml:space="preserve">일치도 평가 기준</w:t>
      </w:r>
    </w:p>
    <w:p>
      <w:pPr>
        <w:spacing w:after="200"/>
      </w:pPr>
      <w:r>
        <w:rPr>
          <w:rFonts w:ascii="Malgun Gothic" w:cs="Malgun Gothic" w:eastAsia="Malgun Gothic" w:hAnsi="Malgun Gothic"/>
          <w:color w:val="444444"/>
          <w:sz w:val="26"/>
          <w:szCs w:val="26"/>
        </w:rPr>
        <w:t xml:space="preserve">v2.0 (초안) — 표본 단위 벤치마크 프로토콜</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7126"/>
      </w:tblGrid>
      <w:tr>
        <w:trPr>
          <w:tblHeader/>
        </w:trPr>
        <w:tc>
          <w:tcPr>
            <w:tcW w:type="dxa" w:w="19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항목</w:t>
            </w:r>
          </w:p>
        </w:tc>
        <w:tc>
          <w:tcPr>
            <w:tcW w:type="dxa" w:w="71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내용</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작성일</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2026. 9. 24.</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이전 버전</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v1.6 (2026. 5. 1.) — 건별 채점 기준으로 그대로 유지 (제1장 1.2)</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기반 방법론</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 v15.1 (동결 대상과 지문은 제3장)</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적용 대상</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연구·게시용 표본 벤치마크. 제품(desktop.html) 내 건별 평가에는 적용하지 않음</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작성 관여 공개</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초안 작성에 Claude(Anthropic)의 도움을 받았다. Claude 계열 모델(Sonnet 5, Opus 5.5)이 비교 대상에 포함되므로, 확정 전에 작성에 관여하지 않은 독립 검토자의 검토를 받는다.</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상태</w:t>
            </w:r>
          </w:p>
        </w:tc>
        <w:tc>
          <w:tcPr>
            <w:tcW w:type="dxa" w:w="71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초안. 시험 시작 전에 제3장과 부록 A를 확정하고, 확정 이후에는 지표와 절차를 바꾸지 않는다. 변경이 필요하면 이탈 보고로 기록한다.</w:t>
            </w:r>
          </w:p>
        </w:tc>
      </w:tr>
    </w:tbl>
    <w:p>
      <w:pPr>
        <w:spacing w:after="8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BBBBBB" w:sz="4"/>
              <w:bottom w:val="single" w:color="BBBBBB" w:sz="4"/>
              <w:right w:val="single" w:color="BBBBBB" w:sz="4"/>
            </w:tcBorders>
            <w:shd w:fill="FFF4D6" w:color="auto" w:val="clear"/>
            <w:tcMar>
              <w:top w:type="dxa" w:w="110"/>
              <w:left w:type="dxa" w:w="160"/>
              <w:bottom w:type="dxa" w:w="110"/>
              <w:right w:type="dxa" w:w="160"/>
            </w:tcMar>
          </w:tcPr>
          <w:p>
            <w:pPr>
              <w:spacing w:after="50" w:line="280"/>
            </w:pPr>
            <w:r>
              <w:rPr>
                <w:rFonts w:ascii="Malgun Gothic" w:cs="Malgun Gothic" w:eastAsia="Malgun Gothic" w:hAnsi="Malgun Gothic"/>
                <w:b/>
                <w:bCs/>
                <w:sz w:val="19"/>
                <w:szCs w:val="19"/>
              </w:rPr>
              <w:t xml:space="preserve">[면책 문구]</w:t>
            </w:r>
            <w:r>
              <w:rPr>
                <w:rFonts w:ascii="Malgun Gothic" w:cs="Malgun Gothic" w:eastAsia="Malgun Gothic" w:hAnsi="Malgun Gothic"/>
                <w:sz w:val="19"/>
                <w:szCs w:val="19"/>
              </w:rPr>
              <w:t xml:space="preserve"> 이 문서에 수록된 모든 데이터는 자체 실험 결과이며 제3자의 검증을 거치지 않았습니다. 또한 일부는 초안 상태입니다. 따라서 이 문서의 어떠한 내용도 어떠한 용도로도 인용하거나 이용해서는 안 됩니다.</w:t>
            </w:r>
          </w:p>
        </w:tc>
      </w:tr>
    </w:tbl>
    <w:p>
      <w:pPr>
        <w:pStyle w:val="Heading2"/>
        <w:keepNext/>
        <w:spacing w:after="100" w:before="220"/>
      </w:pPr>
      <w:r>
        <w:rPr>
          <w:rFonts w:ascii="Malgun Gothic" w:cs="Malgun Gothic" w:eastAsia="Malgun Gothic" w:hAnsi="Malgun Gothic"/>
          <w:b/>
          <w:bCs/>
        </w:rPr>
        <w:t xml:space="preserve">주요 갱신 (v1.6 → v2.0)</w:t>
      </w:r>
    </w:p>
    <w:p>
      <w:pPr>
        <w:pStyle w:val="ListParagraph"/>
        <w:numPr>
          <w:ilvl w:val="0"/>
          <w:numId w:val="2"/>
        </w:numPr>
        <w:spacing w:after="60" w:line="290"/>
      </w:pPr>
      <w:r>
        <w:rPr>
          <w:rFonts w:ascii="Malgun Gothic" w:cs="Malgun Gothic" w:eastAsia="Malgun Gothic" w:hAnsi="Malgun Gothic"/>
        </w:rPr>
        <w:t xml:space="preserve">건별 10점 채점(v1.6)과 표본 단위 벤치마크 프로토콜(v2.0)을 분리한다.</w:t>
      </w:r>
    </w:p>
    <w:p>
      <w:pPr>
        <w:pStyle w:val="ListParagraph"/>
        <w:numPr>
          <w:ilvl w:val="0"/>
          <w:numId w:val="2"/>
        </w:numPr>
        <w:spacing w:after="60" w:line="290"/>
      </w:pPr>
      <w:r>
        <w:rPr>
          <w:rFonts w:ascii="Malgun Gothic" w:cs="Malgun Gothic" w:eastAsia="Malgun Gothic" w:hAnsi="Malgun Gothic"/>
        </w:rPr>
        <w:t xml:space="preserve">헤드라인 지표를 결론 일치(유지/파기)로 한정하고, 기준선과 95% 신뢰구간을 항상 병기한다.</w:t>
      </w:r>
    </w:p>
    <w:p>
      <w:pPr>
        <w:pStyle w:val="ListParagraph"/>
        <w:numPr>
          <w:ilvl w:val="0"/>
          <w:numId w:val="2"/>
        </w:numPr>
        <w:spacing w:after="60" w:line="290"/>
      </w:pPr>
      <w:r>
        <w:rPr>
          <w:rFonts w:ascii="Malgun Gothic" w:cs="Malgun Gothic" w:eastAsia="Malgun Gothic" w:hAnsi="Malgun Gothic"/>
        </w:rPr>
        <w:t xml:space="preserve">판단 유보는 오답으로 채점하고, 유보 사건을 통계에서 제외하는 조항을 폐기한다.</w:t>
      </w:r>
    </w:p>
    <w:p>
      <w:pPr>
        <w:pStyle w:val="ListParagraph"/>
        <w:numPr>
          <w:ilvl w:val="0"/>
          <w:numId w:val="2"/>
        </w:numPr>
        <w:spacing w:after="60" w:line="290"/>
      </w:pPr>
      <w:r>
        <w:rPr>
          <w:rFonts w:ascii="Malgun Gothic" w:cs="Malgun Gothic" w:eastAsia="Malgun Gothic" w:hAnsi="Malgun Gothic"/>
        </w:rPr>
        <w:t xml:space="preserve">입력을 검토 모드와 독립 모드로 나누고, 1심·2심과의 비교는 독립 모드로만 수행한다.</w:t>
      </w:r>
    </w:p>
    <w:p>
      <w:pPr>
        <w:pStyle w:val="ListParagraph"/>
        <w:numPr>
          <w:ilvl w:val="0"/>
          <w:numId w:val="2"/>
        </w:numPr>
        <w:spacing w:after="60" w:line="290"/>
      </w:pPr>
      <w:r>
        <w:rPr>
          <w:rFonts w:ascii="Malgun Gothic" w:cs="Malgun Gothic" w:eastAsia="Malgun Gothic" w:hAnsi="Malgun Gothic"/>
        </w:rPr>
        <w:t xml:space="preserve">대법원 결과로 원심 결론을 유추하는 규칙을, 실제 1심·2심 판결문 채점으로 대체한다.</w:t>
      </w:r>
    </w:p>
    <w:p>
      <w:pPr>
        <w:pStyle w:val="ListParagraph"/>
        <w:numPr>
          <w:ilvl w:val="0"/>
          <w:numId w:val="2"/>
        </w:numPr>
        <w:spacing w:after="60" w:line="290"/>
      </w:pPr>
      <w:r>
        <w:rPr>
          <w:rFonts w:ascii="Malgun Gothic" w:cs="Malgun Gothic" w:eastAsia="Malgun Gothic" w:hAnsi="Malgun Gothic"/>
        </w:rPr>
        <w:t xml:space="preserve">홀드아웃 표본, 버전 동결, 사전 고정, 오염·누출 통제, 채점자 독립성 규정을 신설한다.</w:t>
      </w:r>
    </w:p>
    <w:p>
      <w:pPr>
        <w:pStyle w:val="ListParagraph"/>
        <w:numPr>
          <w:ilvl w:val="0"/>
          <w:numId w:val="2"/>
        </w:numPr>
        <w:spacing w:after="60" w:line="290"/>
      </w:pPr>
      <w:r>
        <w:rPr>
          <w:rFonts w:ascii="Malgun Gothic" w:cs="Malgun Gothic" w:eastAsia="Malgun Gothic" w:hAnsi="Malgun Gothic"/>
        </w:rPr>
        <w:t xml:space="preserve">모델이 표시하는 확신도와 일치도 예상 수치의 보정(calibration) 평가를 부수 분석으로 추가한다.</w:t>
      </w:r>
    </w:p>
    <w:p>
      <w:pPr>
        <w:pStyle w:val="Heading1"/>
        <w:keepNext/>
        <w:spacing w:after="140" w:before="360"/>
      </w:pPr>
      <w:r>
        <w:rPr>
          <w:rFonts w:ascii="Malgun Gothic" w:cs="Malgun Gothic" w:eastAsia="Malgun Gothic" w:hAnsi="Malgun Gothic"/>
          <w:b/>
          <w:bCs/>
        </w:rPr>
        <w:t xml:space="preserve">제1장 목적과 적용 범위</w:t>
      </w:r>
    </w:p>
    <w:p>
      <w:pPr>
        <w:pStyle w:val="Heading2"/>
        <w:keepNext/>
        <w:spacing w:after="100" w:before="220"/>
      </w:pPr>
      <w:r>
        <w:rPr>
          <w:rFonts w:ascii="Malgun Gothic" w:cs="Malgun Gothic" w:eastAsia="Malgun Gothic" w:hAnsi="Malgun Gothic"/>
          <w:b/>
          <w:bCs/>
        </w:rPr>
        <w:t xml:space="preserve">1.1 목적</w:t>
      </w:r>
    </w:p>
    <w:p>
      <w:pPr>
        <w:spacing w:after="100" w:line="300"/>
      </w:pPr>
      <w:r>
        <w:rPr>
          <w:rFonts w:ascii="Malgun Gothic" w:cs="Malgun Gothic" w:eastAsia="Malgun Gothic" w:hAnsi="Malgun Gothic"/>
        </w:rPr>
        <w:t xml:space="preserve">K-Law와 비교 대상 LLM이 사건 개요만으로 대법원의 결론을 얼마나 재현하는지, 그리고 원심(1심·2심)과 대법원의 결론이 갈린 사건에서 어떠한지를 표본 단위로 측정하고, 그 한계를 결과와 함께 보고한다.</w:t>
      </w:r>
    </w:p>
    <w:p>
      <w:pPr>
        <w:pStyle w:val="Heading2"/>
        <w:keepNext/>
        <w:spacing w:after="100" w:before="220"/>
      </w:pPr>
      <w:r>
        <w:rPr>
          <w:rFonts w:ascii="Malgun Gothic" w:cs="Malgun Gothic" w:eastAsia="Malgun Gothic" w:hAnsi="Malgun Gothic"/>
          <w:b/>
          <w:bCs/>
        </w:rPr>
        <w:t xml:space="preserve">1.2 v1.6과의 관계</w:t>
      </w:r>
    </w:p>
    <w:p>
      <w:pPr>
        <w:spacing w:after="100" w:line="300"/>
      </w:pPr>
      <w:r>
        <w:rPr>
          <w:rFonts w:ascii="Malgun Gothic" w:cs="Malgun Gothic" w:eastAsia="Malgun Gothic" w:hAnsi="Malgun Gothic"/>
        </w:rPr>
        <w:t xml:space="preserve">v1.6은 사용자가 입력한 개별 사건의 가상 판결문과 실제 판결문을 비교하는 건별 채점 기준으로 유지한다. desktop.html이 저장소 루트에서 최신 일치도_평가_기준_v*.docx를 자동으로 불러와 건별 평가 프롬프트에 사용하므로, 이 문서는 그 이름 규칙에 걸리지 않도록 파일명에 _초안을 붙여 두며, 채택 시점에 이름과 적용 범위를 별도로 결정한다.</w:t>
      </w:r>
    </w:p>
    <w:p>
      <w:pPr>
        <w:pStyle w:val="Heading2"/>
        <w:keepNext/>
        <w:spacing w:after="100" w:before="220"/>
      </w:pPr>
      <w:r>
        <w:rPr>
          <w:rFonts w:ascii="Malgun Gothic" w:cs="Malgun Gothic" w:eastAsia="Malgun Gothic" w:hAnsi="Malgun Gothic"/>
          <w:b/>
          <w:bCs/>
        </w:rPr>
        <w:t xml:space="preserve">1.3 해석 원칙</w:t>
      </w:r>
    </w:p>
    <w:p>
      <w:pPr>
        <w:spacing w:after="100" w:line="300"/>
      </w:pPr>
      <w:r>
        <w:rPr>
          <w:rFonts w:ascii="Malgun Gothic" w:cs="Malgun Gothic" w:eastAsia="Malgun Gothic" w:hAnsi="Malgun Gothic"/>
        </w:rPr>
        <w:t xml:space="preserve">방법론 서문은 실제 판결과의 일치도를 방법론 타당성의 검증 지표이며 목표 자체가 아니라고 정한다. 대법원 결론과의 일치는 최종 심급의 판단과 같다는 뜻이지 법리적으로 옳다는 뜻이 아니다. 이 프로토콜의 어떤 결과도 K-Law가 원심보다 법리 판단이 우수하다는 결론의 단독 근거가 될 수 없다(제8장).</w:t>
      </w:r>
    </w:p>
    <w:p>
      <w:pPr>
        <w:pStyle w:val="Heading2"/>
        <w:keepNext/>
        <w:spacing w:after="100" w:before="220"/>
      </w:pPr>
      <w:r>
        <w:rPr>
          <w:rFonts w:ascii="Malgun Gothic" w:cs="Malgun Gothic" w:eastAsia="Malgun Gothic" w:hAnsi="Malgun Gothic"/>
          <w:b/>
          <w:bCs/>
        </w:rPr>
        <w:t xml:space="preserve">1.4 측정하지 않는 것</w:t>
      </w:r>
    </w:p>
    <w:p>
      <w:pPr>
        <w:pStyle w:val="ListParagraph"/>
        <w:numPr>
          <w:ilvl w:val="0"/>
          <w:numId w:val="2"/>
        </w:numPr>
        <w:spacing w:after="60" w:line="290"/>
      </w:pPr>
      <w:r>
        <w:rPr>
          <w:rFonts w:ascii="Malgun Gothic" w:cs="Malgun Gothic" w:eastAsia="Malgun Gothic" w:hAnsi="Malgun Gothic"/>
        </w:rPr>
        <w:t xml:space="preserve">증거조사와 사실인정을 포함한 재판 전체의 능력. 개요는 법원이 확정한 사실관계에서 나오므로 법률 적용 능력만 시험한다.</w:t>
      </w:r>
    </w:p>
    <w:p>
      <w:pPr>
        <w:pStyle w:val="ListParagraph"/>
        <w:numPr>
          <w:ilvl w:val="0"/>
          <w:numId w:val="2"/>
        </w:numPr>
        <w:spacing w:after="60" w:line="290"/>
      </w:pPr>
      <w:r>
        <w:rPr>
          <w:rFonts w:ascii="Malgun Gothic" w:cs="Malgun Gothic" w:eastAsia="Malgun Gothic" w:hAnsi="Malgun Gothic"/>
        </w:rPr>
        <w:t xml:space="preserve">실제 상고 전체 분포에서의 정확도. 표본은 선별 공개된 판례이며 실제 상고 전체와 분포가 다르다.</w:t>
      </w:r>
    </w:p>
    <w:p>
      <w:pPr>
        <w:pStyle w:val="Heading1"/>
        <w:keepNext/>
        <w:spacing w:after="140" w:before="360"/>
      </w:pPr>
      <w:r>
        <w:rPr>
          <w:rFonts w:ascii="Malgun Gothic" w:cs="Malgun Gothic" w:eastAsia="Malgun Gothic" w:hAnsi="Malgun Gothic"/>
          <w:b/>
          <w:bCs/>
        </w:rPr>
        <w:t xml:space="preserve">제2장 표본</w:t>
      </w:r>
    </w:p>
    <w:p>
      <w:pPr>
        <w:pStyle w:val="Heading2"/>
        <w:keepNext/>
        <w:spacing w:after="100" w:before="220"/>
      </w:pPr>
      <w:r>
        <w:rPr>
          <w:rFonts w:ascii="Malgun Gothic" w:cs="Malgun Gothic" w:eastAsia="Malgun Gothic" w:hAnsi="Malgun Gothic"/>
          <w:b/>
          <w:bCs/>
        </w:rPr>
        <w:t xml:space="preserve">2.1 모집단과 수집</w:t>
      </w:r>
    </w:p>
    <w:p>
      <w:pPr>
        <w:spacing w:after="100" w:line="300"/>
      </w:pPr>
      <w:r>
        <w:rPr>
          <w:rFonts w:ascii="Malgun Gothic" w:cs="Malgun Gothic" w:eastAsia="Malgun Gothic" w:hAnsi="Malgun Gothic"/>
        </w:rPr>
        <w:t xml:space="preserve">법제처 국가법령정보 공동활용 Open API의 대법원 출처 민사 판결 중 사건번호가 YYYY다NNN 형식인 상고 판결로 한다. 결정(마·모 등), 상고각하, 심리불속행은 제외한다. 조회 조건, 수집 시각, 조회된 전체 건수를 기록한다.</w:t>
      </w:r>
    </w:p>
    <w:p>
      <w:pPr>
        <w:pStyle w:val="Heading2"/>
        <w:keepNext/>
        <w:spacing w:after="100" w:before="220"/>
      </w:pPr>
      <w:r>
        <w:rPr>
          <w:rFonts w:ascii="Malgun Gothic" w:cs="Malgun Gothic" w:eastAsia="Malgun Gothic" w:hAnsi="Malgun Gothic"/>
          <w:b/>
          <w:bCs/>
        </w:rPr>
        <w:t xml:space="preserve">2.2 균형 구성</w:t>
      </w:r>
    </w:p>
    <w:p>
      <w:pPr>
        <w:pStyle w:val="ListParagraph"/>
        <w:numPr>
          <w:ilvl w:val="0"/>
          <w:numId w:val="2"/>
        </w:numPr>
        <w:spacing w:after="60" w:line="290"/>
      </w:pPr>
      <w:r>
        <w:rPr>
          <w:rFonts w:ascii="Malgun Gothic" w:cs="Malgun Gothic" w:eastAsia="Malgun Gothic" w:hAnsi="Malgun Gothic"/>
        </w:rPr>
        <w:t xml:space="preserve">주표본은 상고기각(유지)과 파기 각 150건으로 한다. 파기는 전부파기환송, 일부파기환송, 파기자판, 파기이송을 포함한다.</w:t>
      </w:r>
    </w:p>
    <w:p>
      <w:pPr>
        <w:pStyle w:val="ListParagraph"/>
        <w:numPr>
          <w:ilvl w:val="0"/>
          <w:numId w:val="2"/>
        </w:numPr>
        <w:spacing w:after="60" w:line="290"/>
      </w:pPr>
      <w:r>
        <w:rPr>
          <w:rFonts w:ascii="Malgun Gothic" w:cs="Malgun Gothic" w:eastAsia="Malgun Gothic" w:hAnsi="Malgun Gothic"/>
        </w:rPr>
        <w:t xml:space="preserve">파기 사건은 세부 유형과 선고 분기로 층화한 난수 추출로 뽑고, 시드를 기록한다. 남은 사건은 예비 풀로 둔다.</w:t>
      </w:r>
    </w:p>
    <w:p>
      <w:pPr>
        <w:pStyle w:val="ListParagraph"/>
        <w:numPr>
          <w:ilvl w:val="0"/>
          <w:numId w:val="2"/>
        </w:numPr>
        <w:spacing w:after="60" w:line="290"/>
      </w:pPr>
      <w:r>
        <w:rPr>
          <w:rFonts w:ascii="Malgun Gothic" w:cs="Malgun Gothic" w:eastAsia="Malgun Gothic" w:hAnsi="Malgun Gothic"/>
        </w:rPr>
        <w:t xml:space="preserve">주표본은 2심 판결문이 확보된 사건으로 한정한다(원심 비교용). 확보에 실패한 사건은 결론 지표 전용 보조 표본으로 따로 집계한다.</w:t>
      </w:r>
    </w:p>
    <w:p>
      <w:pPr>
        <w:pStyle w:val="Heading2"/>
        <w:keepNext/>
        <w:spacing w:after="100" w:before="220"/>
      </w:pPr>
      <w:r>
        <w:rPr>
          <w:rFonts w:ascii="Malgun Gothic" w:cs="Malgun Gothic" w:eastAsia="Malgun Gothic" w:hAnsi="Malgun Gothic"/>
          <w:b/>
          <w:bCs/>
        </w:rPr>
        <w:t xml:space="preserve">2.3 확보 편향 점검</w:t>
      </w:r>
    </w:p>
    <w:p>
      <w:pPr>
        <w:spacing w:after="100" w:line="300"/>
      </w:pPr>
      <w:r>
        <w:rPr>
          <w:rFonts w:ascii="Malgun Gothic" w:cs="Malgun Gothic" w:eastAsia="Malgun Gothic" w:hAnsi="Malgun Gothic"/>
        </w:rPr>
        <w:t xml:space="preserve">2심 판결문의 확보 집단과 미확보 집단을 기각/파기 비율, 선고 시기, 원심 법원, 사건 유형별로 비교해 보고한다. 확보 여부가 결과와 연관되어 있으면 그 사실을 한계로 명시한다.</w:t>
      </w:r>
    </w:p>
    <w:p>
      <w:pPr>
        <w:pStyle w:val="Heading2"/>
        <w:keepNext/>
        <w:spacing w:after="100" w:before="220"/>
      </w:pPr>
      <w:r>
        <w:rPr>
          <w:rFonts w:ascii="Malgun Gothic" w:cs="Malgun Gothic" w:eastAsia="Malgun Gothic" w:hAnsi="Malgun Gothic"/>
          <w:b/>
          <w:bCs/>
        </w:rPr>
        <w:t xml:space="preserve">2.4 중복과 오염</w:t>
      </w:r>
    </w:p>
    <w:p>
      <w:pPr>
        <w:pStyle w:val="ListParagraph"/>
        <w:numPr>
          <w:ilvl w:val="0"/>
          <w:numId w:val="2"/>
        </w:numPr>
        <w:spacing w:after="60" w:line="290"/>
      </w:pPr>
      <w:r>
        <w:rPr>
          <w:rFonts w:ascii="Malgun Gothic" w:cs="Malgun Gothic" w:eastAsia="Malgun Gothic" w:hAnsi="Malgun Gothic"/>
        </w:rPr>
        <w:t xml:space="preserve">이전 벤치마크(2024~2025년 선고 300건)와 회차 배치(방법론 패치 근거 사건)의 사건번호를 대조한다. 겹치는 사건은 주표본에서 제외하거나, 제외할 수 없으면 표시하고 분리 집계한다.</w:t>
      </w:r>
    </w:p>
    <w:p>
      <w:pPr>
        <w:pStyle w:val="ListParagraph"/>
        <w:numPr>
          <w:ilvl w:val="0"/>
          <w:numId w:val="2"/>
        </w:numPr>
        <w:spacing w:after="60" w:line="290"/>
      </w:pPr>
      <w:r>
        <w:rPr>
          <w:rFonts w:ascii="Malgun Gothic" w:cs="Malgun Gothic" w:eastAsia="Malgun Gothic" w:hAnsi="Malgun Gothic"/>
        </w:rPr>
        <w:t xml:space="preserve">대조할 목록이 없으면 그 사실과 중복 가능성을 한계로 기록한다.</w:t>
      </w:r>
    </w:p>
    <w:p>
      <w:pPr>
        <w:pStyle w:val="ListParagraph"/>
        <w:numPr>
          <w:ilvl w:val="0"/>
          <w:numId w:val="2"/>
        </w:numPr>
        <w:spacing w:after="60" w:line="290"/>
      </w:pPr>
      <w:r>
        <w:rPr>
          <w:rFonts w:ascii="Malgun Gothic" w:cs="Malgun Gothic" w:eastAsia="Malgun Gothic" w:hAnsi="Malgun Gothic"/>
        </w:rPr>
        <w:t xml:space="preserve">표본의 사건이 이 프로토콜 확정 이전에 방법론 패치의 근거로 쓰이지 않았음을 확인한다. 확인할 수 없으면 그 사실을 기록한다.</w:t>
      </w:r>
    </w:p>
    <w:p>
      <w:pPr>
        <w:pStyle w:val="Heading2"/>
        <w:keepNext/>
        <w:spacing w:after="100" w:before="220"/>
      </w:pPr>
      <w:r>
        <w:rPr>
          <w:rFonts w:ascii="Malgun Gothic" w:cs="Malgun Gothic" w:eastAsia="Malgun Gothic" w:hAnsi="Malgun Gothic"/>
          <w:b/>
          <w:bCs/>
        </w:rPr>
        <w:t xml:space="preserve">2.5 자연 분포 병기</w:t>
      </w:r>
    </w:p>
    <w:p>
      <w:pPr>
        <w:spacing w:after="100" w:line="300"/>
      </w:pPr>
      <w:r>
        <w:rPr>
          <w:rFonts w:ascii="Malgun Gothic" w:cs="Malgun Gothic" w:eastAsia="Malgun Gothic" w:hAnsi="Malgun Gothic"/>
        </w:rPr>
        <w:t xml:space="preserve">결과는 표본 구성(균형)과 자연 분포로 재가중한 값(부록 C)을 함께 보고한다. 실제 상고의 파기율은 이 문서에서 가정하지 않으며, 근거 있는 값이 없으면 여러 가정치를 표로 제시한다.</w:t>
      </w:r>
    </w:p>
    <w:p>
      <w:pPr>
        <w:pStyle w:val="Heading2"/>
        <w:keepNext/>
        <w:spacing w:after="100" w:before="220"/>
      </w:pPr>
      <w:r>
        <w:rPr>
          <w:rFonts w:ascii="Malgun Gothic" w:cs="Malgun Gothic" w:eastAsia="Malgun Gothic" w:hAnsi="Malgun Gothic"/>
          <w:b/>
          <w:bCs/>
        </w:rPr>
        <w:t xml:space="preserve">2.6 표본 크기와 정밀도</w:t>
      </w:r>
    </w:p>
    <w:p>
      <w:pPr>
        <w:spacing w:after="100" w:line="300"/>
      </w:pPr>
      <w:r>
        <w:rPr>
          <w:rFonts w:ascii="Malgun Gothic" w:cs="Malgun Gothic" w:eastAsia="Malgun Gothic" w:hAnsi="Malgun Gothic"/>
        </w:rPr>
        <w:t xml:space="preserve">부록 B에 표본 크기별 95% 신뢰구간을 둔다. 하위 집단(세부 유형, 법원, 선고 시기)의 결과는 표본이 작으므로 신뢰구간과 함께 탐색적 결과로만 보고한다.</w:t>
      </w:r>
    </w:p>
    <w:p>
      <w:pPr>
        <w:pStyle w:val="Heading1"/>
        <w:keepNext/>
        <w:spacing w:after="140" w:before="360"/>
      </w:pPr>
      <w:r>
        <w:rPr>
          <w:rFonts w:ascii="Malgun Gothic" w:cs="Malgun Gothic" w:eastAsia="Malgun Gothic" w:hAnsi="Malgun Gothic"/>
          <w:b/>
          <w:bCs/>
        </w:rPr>
        <w:t xml:space="preserve">제3장 동결과 사전 고정</w:t>
      </w:r>
    </w:p>
    <w:p>
      <w:pPr>
        <w:pStyle w:val="Heading2"/>
        <w:keepNext/>
        <w:spacing w:after="100" w:before="220"/>
      </w:pPr>
      <w:r>
        <w:rPr>
          <w:rFonts w:ascii="Malgun Gothic" w:cs="Malgun Gothic" w:eastAsia="Malgun Gothic" w:hAnsi="Malgun Gothic"/>
          <w:b/>
          <w:bCs/>
        </w:rPr>
        <w:t xml:space="preserve">3.1 동결 대상</w:t>
      </w:r>
    </w:p>
    <w:p>
      <w:pPr>
        <w:pStyle w:val="ListParagraph"/>
        <w:numPr>
          <w:ilvl w:val="0"/>
          <w:numId w:val="2"/>
        </w:numPr>
        <w:spacing w:after="60" w:line="290"/>
      </w:pPr>
      <w:r>
        <w:rPr>
          <w:rFonts w:ascii="Malgun Gothic" w:cs="Malgun Gothic" w:eastAsia="Malgun Gothic" w:hAnsi="Malgun Gothic"/>
        </w:rPr>
        <w:t xml:space="preserve">K-Law 방법론 파일(klaw_v15_1.md)</w:t>
      </w:r>
    </w:p>
    <w:p>
      <w:pPr>
        <w:pStyle w:val="ListParagraph"/>
        <w:numPr>
          <w:ilvl w:val="0"/>
          <w:numId w:val="2"/>
        </w:numPr>
        <w:spacing w:after="60" w:line="290"/>
      </w:pPr>
      <w:r>
        <w:rPr>
          <w:rFonts w:ascii="Malgun Gothic" w:cs="Malgun Gothic" w:eastAsia="Malgun Gothic" w:hAnsi="Malgun Gothic"/>
        </w:rPr>
        <w:t xml:space="preserve">출력형식 파일(가상판결_출력형식_v13_3.txt, 현행 운영본)</w:t>
      </w:r>
    </w:p>
    <w:p>
      <w:pPr>
        <w:pStyle w:val="ListParagraph"/>
        <w:numPr>
          <w:ilvl w:val="0"/>
          <w:numId w:val="2"/>
        </w:numPr>
        <w:spacing w:after="60" w:line="290"/>
      </w:pPr>
      <w:r>
        <w:rPr>
          <w:rFonts w:ascii="Malgun Gothic" w:cs="Malgun Gothic" w:eastAsia="Malgun Gothic" w:hAnsi="Malgun Gothic"/>
        </w:rPr>
        <w:t xml:space="preserve">프롬프트 조립 로직(desktop.html의 buildKlawSimPrompt)</w:t>
      </w:r>
    </w:p>
    <w:p>
      <w:pPr>
        <w:pStyle w:val="ListParagraph"/>
        <w:numPr>
          <w:ilvl w:val="0"/>
          <w:numId w:val="2"/>
        </w:numPr>
        <w:spacing w:after="60" w:line="290"/>
      </w:pPr>
      <w:r>
        <w:rPr>
          <w:rFonts w:ascii="Malgun Gothic" w:cs="Malgun Gothic" w:eastAsia="Malgun Gothic" w:hAnsi="Malgun Gothic"/>
        </w:rPr>
        <w:t xml:space="preserve">비교 대상 LLM의 모델 식별자와 호출 파라미터(온도, 최대 토큰, 시드)</w:t>
      </w:r>
    </w:p>
    <w:p>
      <w:pPr>
        <w:pStyle w:val="ListParagraph"/>
        <w:numPr>
          <w:ilvl w:val="0"/>
          <w:numId w:val="2"/>
        </w:numPr>
        <w:spacing w:after="60" w:line="290"/>
      </w:pPr>
      <w:r>
        <w:rPr>
          <w:rFonts w:ascii="Malgun Gothic" w:cs="Malgun Gothic" w:eastAsia="Malgun Gothic" w:hAnsi="Malgun Gothic"/>
        </w:rPr>
        <w:t xml:space="preserve">평가 모델과 평가 프롬프트, 개요 작성 모델과 프롬프트, 누출 탐지 모델</w:t>
      </w:r>
    </w:p>
    <w:p>
      <w:pPr>
        <w:pStyle w:val="ListParagraph"/>
        <w:numPr>
          <w:ilvl w:val="0"/>
          <w:numId w:val="2"/>
        </w:numPr>
        <w:spacing w:after="60" w:line="290"/>
      </w:pPr>
      <w:r>
        <w:rPr>
          <w:rFonts w:ascii="Malgun Gothic" w:cs="Malgun Gothic" w:eastAsia="Malgun Gothic" w:hAnsi="Malgun Gothic"/>
        </w:rPr>
        <w:t xml:space="preserve">라벨 규칙과 분석 스크립트(label_civil.ps1 등)</w:t>
      </w:r>
    </w:p>
    <w:p>
      <w:pPr>
        <w:pStyle w:val="Heading2"/>
        <w:keepNext/>
        <w:spacing w:after="100" w:before="220"/>
      </w:pPr>
      <w:r>
        <w:rPr>
          <w:rFonts w:ascii="Malgun Gothic" w:cs="Malgun Gothic" w:eastAsia="Malgun Gothic" w:hAnsi="Malgun Gothic"/>
          <w:b/>
          <w:bCs/>
        </w:rPr>
        <w:t xml:space="preserve">3.2 지문</w:t>
      </w:r>
    </w:p>
    <w:p>
      <w:pPr>
        <w:spacing w:after="100" w:line="300"/>
      </w:pPr>
      <w:r>
        <w:rPr>
          <w:rFonts w:ascii="Malgun Gothic" w:cs="Malgun Gothic" w:eastAsia="Malgun Gothic" w:hAnsi="Malgun Gothic"/>
        </w:rPr>
        <w:t xml:space="preserve">초안 작성 시점(2026. 9. 24.)의 저장소 최신 커밋과 동결 대상 파일의 git blob 해시는 다음과 같다. 시험을 시작할 때 git hash-object &lt;파일&gt;로 다시 계산해 부록 A에 기입하며, 이후 값이 바뀌면 시험을 중단하고 다시 시작한다.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대상</w:t>
            </w:r>
          </w:p>
        </w:tc>
        <w:tc>
          <w:tcPr>
            <w:tcW w:type="dxa" w:w="58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식별값 (초안 작성 시점)</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저장소 커밋</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2742848c2dea514d67bce845e42cd39db242475a</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klaw_v15_1.md</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git blob 3b36a28057ec…</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가상판결_출력형식_v13_3.txt</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git blob ca22a2c652e0…</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desktop.html</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git blob 6bede9bca3f2…</w:t>
            </w:r>
          </w:p>
        </w:tc>
      </w:tr>
    </w:tbl>
    <w:p>
      <w:pPr>
        <w:spacing w:after="80"/>
      </w:pPr>
    </w:p>
    <w:p>
      <w:pPr>
        <w:pStyle w:val="Heading2"/>
        <w:keepNext/>
        <w:spacing w:after="100" w:before="220"/>
      </w:pPr>
      <w:r>
        <w:rPr>
          <w:rFonts w:ascii="Malgun Gothic" w:cs="Malgun Gothic" w:eastAsia="Malgun Gothic" w:hAnsi="Malgun Gothic"/>
          <w:b/>
          <w:bCs/>
        </w:rPr>
        <w:t xml:space="preserve">3.3 시험 중 금지</w:t>
      </w:r>
    </w:p>
    <w:p>
      <w:pPr>
        <w:pStyle w:val="ListParagraph"/>
        <w:numPr>
          <w:ilvl w:val="0"/>
          <w:numId w:val="2"/>
        </w:numPr>
        <w:spacing w:after="60" w:line="290"/>
      </w:pPr>
      <w:r>
        <w:rPr>
          <w:rFonts w:ascii="Malgun Gothic" w:cs="Malgun Gothic" w:eastAsia="Malgun Gothic" w:hAnsi="Malgun Gothic"/>
        </w:rPr>
        <w:t xml:space="preserve">동결 대상의 변경</w:t>
      </w:r>
    </w:p>
    <w:p>
      <w:pPr>
        <w:pStyle w:val="ListParagraph"/>
        <w:numPr>
          <w:ilvl w:val="0"/>
          <w:numId w:val="2"/>
        </w:numPr>
        <w:spacing w:after="60" w:line="290"/>
      </w:pPr>
      <w:r>
        <w:rPr>
          <w:rFonts w:ascii="Malgun Gothic" w:cs="Malgun Gothic" w:eastAsia="Malgun Gothic" w:hAnsi="Malgun Gothic"/>
        </w:rPr>
        <w:t xml:space="preserve">결과를 본 뒤의 지표, 기준선, 제외 규칙 변경</w:t>
      </w:r>
    </w:p>
    <w:p>
      <w:pPr>
        <w:pStyle w:val="ListParagraph"/>
        <w:numPr>
          <w:ilvl w:val="0"/>
          <w:numId w:val="2"/>
        </w:numPr>
        <w:spacing w:after="60" w:line="290"/>
      </w:pPr>
      <w:r>
        <w:rPr>
          <w:rFonts w:ascii="Malgun Gothic" w:cs="Malgun Gothic" w:eastAsia="Malgun Gothic" w:hAnsi="Malgun Gothic"/>
        </w:rPr>
        <w:t xml:space="preserve">사건별 프롬프트 수정. 기술적 오류의 복구를 위한 재실행만 허용하고, 모든 실행 기록을 보존한다.</w:t>
      </w:r>
    </w:p>
    <w:p>
      <w:pPr>
        <w:pStyle w:val="Heading2"/>
        <w:keepNext/>
        <w:spacing w:after="100" w:before="220"/>
      </w:pPr>
      <w:r>
        <w:rPr>
          <w:rFonts w:ascii="Malgun Gothic" w:cs="Malgun Gothic" w:eastAsia="Malgun Gothic" w:hAnsi="Malgun Gothic"/>
          <w:b/>
          <w:bCs/>
        </w:rPr>
        <w:t xml:space="preserve">3.4 이탈 보고</w:t>
      </w:r>
    </w:p>
    <w:p>
      <w:pPr>
        <w:spacing w:after="100" w:line="300"/>
      </w:pPr>
      <w:r>
        <w:rPr>
          <w:rFonts w:ascii="Malgun Gothic" w:cs="Malgun Gothic" w:eastAsia="Malgun Gothic" w:hAnsi="Malgun Gothic"/>
        </w:rPr>
        <w:t xml:space="preserve">불가피한 변경이 생기면 사유, 시각, 영향 범위를 결과와 함께 게시한다.</w:t>
      </w:r>
    </w:p>
    <w:p>
      <w:pPr>
        <w:pStyle w:val="Heading2"/>
        <w:keepNext/>
        <w:spacing w:after="100" w:before="220"/>
      </w:pPr>
      <w:r>
        <w:rPr>
          <w:rFonts w:ascii="Malgun Gothic" w:cs="Malgun Gothic" w:eastAsia="Malgun Gothic" w:hAnsi="Malgun Gothic"/>
          <w:b/>
          <w:bCs/>
        </w:rPr>
        <w:t xml:space="preserve">3.5 현행 운영본 사용</w:t>
      </w:r>
    </w:p>
    <w:p>
      <w:pPr>
        <w:spacing w:after="100" w:line="300"/>
      </w:pPr>
      <w:r>
        <w:rPr>
          <w:rFonts w:ascii="Malgun Gothic" w:cs="Malgun Gothic" w:eastAsia="Malgun Gothic" w:hAnsi="Malgun Gothic"/>
        </w:rPr>
        <w:t xml:space="preserve">시험에는 현행 운영본(출력형식 v13.3)을 그대로 사용해 실제 사용자와 같은 조건을 유지한다. 출력형식 v14.0과 방법론 패치안은 시험이 끝난 뒤 채택 여부를 검토한다.</w:t>
      </w:r>
    </w:p>
    <w:p>
      <w:pPr>
        <w:pStyle w:val="Heading2"/>
        <w:keepNext/>
        <w:spacing w:after="100" w:before="220"/>
      </w:pPr>
      <w:r>
        <w:rPr>
          <w:rFonts w:ascii="Malgun Gothic" w:cs="Malgun Gothic" w:eastAsia="Malgun Gothic" w:hAnsi="Malgun Gothic"/>
          <w:b/>
          <w:bCs/>
        </w:rPr>
        <w:t xml:space="preserve">3.6 비교 대상과 실험 조건</w:t>
      </w:r>
    </w:p>
    <w:p>
      <w:pPr>
        <w:spacing w:after="100" w:line="300"/>
      </w:pPr>
      <w:r>
        <w:rPr>
          <w:rFonts w:ascii="Malgun Gothic" w:cs="Malgun Gothic" w:eastAsia="Malgun Gothic" w:hAnsi="Malgun Gothic"/>
        </w:rPr>
        <w:t xml:space="preserve">비교 대상 모델은 다음 네 가지이다. 식별자와 학습 시점은 시험 시작 전에 공식 문서로 확인해 부록 A에 기입한다.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2700"/>
        <w:gridCol w:w="4026"/>
      </w:tblGrid>
      <w:tr>
        <w:trPr>
          <w:tblHeader/>
        </w:trPr>
        <w:tc>
          <w:tcPr>
            <w:tcW w:type="dxa" w:w="23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모델</w:t>
            </w:r>
          </w:p>
        </w:tc>
        <w:tc>
          <w:tcPr>
            <w:tcW w:type="dxa" w:w="27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API 식별자 (확인 필요)</w:t>
            </w:r>
          </w:p>
        </w:tc>
        <w:tc>
          <w:tcPr>
            <w:tcW w:type="dxa" w:w="40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비고</w:t>
            </w:r>
          </w:p>
        </w:tc>
      </w:tr>
      <w:tr>
        <w:trPr>
          <w:cantSplit/>
        </w:trPr>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 V4 Flash</w:t>
            </w:r>
          </w:p>
        </w:tc>
        <w:tc>
          <w:tcPr>
            <w:tcW w:type="dxa" w:w="2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deepseek-v4-flash</w:t>
            </w:r>
          </w:p>
        </w:tc>
        <w:tc>
          <w:tcPr>
            <w:tcW w:type="dxa" w:w="4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별칭이 갱신될 수 있으므로(예: 0424 미리보기와 0731 업데이트) 호출 시점과 버전을 기록한다.</w:t>
            </w:r>
          </w:p>
        </w:tc>
      </w:tr>
      <w:tr>
        <w:trPr>
          <w:cantSplit/>
        </w:trPr>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 V4 Pro</w:t>
            </w:r>
          </w:p>
        </w:tc>
        <w:tc>
          <w:tcPr>
            <w:tcW w:type="dxa" w:w="2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deepseek-v4-pro</w:t>
            </w:r>
          </w:p>
        </w:tc>
        <w:tc>
          <w:tcPr>
            <w:tcW w:type="dxa" w:w="4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 운영 기본 모델. 위와 같은 기록 필요.</w:t>
            </w:r>
          </w:p>
        </w:tc>
      </w:tr>
      <w:tr>
        <w:trPr>
          <w:cantSplit/>
        </w:trPr>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 Sonnet 5</w:t>
            </w:r>
          </w:p>
        </w:tc>
        <w:tc>
          <w:tcPr>
            <w:tcW w:type="dxa" w:w="2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claude-sonnet-5</w:t>
            </w:r>
          </w:p>
        </w:tc>
        <w:tc>
          <w:tcPr>
            <w:tcW w:type="dxa" w:w="4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이 프로토콜 초안 작성에 관여한 계열</w:t>
            </w:r>
          </w:p>
        </w:tc>
      </w:tr>
      <w:tr>
        <w:trPr>
          <w:cantSplit/>
        </w:trPr>
        <w:tc>
          <w:tcPr>
            <w:tcW w:type="dxa" w:w="2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 Opus 5.5</w:t>
            </w:r>
          </w:p>
        </w:tc>
        <w:tc>
          <w:tcPr>
            <w:tcW w:type="dxa" w:w="2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claude-opus-5-5</w:t>
            </w:r>
          </w:p>
        </w:tc>
        <w:tc>
          <w:tcPr>
            <w:tcW w:type="dxa" w:w="4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이 프로토콜 초안 작성에 관여한 계열</w:t>
            </w:r>
          </w:p>
        </w:tc>
      </w:tr>
    </w:tbl>
    <w:p>
      <w:pPr>
        <w:spacing w:after="80"/>
      </w:pPr>
    </w:p>
    <w:p>
      <w:pPr>
        <w:spacing w:after="100" w:line="300"/>
      </w:pPr>
      <w:r>
        <w:rPr>
          <w:rFonts w:ascii="Malgun Gothic" w:cs="Malgun Gothic" w:eastAsia="Malgun Gothic" w:hAnsi="Malgun Gothic"/>
        </w:rPr>
        <w:t xml:space="preserve">모델마다 다음 조건(arm)을 실행한다. 이로써 K-Law 방법론의 기여와 모델 자체의 능력을 분리한다.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026"/>
      </w:tblGrid>
      <w:tr>
        <w:trPr>
          <w:tblHeader/>
        </w:trPr>
        <w:tc>
          <w:tcPr>
            <w:tcW w:type="dxa" w:w="20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조건</w:t>
            </w:r>
          </w:p>
        </w:tc>
        <w:tc>
          <w:tcPr>
            <w:tcW w:type="dxa" w:w="50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프롬프트</w:t>
            </w:r>
          </w:p>
        </w:tc>
        <w:tc>
          <w:tcPr>
            <w:tcW w:type="dxa" w:w="20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입력 모드</w:t>
            </w:r>
          </w:p>
        </w:tc>
      </w:tr>
      <w:tr>
        <w:trPr>
          <w:cantSplit/>
        </w:trPr>
        <w:tc>
          <w:tcPr>
            <w:tcW w:type="dxa" w:w="2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 검토</w:t>
            </w:r>
          </w:p>
        </w:tc>
        <w:tc>
          <w:tcPr>
            <w:tcW w:type="dxa" w:w="5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방법론 v15.1 + 출력형식(현행 운영본), 운영과 같은 4단계(STEP 0, A, B, C) 호출</w:t>
            </w:r>
          </w:p>
        </w:tc>
        <w:tc>
          <w:tcPr>
            <w:tcW w:type="dxa" w:w="2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검토</w:t>
            </w:r>
          </w:p>
        </w:tc>
      </w:tr>
      <w:tr>
        <w:trPr>
          <w:cantSplit/>
        </w:trPr>
        <w:tc>
          <w:tcPr>
            <w:tcW w:type="dxa" w:w="2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기본 검토</w:t>
            </w:r>
          </w:p>
        </w:tc>
        <w:tc>
          <w:tcPr>
            <w:tcW w:type="dxa" w:w="5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방법론 없이 "사건 개요를 읽고 주문과 이유를 작성하라"는 단일 프롬프트</w:t>
            </w:r>
          </w:p>
        </w:tc>
        <w:tc>
          <w:tcPr>
            <w:tcW w:type="dxa" w:w="2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검토</w:t>
            </w:r>
          </w:p>
        </w:tc>
      </w:tr>
      <w:tr>
        <w:trPr>
          <w:cantSplit/>
        </w:trPr>
        <w:tc>
          <w:tcPr>
            <w:tcW w:type="dxa" w:w="2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 독립</w:t>
            </w:r>
          </w:p>
        </w:tc>
        <w:tc>
          <w:tcPr>
            <w:tcW w:type="dxa" w:w="5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위 K-Law 프롬프트 그대로</w:t>
            </w:r>
          </w:p>
        </w:tc>
        <w:tc>
          <w:tcPr>
            <w:tcW w:type="dxa" w:w="2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독립</w:t>
            </w:r>
          </w:p>
        </w:tc>
      </w:tr>
      <w:tr>
        <w:trPr>
          <w:cantSplit/>
        </w:trPr>
        <w:tc>
          <w:tcPr>
            <w:tcW w:type="dxa" w:w="2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기본 독립</w:t>
            </w:r>
          </w:p>
        </w:tc>
        <w:tc>
          <w:tcPr>
            <w:tcW w:type="dxa" w:w="5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위 기본 프롬프트 그대로</w:t>
            </w:r>
          </w:p>
        </w:tc>
        <w:tc>
          <w:tcPr>
            <w:tcW w:type="dxa" w:w="20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독립</w:t>
            </w:r>
          </w:p>
        </w:tc>
      </w:tr>
    </w:tbl>
    <w:p>
      <w:pPr>
        <w:spacing w:after="80"/>
      </w:pPr>
    </w:p>
    <w:p>
      <w:pPr>
        <w:spacing w:after="100" w:line="300"/>
      </w:pPr>
      <w:r>
        <w:rPr>
          <w:rFonts w:ascii="Malgun Gothic" w:cs="Malgun Gothic" w:eastAsia="Malgun Gothic" w:hAnsi="Malgun Gothic"/>
        </w:rPr>
        <w:t xml:space="preserve">네 모델 × 네 조건 = 16개 arm이다. 300건 기준으로 K-Law arm은 사건당 4회 호출, 기본 arm은 1회 호출이므로 전체 호출은 대략 1만 2천 회이며, 각 K-Law 호출은 방법론과 출력형식(약 4만 자)을 프롬프트로 싣는다. 본 시험 전에 20건 안팎의 시범 실행으로 프롬프트 조립, 결론 추출, 비용과 시간을 점검한다. K-Law Ensemble(다수 모델 토의)은 이번 비교 대상이 아니다.</w:t>
      </w:r>
    </w:p>
    <w:p>
      <w:pPr>
        <w:pStyle w:val="Heading1"/>
        <w:keepNext/>
        <w:spacing w:after="140" w:before="360"/>
      </w:pPr>
      <w:r>
        <w:rPr>
          <w:rFonts w:ascii="Malgun Gothic" w:cs="Malgun Gothic" w:eastAsia="Malgun Gothic" w:hAnsi="Malgun Gothic"/>
          <w:b/>
          <w:bCs/>
        </w:rPr>
        <w:t xml:space="preserve">제4장 입력 모드와 사건 개요</w:t>
      </w:r>
    </w:p>
    <w:p>
      <w:pPr>
        <w:pStyle w:val="Heading2"/>
        <w:keepNext/>
        <w:spacing w:after="100" w:before="220"/>
      </w:pPr>
      <w:r>
        <w:rPr>
          <w:rFonts w:ascii="Malgun Gothic" w:cs="Malgun Gothic" w:eastAsia="Malgun Gothic" w:hAnsi="Malgun Gothic"/>
          <w:b/>
          <w:bCs/>
        </w:rPr>
        <w:t xml:space="preserve">4.1 두 가지 입력 모드</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3900"/>
        <w:gridCol w:w="3726"/>
      </w:tblGrid>
      <w:tr>
        <w:trPr>
          <w:tblHeader/>
        </w:trPr>
        <w:tc>
          <w:tcPr>
            <w:tcW w:type="dxa" w:w="14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모드</w:t>
            </w:r>
          </w:p>
        </w:tc>
        <w:tc>
          <w:tcPr>
            <w:tcW w:type="dxa" w:w="39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입력</w:t>
            </w:r>
          </w:p>
        </w:tc>
        <w:tc>
          <w:tcPr>
            <w:tcW w:type="dxa" w:w="37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용도와 채점</w:t>
            </w:r>
          </w:p>
        </w:tc>
      </w:tr>
      <w:tr>
        <w:trPr>
          <w:cantSplit/>
        </w:trPr>
        <w:tc>
          <w:tcPr>
            <w:tcW w:type="dxa" w:w="1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검토 모드</w:t>
            </w:r>
          </w:p>
        </w:tc>
        <w:tc>
          <w:tcPr>
            <w:tcW w:type="dxa" w:w="3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4대 정보(청구 취지·원인, 당사자, 발생 일시·경위, 원심 판단 요지)를 모두 제공. K-Law 운영 입력과 같다.</w:t>
            </w:r>
          </w:p>
        </w:tc>
        <w:tc>
          <w:tcPr>
            <w:tcW w:type="dxa" w:w="3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상고심 결론(유지/파기) 예측. 판단 유보와 판단 불가는 오답으로 채점한다.</w:t>
            </w:r>
          </w:p>
        </w:tc>
      </w:tr>
      <w:tr>
        <w:trPr>
          <w:cantSplit/>
        </w:trPr>
        <w:tc>
          <w:tcPr>
            <w:tcW w:type="dxa" w:w="1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독립 모드</w:t>
            </w:r>
          </w:p>
        </w:tc>
        <w:tc>
          <w:tcPr>
            <w:tcW w:type="dxa" w:w="3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사실관계와 청구 취지·답변만 제공. 1심·2심·대법원의 판단(결론과 이유)은 모두 제외한다.</w:t>
            </w:r>
          </w:p>
        </w:tc>
        <w:tc>
          <w:tcPr>
            <w:tcW w:type="dxa" w:w="3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1심·2심 결론과의 비교는 이 모드로만 수행한다. 원심 결론이 입력에 있으면 원심을 베껴도 같은 점수가 나오기 때문이다.</w:t>
            </w:r>
          </w:p>
        </w:tc>
      </w:tr>
    </w:tbl>
    <w:p>
      <w:pPr>
        <w:spacing w:after="80"/>
      </w:pPr>
    </w:p>
    <w:p>
      <w:pPr>
        <w:spacing w:after="100" w:line="300"/>
      </w:pPr>
      <w:r>
        <w:rPr>
          <w:rFonts w:ascii="Malgun Gothic" w:cs="Malgun Gothic" w:eastAsia="Malgun Gothic" w:hAnsi="Malgun Gothic"/>
        </w:rPr>
        <w:t xml:space="preserve">동결된 v15.1은 독립 모드를 명시적으로 정의하지 않는다. 독립 모드 실행에서 나오는 판단 불가와 유보는 있는 그대로 오답으로 채점하되 별도 표시한다. 독립 모드를 정의한 방법론 패치안을 적용한 실행은 사후 분석으로 분리해 표기한다.</w:t>
      </w:r>
    </w:p>
    <w:p>
      <w:pPr>
        <w:pStyle w:val="Heading2"/>
        <w:keepNext/>
        <w:spacing w:after="100" w:before="220"/>
      </w:pPr>
      <w:r>
        <w:rPr>
          <w:rFonts w:ascii="Malgun Gothic" w:cs="Malgun Gothic" w:eastAsia="Malgun Gothic" w:hAnsi="Malgun Gothic"/>
          <w:b/>
          <w:bCs/>
        </w:rPr>
        <w:t xml:space="preserve">4.2 사건 개요 작성 원칙</w:t>
      </w:r>
    </w:p>
    <w:p>
      <w:pPr>
        <w:pStyle w:val="ListParagraph"/>
        <w:numPr>
          <w:ilvl w:val="0"/>
          <w:numId w:val="2"/>
        </w:numPr>
        <w:spacing w:after="60" w:line="290"/>
      </w:pPr>
      <w:r>
        <w:rPr>
          <w:rFonts w:ascii="Malgun Gothic" w:cs="Malgun Gothic" w:eastAsia="Malgun Gothic" w:hAnsi="Malgun Gothic"/>
        </w:rPr>
        <w:t xml:space="preserve">출처는 대법원 판결문이며, 확보된 경우 2심·1심 판결문의 사실관계, 청구취지, 당사자 주장을 함께 쓴다. 판단(결론, 이유, 법리 설시)은 제거한다.</w:t>
      </w:r>
    </w:p>
    <w:p>
      <w:pPr>
        <w:pStyle w:val="ListParagraph"/>
        <w:numPr>
          <w:ilvl w:val="0"/>
          <w:numId w:val="2"/>
        </w:numPr>
        <w:spacing w:after="60" w:line="290"/>
      </w:pPr>
      <w:r>
        <w:rPr>
          <w:rFonts w:ascii="Malgun Gothic" w:cs="Malgun Gothic" w:eastAsia="Malgun Gothic" w:hAnsi="Malgun Gothic"/>
        </w:rPr>
        <w:t xml:space="preserve">제거 대상: 주문, 판시사항, 판결요지, 대법원의 판단과 법리 설시, "원심 판단은 정당하다" 같은 결론 암시 문구, 파기·기각·환송·상고를 받아들이는 등의 결과 어휘, 상고이유의 채택 여부, 대법관 명단과 결론 문단.</w:t>
      </w:r>
    </w:p>
    <w:p>
      <w:pPr>
        <w:pStyle w:val="ListParagraph"/>
        <w:numPr>
          <w:ilvl w:val="0"/>
          <w:numId w:val="2"/>
        </w:numPr>
        <w:spacing w:after="60" w:line="290"/>
      </w:pPr>
      <w:r>
        <w:rPr>
          <w:rFonts w:ascii="Malgun Gothic" w:cs="Malgun Gothic" w:eastAsia="Malgun Gothic" w:hAnsi="Malgun Gothic"/>
        </w:rPr>
        <w:t xml:space="preserve">검토 모드에서만 원심 판단 요지(원심 결론과 핵심 논거)를 포함한다. 대법원 판단은 어느 모드에서도 포함하지 않는다.</w:t>
      </w:r>
    </w:p>
    <w:p>
      <w:pPr>
        <w:pStyle w:val="ListParagraph"/>
        <w:numPr>
          <w:ilvl w:val="0"/>
          <w:numId w:val="2"/>
        </w:numPr>
        <w:spacing w:after="60" w:line="290"/>
      </w:pPr>
      <w:r>
        <w:rPr>
          <w:rFonts w:ascii="Malgun Gothic" w:cs="Malgun Gothic" w:eastAsia="Malgun Gothic" w:hAnsi="Malgun Gothic"/>
        </w:rPr>
        <w:t xml:space="preserve">사건번호, 선고일, 재판부, 원심 사건번호와 법원명은 개요에서 제거하고(암기 조회 방지) 심급만 제공한다.</w:t>
      </w:r>
    </w:p>
    <w:p>
      <w:pPr>
        <w:pStyle w:val="ListParagraph"/>
        <w:numPr>
          <w:ilvl w:val="0"/>
          <w:numId w:val="2"/>
        </w:numPr>
        <w:spacing w:after="60" w:line="290"/>
      </w:pPr>
      <w:r>
        <w:rPr>
          <w:rFonts w:ascii="Malgun Gothic" w:cs="Malgun Gothic" w:eastAsia="Malgun Gothic" w:hAnsi="Malgun Gothic"/>
        </w:rPr>
        <w:t xml:space="preserve">상고인과 피상고인 표기는 정규화한다.</w:t>
      </w:r>
    </w:p>
    <w:p>
      <w:pPr>
        <w:pStyle w:val="ListParagraph"/>
        <w:numPr>
          <w:ilvl w:val="0"/>
          <w:numId w:val="2"/>
        </w:numPr>
        <w:spacing w:after="60" w:line="290"/>
      </w:pPr>
      <w:r>
        <w:rPr>
          <w:rFonts w:ascii="Malgun Gothic" w:cs="Malgun Gothic" w:eastAsia="Malgun Gothic" w:hAnsi="Malgun Gothic"/>
        </w:rPr>
        <w:t xml:space="preserve">환송 후 재상고 사건(환송판결 표제)은 환송 사실을 사건 경과로만 기재하고 환송판결의 이유는 제외한다.</w:t>
      </w:r>
    </w:p>
    <w:p>
      <w:pPr>
        <w:pStyle w:val="ListParagraph"/>
        <w:numPr>
          <w:ilvl w:val="0"/>
          <w:numId w:val="2"/>
        </w:numPr>
        <w:spacing w:after="60" w:line="290"/>
      </w:pPr>
      <w:r>
        <w:rPr>
          <w:rFonts w:ascii="Malgun Gothic" w:cs="Malgun Gothic" w:eastAsia="Malgun Gothic" w:hAnsi="Malgun Gothic"/>
        </w:rPr>
        <w:t xml:space="preserve">원문에 없는 사실을 추가하지 않는다. 당사자의 익명 표기는 유지한다.</w:t>
      </w:r>
    </w:p>
    <w:p>
      <w:pPr>
        <w:pStyle w:val="Heading2"/>
        <w:keepNext/>
        <w:spacing w:after="100" w:before="220"/>
      </w:pPr>
      <w:r>
        <w:rPr>
          <w:rFonts w:ascii="Malgun Gothic" w:cs="Malgun Gothic" w:eastAsia="Malgun Gothic" w:hAnsi="Malgun Gothic"/>
          <w:b/>
          <w:bCs/>
        </w:rPr>
        <w:t xml:space="preserve">4.3 누출 검증 (2단계, 사건별 기록)</w:t>
      </w:r>
    </w:p>
    <w:p>
      <w:pPr>
        <w:pStyle w:val="ListParagraph"/>
        <w:numPr>
          <w:ilvl w:val="0"/>
          <w:numId w:val="2"/>
        </w:numPr>
        <w:spacing w:after="60" w:line="290"/>
      </w:pPr>
      <w:r>
        <w:rPr>
          <w:rFonts w:ascii="Malgun Gothic" w:cs="Malgun Gothic" w:eastAsia="Malgun Gothic" w:hAnsi="Malgun Gothic"/>
        </w:rPr>
        <w:t xml:space="preserve">1단계: 결과 어휘, 주문 문구, 결론 암시 표현의 키워드·정규식 검사</w:t>
      </w:r>
    </w:p>
    <w:p>
      <w:pPr>
        <w:pStyle w:val="ListParagraph"/>
        <w:numPr>
          <w:ilvl w:val="0"/>
          <w:numId w:val="2"/>
        </w:numPr>
        <w:spacing w:after="60" w:line="290"/>
      </w:pPr>
      <w:r>
        <w:rPr>
          <w:rFonts w:ascii="Malgun Gothic" w:cs="Malgun Gothic" w:eastAsia="Malgun Gothic" w:hAnsi="Malgun Gothic"/>
        </w:rPr>
        <w:t xml:space="preserve">2단계: 개요 작성 모델과 다른 모델이 개요만 읽고 결과를 추측하게 하는 누출 탐지 프로브. 프로브가 확신을 갖고 맞히면 개요를 다시 쓴다.</w:t>
      </w:r>
    </w:p>
    <w:p>
      <w:pPr>
        <w:pStyle w:val="ListParagraph"/>
        <w:numPr>
          <w:ilvl w:val="0"/>
          <w:numId w:val="2"/>
        </w:numPr>
        <w:spacing w:after="60" w:line="290"/>
      </w:pPr>
      <w:r>
        <w:rPr>
          <w:rFonts w:ascii="Malgun Gothic" w:cs="Malgun Gothic" w:eastAsia="Malgun Gothic" w:hAnsi="Malgun Gothic"/>
        </w:rPr>
        <w:t xml:space="preserve">통과하지 못한 사건은 다시 쓴 뒤 재검증하고, 3회 실패하면 사유와 함께 제외 목록에 기록한다.</w:t>
      </w:r>
    </w:p>
    <w:p>
      <w:pPr>
        <w:pStyle w:val="Heading2"/>
        <w:keepNext/>
        <w:spacing w:after="100" w:before="220"/>
      </w:pPr>
      <w:r>
        <w:rPr>
          <w:rFonts w:ascii="Malgun Gothic" w:cs="Malgun Gothic" w:eastAsia="Malgun Gothic" w:hAnsi="Malgun Gothic"/>
          <w:b/>
          <w:bCs/>
        </w:rPr>
        <w:t xml:space="preserve">4.4 개요 작성 모델의 명시</w:t>
      </w:r>
    </w:p>
    <w:p>
      <w:pPr>
        <w:spacing w:after="100" w:line="300"/>
      </w:pPr>
      <w:r>
        <w:rPr>
          <w:rFonts w:ascii="Malgun Gothic" w:cs="Malgun Gothic" w:eastAsia="Malgun Gothic" w:hAnsi="Malgun Gothic"/>
        </w:rPr>
        <w:t xml:space="preserve">개요 작성, 누출 탐지, 법리 평가에 쓰는 모델은 비교 대상(DeepSeek, Claude) 계열이 아닌 모델(예: GPT, Gemini 계열)로 한다. 표에 각 역할의 모델과 버전을 기재한다. 불가피하게 비교 대상 계열이 쓰이면 그 사실과 잠재적 편향(문체, 힌트)을 결과와 함께 명시한다.</w:t>
      </w:r>
    </w:p>
    <w:p>
      <w:pPr>
        <w:pStyle w:val="Heading2"/>
        <w:keepNext/>
        <w:spacing w:after="100" w:before="220"/>
      </w:pPr>
      <w:r>
        <w:rPr>
          <w:rFonts w:ascii="Malgun Gothic" w:cs="Malgun Gothic" w:eastAsia="Malgun Gothic" w:hAnsi="Malgun Gothic"/>
          <w:b/>
          <w:bCs/>
        </w:rPr>
        <w:t xml:space="preserve">4.5 정보량 기록</w:t>
      </w:r>
    </w:p>
    <w:p>
      <w:pPr>
        <w:spacing w:after="100" w:line="300"/>
      </w:pPr>
      <w:r>
        <w:rPr>
          <w:rFonts w:ascii="Malgun Gothic" w:cs="Malgun Gothic" w:eastAsia="Malgun Gothic" w:hAnsi="Malgun Gothic"/>
        </w:rPr>
        <w:t xml:space="preserve">사건별로 개요 글자 수, 출처(대법원·2심·1심), 사실관계 서술이 일정 분량 미만인지 여부("정보 부족")를 기록하고, 정보량 구간별 결과를 부수 분석으로 보고한다.</w:t>
      </w:r>
    </w:p>
    <w:p>
      <w:pPr>
        <w:pStyle w:val="Heading2"/>
        <w:keepNext/>
        <w:spacing w:after="100" w:before="220"/>
      </w:pPr>
      <w:r>
        <w:rPr>
          <w:rFonts w:ascii="Malgun Gothic" w:cs="Malgun Gothic" w:eastAsia="Malgun Gothic" w:hAnsi="Malgun Gothic"/>
          <w:b/>
          <w:bCs/>
        </w:rPr>
        <w:t xml:space="preserve">4.6 입력 길이 제한</w:t>
      </w:r>
    </w:p>
    <w:p>
      <w:pPr>
        <w:spacing w:after="100" w:line="300"/>
      </w:pPr>
      <w:r>
        <w:rPr>
          <w:rFonts w:ascii="Malgun Gothic" w:cs="Malgun Gothic" w:eastAsia="Malgun Gothic" w:hAnsi="Malgun Gothic"/>
        </w:rPr>
        <w:t xml:space="preserve">운영 입력에 글자 수 제한이 있어 개요가 그것을 넘으면, 요약 규칙을 사전에 정하고 모든 모델에 같은 개요를 제공한다. 제한이 결과에 미친 영향은 기록한다.</w:t>
      </w:r>
    </w:p>
    <w:p>
      <w:pPr>
        <w:pStyle w:val="Heading1"/>
        <w:keepNext/>
        <w:spacing w:after="140" w:before="360"/>
      </w:pPr>
      <w:r>
        <w:rPr>
          <w:rFonts w:ascii="Malgun Gothic" w:cs="Malgun Gothic" w:eastAsia="Malgun Gothic" w:hAnsi="Malgun Gothic"/>
          <w:b/>
          <w:bCs/>
        </w:rPr>
        <w:t xml:space="preserve">제5장 결과 라벨</w:t>
      </w:r>
    </w:p>
    <w:p>
      <w:pPr>
        <w:pStyle w:val="Heading2"/>
        <w:keepNext/>
        <w:spacing w:after="100" w:before="220"/>
      </w:pPr>
      <w:r>
        <w:rPr>
          <w:rFonts w:ascii="Malgun Gothic" w:cs="Malgun Gothic" w:eastAsia="Malgun Gothic" w:hAnsi="Malgun Gothic"/>
          <w:b/>
          <w:bCs/>
        </w:rPr>
        <w:t xml:space="preserve">5.1 대법원 결과 라벨</w:t>
      </w:r>
    </w:p>
    <w:p>
      <w:pPr>
        <w:spacing w:after="100" w:line="300"/>
      </w:pPr>
      <w:r>
        <w:rPr>
          <w:rFonts w:ascii="Malgun Gothic" w:cs="Malgun Gothic" w:eastAsia="Malgun Gothic" w:hAnsi="Malgun Gothic"/>
        </w:rPr>
        <w:t xml:space="preserve">주문 문구에서 규칙 기반으로 자동 부여하고, 확인필요 건은 사람이 확정한다.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1300"/>
        <w:gridCol w:w="5826"/>
      </w:tblGrid>
      <w:tr>
        <w:trPr>
          <w:tblHeader/>
        </w:trPr>
        <w:tc>
          <w:tcPr>
            <w:tcW w:type="dxa" w:w="19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세부 라벨</w:t>
            </w:r>
          </w:p>
        </w:tc>
        <w:tc>
          <w:tcPr>
            <w:tcW w:type="dxa" w:w="13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이분 라벨</w:t>
            </w:r>
          </w:p>
        </w:tc>
        <w:tc>
          <w:tcPr>
            <w:tcW w:type="dxa" w:w="58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기준</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상고기각</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유지</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주문에 "상고를 (모두) 기각"이 있고 "파기"가 없음</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상고각하</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유지</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주문에 "상고를 각하"가 있고 "파기"가 없음</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전부파기환송</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"원심판결을 파기하고 사건을 …에 환송"으로 시작하고 나머지 상고 기각이 없음</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일부파기환송</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원심판결 일부의 파기·환송 (나머지 상고 기각 등 포함)</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파기이송</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"이송한다"가 있음</w:t>
            </w:r>
          </w:p>
        </w:tc>
      </w:tr>
      <w:tr>
        <w:trPr>
          <w:cantSplit/>
        </w:trPr>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파기자판</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w:t>
            </w:r>
          </w:p>
        </w:tc>
        <w:tc>
          <w:tcPr>
            <w:tcW w:type="dxa" w:w="58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파기 후 환송이나 이송 없이 대법원이 직접 주문을 정함</w:t>
            </w:r>
          </w:p>
        </w:tc>
      </w:tr>
    </w:tbl>
    <w:p>
      <w:pPr>
        <w:spacing w:after="80"/>
      </w:pPr>
    </w:p>
    <w:p>
      <w:pPr>
        <w:spacing w:after="100" w:line="300"/>
      </w:pPr>
      <w:r>
        <w:rPr>
          <w:rFonts w:ascii="Malgun Gothic" w:cs="Malgun Gothic" w:eastAsia="Malgun Gothic" w:hAnsi="Malgun Gothic"/>
        </w:rPr>
        <w:t xml:space="preserve">일부파기는 이분 라벨에서 파기로 분류하되 세부 유형을 별도 보고한다.</w:t>
      </w:r>
    </w:p>
    <w:p>
      <w:pPr>
        <w:pStyle w:val="Heading2"/>
        <w:keepNext/>
        <w:spacing w:after="100" w:before="220"/>
      </w:pPr>
      <w:r>
        <w:rPr>
          <w:rFonts w:ascii="Malgun Gothic" w:cs="Malgun Gothic" w:eastAsia="Malgun Gothic" w:hAnsi="Malgun Gothic"/>
          <w:b/>
          <w:bCs/>
        </w:rPr>
        <w:t xml:space="preserve">5.2 종국 방향 라벨 (독립 모드·심급 비교용)</w:t>
      </w:r>
    </w:p>
    <w:p>
      <w:pPr>
        <w:spacing w:after="100" w:line="300"/>
      </w:pPr>
      <w:r>
        <w:rPr>
          <w:rFonts w:ascii="Malgun Gothic" w:cs="Malgun Gothic" w:eastAsia="Malgun Gothic" w:hAnsi="Malgun Gothic"/>
        </w:rPr>
        <w:t xml:space="preserve">원고 청구의 인용 정도를 전부 인용, 일부 인용, 기각·각하로 나눈다. 대법원의 종국 방향은 다음처럼 환산한다.</w:t>
      </w:r>
    </w:p>
    <w:p>
      <w:pPr>
        <w:pStyle w:val="ListParagraph"/>
        <w:numPr>
          <w:ilvl w:val="0"/>
          <w:numId w:val="2"/>
        </w:numPr>
        <w:spacing w:after="60" w:line="290"/>
      </w:pPr>
      <w:r>
        <w:rPr>
          <w:rFonts w:ascii="Malgun Gothic" w:cs="Malgun Gothic" w:eastAsia="Malgun Gothic" w:hAnsi="Malgun Gothic"/>
        </w:rPr>
        <w:t xml:space="preserve">상고기각·상고각하: 원심의 방향과 같다.</w:t>
      </w:r>
    </w:p>
    <w:p>
      <w:pPr>
        <w:pStyle w:val="ListParagraph"/>
        <w:numPr>
          <w:ilvl w:val="0"/>
          <w:numId w:val="2"/>
        </w:numPr>
        <w:spacing w:after="60" w:line="290"/>
      </w:pPr>
      <w:r>
        <w:rPr>
          <w:rFonts w:ascii="Malgun Gothic" w:cs="Malgun Gothic" w:eastAsia="Malgun Gothic" w:hAnsi="Malgun Gothic"/>
        </w:rPr>
        <w:t xml:space="preserve">파기자판: 자판 주문의 실체 결론에 따른다.</w:t>
      </w:r>
    </w:p>
    <w:p>
      <w:pPr>
        <w:pStyle w:val="ListParagraph"/>
        <w:numPr>
          <w:ilvl w:val="0"/>
          <w:numId w:val="2"/>
        </w:numPr>
        <w:spacing w:after="60" w:line="290"/>
      </w:pPr>
      <w:r>
        <w:rPr>
          <w:rFonts w:ascii="Malgun Gothic" w:cs="Malgun Gothic" w:eastAsia="Malgun Gothic" w:hAnsi="Malgun Gothic"/>
        </w:rPr>
        <w:t xml:space="preserve">파기환송·파기이송: 종국 방향이 미확정이므로 "파기" 신호만 쓰고 방향 지표에서는 제외한다.</w:t>
      </w:r>
    </w:p>
    <w:p>
      <w:pPr>
        <w:pStyle w:val="Heading2"/>
        <w:keepNext/>
        <w:spacing w:after="100" w:before="220"/>
      </w:pPr>
      <w:r>
        <w:rPr>
          <w:rFonts w:ascii="Malgun Gothic" w:cs="Malgun Gothic" w:eastAsia="Malgun Gothic" w:hAnsi="Malgun Gothic"/>
          <w:b/>
          <w:bCs/>
        </w:rPr>
        <w:t xml:space="preserve">5.3 1심·2심 결과 라벨</w:t>
      </w:r>
    </w:p>
    <w:p>
      <w:pPr>
        <w:spacing w:after="100" w:line="300"/>
      </w:pPr>
      <w:r>
        <w:rPr>
          <w:rFonts w:ascii="Malgun Gothic" w:cs="Malgun Gothic" w:eastAsia="Malgun Gothic" w:hAnsi="Malgun Gothic"/>
        </w:rPr>
        <w:t xml:space="preserve">판결문 주문에서 인용, 일부 인용, 기각, 각하(소 각하 포함)로 환산한다. 항소기각과 항소인용은 원심 판단에 대한 결과이므로 청구 자체의 인용 정도로 다시 환산한다.</w:t>
      </w:r>
    </w:p>
    <w:p>
      <w:pPr>
        <w:pStyle w:val="Heading2"/>
        <w:keepNext/>
        <w:spacing w:after="100" w:before="220"/>
      </w:pPr>
      <w:r>
        <w:rPr>
          <w:rFonts w:ascii="Malgun Gothic" w:cs="Malgun Gothic" w:eastAsia="Malgun Gothic" w:hAnsi="Malgun Gothic"/>
          <w:b/>
          <w:bCs/>
        </w:rPr>
        <w:t xml:space="preserve">5.4 라벨 검수</w:t>
      </w:r>
    </w:p>
    <w:p>
      <w:pPr>
        <w:pStyle w:val="ListParagraph"/>
        <w:numPr>
          <w:ilvl w:val="0"/>
          <w:numId w:val="2"/>
        </w:numPr>
        <w:spacing w:after="60" w:line="290"/>
      </w:pPr>
      <w:r>
        <w:rPr>
          <w:rFonts w:ascii="Malgun Gothic" w:cs="Malgun Gothic" w:eastAsia="Malgun Gothic" w:hAnsi="Malgun Gothic"/>
        </w:rPr>
        <w:t xml:space="preserve">확인필요, 파기자판, 파기이송, 다수 당사자 사건은 사람이 확정하고, 나머지 무작위 10%를 이중 검수한다. 불일치는 협의로 확정해 기록한다.</w:t>
      </w:r>
    </w:p>
    <w:p>
      <w:pPr>
        <w:pStyle w:val="ListParagraph"/>
        <w:numPr>
          <w:ilvl w:val="0"/>
          <w:numId w:val="2"/>
        </w:numPr>
        <w:spacing w:after="60" w:line="290"/>
      </w:pPr>
      <w:r>
        <w:rPr>
          <w:rFonts w:ascii="Malgun Gothic" w:cs="Malgun Gothic" w:eastAsia="Malgun Gothic" w:hAnsi="Malgun Gothic"/>
        </w:rPr>
        <w:t xml:space="preserve">라벨 확정은 모델의 예측을 보기 전에 끝낸다.</w:t>
      </w:r>
    </w:p>
    <w:p>
      <w:pPr>
        <w:pStyle w:val="Heading1"/>
        <w:keepNext/>
        <w:spacing w:after="140" w:before="360"/>
      </w:pPr>
      <w:r>
        <w:rPr>
          <w:rFonts w:ascii="Malgun Gothic" w:cs="Malgun Gothic" w:eastAsia="Malgun Gothic" w:hAnsi="Malgun Gothic"/>
          <w:b/>
          <w:bCs/>
        </w:rPr>
        <w:t xml:space="preserve">제6장 지표</w:t>
      </w:r>
    </w:p>
    <w:p>
      <w:pPr>
        <w:pStyle w:val="Heading2"/>
        <w:keepNext/>
        <w:spacing w:after="100" w:before="220"/>
      </w:pPr>
      <w:r>
        <w:rPr>
          <w:rFonts w:ascii="Malgun Gothic" w:cs="Malgun Gothic" w:eastAsia="Malgun Gothic" w:hAnsi="Malgun Gothic"/>
          <w:b/>
          <w:bCs/>
        </w:rPr>
        <w:t xml:space="preserve">6.1 (A) 결론 지표 — 헤드라인</w:t>
      </w:r>
    </w:p>
    <w:p>
      <w:pPr>
        <w:pStyle w:val="ListParagraph"/>
        <w:numPr>
          <w:ilvl w:val="0"/>
          <w:numId w:val="2"/>
        </w:numPr>
        <w:spacing w:after="60" w:line="290"/>
      </w:pPr>
      <w:r>
        <w:rPr>
          <w:rFonts w:ascii="Malgun Gothic" w:cs="Malgun Gothic" w:eastAsia="Malgun Gothic" w:hAnsi="Malgun Gothic"/>
          <w:b/>
          <w:bCs/>
        </w:rPr>
        <w:t xml:space="preserve">정확도</w:t>
      </w:r>
      <w:r>
        <w:rPr>
          <w:rFonts w:ascii="Malgun Gothic" w:cs="Malgun Gothic" w:eastAsia="Malgun Gothic" w:hAnsi="Malgun Gothic"/>
        </w:rPr>
        <w:t xml:space="preserve">: 이분 라벨(유지/파기)이 실제와 일치하는 비율. 분모는 표본 전체이며 판단 유보·불가·형식 오류는 오답이다.</w:t>
      </w:r>
    </w:p>
    <w:p>
      <w:pPr>
        <w:pStyle w:val="ListParagraph"/>
        <w:numPr>
          <w:ilvl w:val="0"/>
          <w:numId w:val="2"/>
        </w:numPr>
        <w:spacing w:after="60" w:line="290"/>
      </w:pPr>
      <w:r>
        <w:rPr>
          <w:rFonts w:ascii="Malgun Gothic" w:cs="Malgun Gothic" w:eastAsia="Malgun Gothic" w:hAnsi="Malgun Gothic"/>
          <w:b/>
          <w:bCs/>
        </w:rPr>
        <w:t xml:space="preserve">민감도</w:t>
      </w:r>
      <w:r>
        <w:rPr>
          <w:rFonts w:ascii="Malgun Gothic" w:cs="Malgun Gothic" w:eastAsia="Malgun Gothic" w:hAnsi="Malgun Gothic"/>
        </w:rPr>
        <w:t xml:space="preserve">(파기 탐지율), </w:t>
      </w:r>
      <w:r>
        <w:rPr>
          <w:rFonts w:ascii="Malgun Gothic" w:cs="Malgun Gothic" w:eastAsia="Malgun Gothic" w:hAnsi="Malgun Gothic"/>
          <w:b/>
          <w:bCs/>
        </w:rPr>
        <w:t xml:space="preserve">특이도</w:t>
      </w:r>
      <w:r>
        <w:rPr>
          <w:rFonts w:ascii="Malgun Gothic" w:cs="Malgun Gothic" w:eastAsia="Malgun Gothic" w:hAnsi="Malgun Gothic"/>
        </w:rPr>
        <w:t xml:space="preserve">(유지 인정률), </w:t>
      </w:r>
      <w:r>
        <w:rPr>
          <w:rFonts w:ascii="Malgun Gothic" w:cs="Malgun Gothic" w:eastAsia="Malgun Gothic" w:hAnsi="Malgun Gothic"/>
          <w:b/>
          <w:bCs/>
        </w:rPr>
        <w:t xml:space="preserve">균형정확도</w:t>
      </w:r>
    </w:p>
    <w:p>
      <w:pPr>
        <w:pStyle w:val="ListParagraph"/>
        <w:numPr>
          <w:ilvl w:val="0"/>
          <w:numId w:val="2"/>
        </w:numPr>
        <w:spacing w:after="60" w:line="290"/>
      </w:pPr>
      <w:r>
        <w:rPr>
          <w:rFonts w:ascii="Malgun Gothic" w:cs="Malgun Gothic" w:eastAsia="Malgun Gothic" w:hAnsi="Malgun Gothic"/>
          <w:b/>
          <w:bCs/>
        </w:rPr>
        <w:t xml:space="preserve">기준선</w:t>
      </w:r>
      <w:r>
        <w:rPr>
          <w:rFonts w:ascii="Malgun Gothic" w:cs="Malgun Gothic" w:eastAsia="Malgun Gothic" w:hAnsi="Malgun Gothic"/>
        </w:rPr>
        <w:t xml:space="preserve">: 항상 파기, 항상 유지(원심 결론 그대로), 무작위 50%. 모든 결과에 기준선 대비 차이(%p)와 Wilson 95% 신뢰구간을 병기한다.</w:t>
      </w:r>
    </w:p>
    <w:p>
      <w:pPr>
        <w:pStyle w:val="ListParagraph"/>
        <w:numPr>
          <w:ilvl w:val="0"/>
          <w:numId w:val="2"/>
        </w:numPr>
        <w:spacing w:after="60" w:line="290"/>
      </w:pPr>
      <w:r>
        <w:rPr>
          <w:rFonts w:ascii="Malgun Gothic" w:cs="Malgun Gothic" w:eastAsia="Malgun Gothic" w:hAnsi="Malgun Gothic"/>
          <w:b/>
          <w:bCs/>
        </w:rPr>
        <w:t xml:space="preserve">세부 유형 정확도</w:t>
      </w:r>
      <w:r>
        <w:rPr>
          <w:rFonts w:ascii="Malgun Gothic" w:cs="Malgun Gothic" w:eastAsia="Malgun Gothic" w:hAnsi="Malgun Gothic"/>
        </w:rPr>
        <w:t xml:space="preserve">와 </w:t>
      </w:r>
      <w:r>
        <w:rPr>
          <w:rFonts w:ascii="Malgun Gothic" w:cs="Malgun Gothic" w:eastAsia="Malgun Gothic" w:hAnsi="Malgun Gothic"/>
          <w:b/>
          <w:bCs/>
        </w:rPr>
        <w:t xml:space="preserve">종국 방향 일치</w:t>
      </w:r>
      <w:r>
        <w:rPr>
          <w:rFonts w:ascii="Malgun Gothic" w:cs="Malgun Gothic" w:eastAsia="Malgun Gothic" w:hAnsi="Malgun Gothic"/>
        </w:rPr>
        <w:t xml:space="preserve">(독립 모드, 방향 확정 사건 한정): 참고 지표</w:t>
      </w:r>
    </w:p>
    <w:p>
      <w:pPr>
        <w:pStyle w:val="ListParagraph"/>
        <w:numPr>
          <w:ilvl w:val="0"/>
          <w:numId w:val="2"/>
        </w:numPr>
        <w:spacing w:after="60" w:line="290"/>
      </w:pPr>
      <w:r>
        <w:rPr>
          <w:rFonts w:ascii="Malgun Gothic" w:cs="Malgun Gothic" w:eastAsia="Malgun Gothic" w:hAnsi="Malgun Gothic"/>
          <w:b/>
          <w:bCs/>
        </w:rPr>
        <w:t xml:space="preserve">커버리지</w:t>
      </w:r>
      <w:r>
        <w:rPr>
          <w:rFonts w:ascii="Malgun Gothic" w:cs="Malgun Gothic" w:eastAsia="Malgun Gothic" w:hAnsi="Malgun Gothic"/>
        </w:rPr>
        <w:t xml:space="preserve">: 판단 유보·불가의 비율. 유보를 제외한 선택적 정확도는 참고로만 병기한다.</w:t>
      </w:r>
    </w:p>
    <w:p>
      <w:pPr>
        <w:pStyle w:val="ListParagraph"/>
        <w:numPr>
          <w:ilvl w:val="0"/>
          <w:numId w:val="2"/>
        </w:numPr>
        <w:spacing w:after="60" w:line="290"/>
      </w:pPr>
      <w:r>
        <w:rPr>
          <w:rFonts w:ascii="Malgun Gothic" w:cs="Malgun Gothic" w:eastAsia="Malgun Gothic" w:hAnsi="Malgun Gothic"/>
          <w:b/>
          <w:bCs/>
        </w:rPr>
        <w:t xml:space="preserve">쌍대 비교</w:t>
      </w:r>
      <w:r>
        <w:rPr>
          <w:rFonts w:ascii="Malgun Gothic" w:cs="Malgun Gothic" w:eastAsia="Malgun Gothic" w:hAnsi="Malgun Gothic"/>
        </w:rPr>
        <w:t xml:space="preserve">: 같은 사건에서 두 주체의 정오를 맞대어 McNemar 검정(정확 이항)으로 비교한다.</w:t>
      </w:r>
    </w:p>
    <w:p>
      <w:pPr>
        <w:pStyle w:val="Heading2"/>
        <w:keepNext/>
        <w:spacing w:after="100" w:before="220"/>
      </w:pPr>
      <w:r>
        <w:rPr>
          <w:rFonts w:ascii="Malgun Gothic" w:cs="Malgun Gothic" w:eastAsia="Malgun Gothic" w:hAnsi="Malgun Gothic"/>
          <w:b/>
          <w:bCs/>
        </w:rPr>
        <w:t xml:space="preserve">6.2 (B) 법리 지표 — 보조</w:t>
      </w:r>
    </w:p>
    <w:p>
      <w:pPr>
        <w:pStyle w:val="ListParagraph"/>
        <w:numPr>
          <w:ilvl w:val="0"/>
          <w:numId w:val="2"/>
        </w:numPr>
        <w:spacing w:after="60" w:line="290"/>
      </w:pPr>
      <w:r>
        <w:rPr>
          <w:rFonts w:ascii="Malgun Gothic" w:cs="Malgun Gothic" w:eastAsia="Malgun Gothic" w:hAnsi="Malgun Gothic"/>
        </w:rPr>
        <w:t xml:space="preserve">정답셋: 대법원 이유에서 핵심 쟁점 1~3개를 추출한다. 추출자는 예측 결과를 보기 전에 정하고, 모델 추출은 사람이 검수한다.</w:t>
      </w:r>
    </w:p>
    <w:p>
      <w:pPr>
        <w:pStyle w:val="ListParagraph"/>
        <w:numPr>
          <w:ilvl w:val="0"/>
          <w:numId w:val="2"/>
        </w:numPr>
        <w:spacing w:after="60" w:line="290"/>
      </w:pPr>
      <w:r>
        <w:rPr>
          <w:rFonts w:ascii="Malgun Gothic" w:cs="Malgun Gothic" w:eastAsia="Malgun Gothic" w:hAnsi="Malgun Gothic"/>
        </w:rPr>
        <w:t xml:space="preserve">채점 항목: 쟁점 식별(0/1), 방향 일치(0/1), 파기 사건은 원심의 오류 지점 포착(0/1)</w:t>
      </w:r>
    </w:p>
    <w:p>
      <w:pPr>
        <w:pStyle w:val="ListParagraph"/>
        <w:numPr>
          <w:ilvl w:val="0"/>
          <w:numId w:val="2"/>
        </w:numPr>
        <w:spacing w:after="60" w:line="290"/>
      </w:pPr>
      <w:r>
        <w:rPr>
          <w:rFonts w:ascii="Malgun Gothic" w:cs="Malgun Gothic" w:eastAsia="Malgun Gothic" w:hAnsi="Malgun Gothic"/>
        </w:rPr>
        <w:t xml:space="preserve">사건별 총점이 아니라 항목별 비율로 보고한다.</w:t>
      </w:r>
    </w:p>
    <w:p>
      <w:pPr>
        <w:pStyle w:val="Heading2"/>
        <w:keepNext/>
        <w:spacing w:after="100" w:before="220"/>
      </w:pPr>
      <w:r>
        <w:rPr>
          <w:rFonts w:ascii="Malgun Gothic" w:cs="Malgun Gothic" w:eastAsia="Malgun Gothic" w:hAnsi="Malgun Gothic"/>
          <w:b/>
          <w:bCs/>
        </w:rPr>
        <w:t xml:space="preserve">6.3 (C) 방법론 준수도 — 내부 품질관리</w:t>
      </w:r>
    </w:p>
    <w:p>
      <w:pPr>
        <w:spacing w:after="100" w:line="300"/>
      </w:pPr>
      <w:r>
        <w:rPr>
          <w:rFonts w:ascii="Malgun Gothic" w:cs="Malgun Gothic" w:eastAsia="Malgun Gothic" w:hAnsi="Malgun Gothic"/>
        </w:rPr>
        <w:t xml:space="preserve">강제규칙 위반, 모듈 미출력, 형식 오류를 기록한다. 일치도에 합산하지 않는다. v1.6의 가산·감점 조항은 벤치마크에 적용하지 않는다.</w:t>
      </w:r>
    </w:p>
    <w:p>
      <w:pPr>
        <w:pStyle w:val="Heading2"/>
        <w:keepNext/>
        <w:spacing w:after="100" w:before="220"/>
      </w:pPr>
      <w:r>
        <w:rPr>
          <w:rFonts w:ascii="Malgun Gothic" w:cs="Malgun Gothic" w:eastAsia="Malgun Gothic" w:hAnsi="Malgun Gothic"/>
          <w:b/>
          <w:bCs/>
        </w:rPr>
        <w:t xml:space="preserve">6.4 (D) 보정 평가 — 부수 분석</w:t>
      </w:r>
    </w:p>
    <w:p>
      <w:pPr>
        <w:pStyle w:val="ListParagraph"/>
        <w:numPr>
          <w:ilvl w:val="0"/>
          <w:numId w:val="2"/>
        </w:numPr>
        <w:spacing w:after="60" w:line="290"/>
      </w:pPr>
      <w:r>
        <w:rPr>
          <w:rFonts w:ascii="Malgun Gothic" w:cs="Malgun Gothic" w:eastAsia="Malgun Gothic" w:hAnsi="Malgun Gothic"/>
        </w:rPr>
        <w:t xml:space="preserve">모델이 표시한 확신도(법리·사실·종합)와 "대법원 판결 일치도 예상" 수치가 실제 정오와 맞는지 본다. Brier 점수, 구간별 신뢰도 곡선(표시값 대 실제 정확도), 필요하면 ECE를 낸다.</w:t>
      </w:r>
    </w:p>
    <w:p>
      <w:pPr>
        <w:pStyle w:val="ListParagraph"/>
        <w:numPr>
          <w:ilvl w:val="0"/>
          <w:numId w:val="2"/>
        </w:numPr>
        <w:spacing w:after="60" w:line="290"/>
      </w:pPr>
      <w:r>
        <w:rPr>
          <w:rFonts w:ascii="Malgun Gothic" w:cs="Malgun Gothic" w:eastAsia="Malgun Gothic" w:hAnsi="Malgun Gothic"/>
        </w:rPr>
        <w:t xml:space="preserve">사건 복잡도와 난이도 지수(DI)가 실제 정오와 관련이 있는지 순위상관으로 확인한다.</w:t>
      </w:r>
    </w:p>
    <w:p>
      <w:pPr>
        <w:pStyle w:val="ListParagraph"/>
        <w:numPr>
          <w:ilvl w:val="0"/>
          <w:numId w:val="2"/>
        </w:numPr>
        <w:spacing w:after="60" w:line="290"/>
      </w:pPr>
      <w:r>
        <w:rPr>
          <w:rFonts w:ascii="Malgun Gothic" w:cs="Malgun Gothic" w:eastAsia="Malgun Gothic" w:hAnsi="Malgun Gothic"/>
        </w:rPr>
        <w:t xml:space="preserve">이 결과는 현행 표시 수치(복잡도 기반 공식)를 유지할지 판단하는 근거로 쓴다.</w:t>
      </w:r>
    </w:p>
    <w:p>
      <w:pPr>
        <w:pStyle w:val="Heading2"/>
        <w:keepNext/>
        <w:spacing w:after="100" w:before="220"/>
      </w:pPr>
      <w:r>
        <w:rPr>
          <w:rFonts w:ascii="Malgun Gothic" w:cs="Malgun Gothic" w:eastAsia="Malgun Gothic" w:hAnsi="Malgun Gothic"/>
          <w:b/>
          <w:bCs/>
        </w:rPr>
        <w:t xml:space="preserve">6.5 헤드라인 표기 규격</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BBBBBB" w:sz="4"/>
              <w:bottom w:val="single" w:color="BBBBBB" w:sz="4"/>
              <w:right w:val="single" w:color="BBBBBB" w:sz="4"/>
            </w:tcBorders>
            <w:shd w:fill="EAF5EA" w:color="auto" w:val="clear"/>
            <w:tcMar>
              <w:top w:type="dxa" w:w="110"/>
              <w:left w:type="dxa" w:w="160"/>
              <w:bottom w:type="dxa" w:w="110"/>
              <w:right w:type="dxa" w:w="160"/>
            </w:tcMar>
          </w:tcPr>
          <w:p>
            <w:pPr>
              <w:spacing w:after="50" w:line="280"/>
            </w:pPr>
            <w:r>
              <w:rPr>
                <w:rFonts w:ascii="Malgun Gothic" w:cs="Malgun Gothic" w:eastAsia="Malgun Gothic" w:hAnsi="Malgun Gothic"/>
                <w:sz w:val="19"/>
                <w:szCs w:val="19"/>
              </w:rPr>
              <w:t xml:space="preserve">표본 N건(유지 a·파기 b), 결론 정확도 X%(95% CI [l, u]). 기준선: 항상 파기 Y%, 항상 유지 Z%. 민감도 S%, 특이도 T%. 커버리지 V%.</w:t>
            </w:r>
          </w:p>
          <w:p>
            <w:pPr>
              <w:spacing w:after="50" w:line="280"/>
            </w:pPr>
            <w:r>
              <w:rPr>
                <w:rFonts w:ascii="Malgun Gothic" w:cs="Malgun Gothic" w:eastAsia="Malgun Gothic" w:hAnsi="Malgun Gothic"/>
                <w:sz w:val="19"/>
                <w:szCs w:val="19"/>
              </w:rPr>
              <w:t xml:space="preserve">단일 "일치도 %"만 단독으로 게시하지 않는다.</w:t>
            </w:r>
          </w:p>
        </w:tc>
      </w:tr>
    </w:tbl>
    <w:p>
      <w:pPr>
        <w:pStyle w:val="Heading1"/>
        <w:keepNext/>
        <w:spacing w:after="140" w:before="360"/>
      </w:pPr>
      <w:r>
        <w:rPr>
          <w:rFonts w:ascii="Malgun Gothic" w:cs="Malgun Gothic" w:eastAsia="Malgun Gothic" w:hAnsi="Malgun Gothic"/>
          <w:b/>
          <w:bCs/>
        </w:rPr>
        <w:t xml:space="preserve">제7장 채점자와 독립성</w:t>
      </w:r>
    </w:p>
    <w:p>
      <w:pPr>
        <w:pStyle w:val="ListParagraph"/>
        <w:numPr>
          <w:ilvl w:val="0"/>
          <w:numId w:val="2"/>
        </w:numPr>
        <w:spacing w:after="60" w:line="290"/>
      </w:pPr>
      <w:r>
        <w:rPr>
          <w:rFonts w:ascii="Malgun Gothic" w:cs="Malgun Gothic" w:eastAsia="Malgun Gothic" w:hAnsi="Malgun Gothic"/>
          <w:b/>
          <w:bCs/>
        </w:rPr>
        <w:t xml:space="preserve">결론 지표</w:t>
      </w:r>
      <w:r>
        <w:rPr>
          <w:rFonts w:ascii="Malgun Gothic" w:cs="Malgun Gothic" w:eastAsia="Malgun Gothic" w:hAnsi="Malgun Gothic"/>
        </w:rPr>
        <w:t xml:space="preserve">는 규칙 기반 자동 채점으로 한다. 모델 출력의 주문에 5.1의 라벨 규칙을 그대로 적용하고, 결론 추출이 모호하면 사람이 확정한다.</w:t>
      </w:r>
    </w:p>
    <w:p>
      <w:pPr>
        <w:pStyle w:val="ListParagraph"/>
        <w:numPr>
          <w:ilvl w:val="0"/>
          <w:numId w:val="2"/>
        </w:numPr>
        <w:spacing w:after="60" w:line="290"/>
      </w:pPr>
      <w:r>
        <w:rPr>
          <w:rFonts w:ascii="Malgun Gothic" w:cs="Malgun Gothic" w:eastAsia="Malgun Gothic" w:hAnsi="Malgun Gothic"/>
          <w:b/>
          <w:bCs/>
        </w:rPr>
        <w:t xml:space="preserve">법리 지표</w:t>
      </w:r>
      <w:r>
        <w:rPr>
          <w:rFonts w:ascii="Malgun Gothic" w:cs="Malgun Gothic" w:eastAsia="Malgun Gothic" w:hAnsi="Malgun Gothic"/>
        </w:rPr>
        <w:t xml:space="preserve">는 예측 모델군에 속하지 않는 평가 모델과, 모델명·버전·출처를 가린 무작위 순서의 인간 변호사 블라인드 표본(30~50건)으로 채점한다.</w:t>
      </w:r>
    </w:p>
    <w:p>
      <w:pPr>
        <w:pStyle w:val="ListParagraph"/>
        <w:numPr>
          <w:ilvl w:val="0"/>
          <w:numId w:val="2"/>
        </w:numPr>
        <w:spacing w:after="60" w:line="290"/>
      </w:pPr>
      <w:r>
        <w:rPr>
          <w:rFonts w:ascii="Malgun Gothic" w:cs="Malgun Gothic" w:eastAsia="Malgun Gothic" w:hAnsi="Malgun Gothic"/>
          <w:b/>
          <w:bCs/>
        </w:rPr>
        <w:t xml:space="preserve">이해충돌</w:t>
      </w:r>
      <w:r>
        <w:rPr>
          <w:rFonts w:ascii="Malgun Gothic" w:cs="Malgun Gothic" w:eastAsia="Malgun Gothic" w:hAnsi="Malgun Gothic"/>
        </w:rPr>
        <w:t xml:space="preserve">: 비교 대상 모델과 같은 계열의 모델(DeepSeek, Claude)은 평가자, 개요 작성자, 누출 탐지 모델이 될 수 없다. 프로토콜 초안 작성에 Claude가 관여했다는 사실은 표지에 공개하고, 확정 전에 독립 검토를 받는다.</w:t>
      </w:r>
    </w:p>
    <w:p>
      <w:pPr>
        <w:pStyle w:val="ListParagraph"/>
        <w:numPr>
          <w:ilvl w:val="0"/>
          <w:numId w:val="2"/>
        </w:numPr>
        <w:spacing w:after="60" w:line="290"/>
      </w:pPr>
      <w:r>
        <w:rPr>
          <w:rFonts w:ascii="Malgun Gothic" w:cs="Malgun Gothic" w:eastAsia="Malgun Gothic" w:hAnsi="Malgun Gothic"/>
          <w:b/>
          <w:bCs/>
        </w:rPr>
        <w:t xml:space="preserve">평가자 간 일치도</w:t>
      </w:r>
      <w:r>
        <w:rPr>
          <w:rFonts w:ascii="Malgun Gothic" w:cs="Malgun Gothic" w:eastAsia="Malgun Gothic" w:hAnsi="Malgun Gothic"/>
        </w:rPr>
        <w:t xml:space="preserve">: 인간 평가자 사이, 인간과 모델 사이의 Cohen κ를 보고한다. κ가 0.6 미만이면 해당 지표를 참고용으로 낮춘다.</w:t>
      </w:r>
    </w:p>
    <w:p>
      <w:pPr>
        <w:pStyle w:val="ListParagraph"/>
        <w:numPr>
          <w:ilvl w:val="0"/>
          <w:numId w:val="2"/>
        </w:numPr>
        <w:spacing w:after="60" w:line="290"/>
      </w:pPr>
      <w:r>
        <w:rPr>
          <w:rFonts w:ascii="Malgun Gothic" w:cs="Malgun Gothic" w:eastAsia="Malgun Gothic" w:hAnsi="Malgun Gothic"/>
          <w:b/>
          <w:bCs/>
        </w:rPr>
        <w:t xml:space="preserve">공개</w:t>
      </w:r>
      <w:r>
        <w:rPr>
          <w:rFonts w:ascii="Malgun Gothic" w:cs="Malgun Gothic" w:eastAsia="Malgun Gothic" w:hAnsi="Malgun Gothic"/>
        </w:rPr>
        <w:t xml:space="preserve">: 평가 프롬프트와 기준표를 결과와 함께 게시한다.</w:t>
      </w:r>
    </w:p>
    <w:p>
      <w:pPr>
        <w:pStyle w:val="Heading1"/>
        <w:keepNext/>
        <w:spacing w:after="140" w:before="360"/>
      </w:pPr>
      <w:r>
        <w:rPr>
          <w:rFonts w:ascii="Malgun Gothic" w:cs="Malgun Gothic" w:eastAsia="Malgun Gothic" w:hAnsi="Malgun Gothic"/>
          <w:b/>
          <w:bCs/>
        </w:rPr>
        <w:t xml:space="preserve">제8장 원심(1심·2심) 비교</w:t>
      </w:r>
    </w:p>
    <w:p>
      <w:pPr>
        <w:pStyle w:val="Heading2"/>
        <w:keepNext/>
        <w:spacing w:after="100" w:before="220"/>
      </w:pPr>
      <w:r>
        <w:rPr>
          <w:rFonts w:ascii="Malgun Gothic" w:cs="Malgun Gothic" w:eastAsia="Malgun Gothic" w:hAnsi="Malgun Gothic"/>
          <w:b/>
          <w:bCs/>
        </w:rPr>
        <w:t xml:space="preserve">8.1 비교 단위</w:t>
      </w:r>
    </w:p>
    <w:p>
      <w:pPr>
        <w:spacing w:after="100" w:line="300"/>
      </w:pPr>
      <w:r>
        <w:rPr>
          <w:rFonts w:ascii="Malgun Gothic" w:cs="Malgun Gothic" w:eastAsia="Malgun Gothic" w:hAnsi="Malgun Gothic"/>
        </w:rPr>
        <w:t xml:space="preserve">실제 1심·2심 판결문이 확보된 사건을 대상으로, 각 심급의 결과를 5.3의 라벨로 환산해 대법원의 방향과 비교한다.</w:t>
      </w:r>
    </w:p>
    <w:p>
      <w:pPr>
        <w:pStyle w:val="Heading2"/>
        <w:keepNext/>
        <w:spacing w:after="100" w:before="220"/>
      </w:pPr>
      <w:r>
        <w:rPr>
          <w:rFonts w:ascii="Malgun Gothic" w:cs="Malgun Gothic" w:eastAsia="Malgun Gothic" w:hAnsi="Malgun Gothic"/>
          <w:b/>
          <w:bCs/>
        </w:rPr>
        <w:t xml:space="preserve">8.2 유추의 사용 규칙</w:t>
      </w:r>
    </w:p>
    <w:p>
      <w:pPr>
        <w:spacing w:after="100" w:line="300"/>
      </w:pPr>
      <w:r>
        <w:rPr>
          <w:rFonts w:ascii="Malgun Gothic" w:cs="Malgun Gothic" w:eastAsia="Malgun Gothic" w:hAnsi="Malgun Gothic"/>
        </w:rPr>
        <w:t xml:space="preserve">v1.6 제4장의 유추(대법원 결과에서 원심 결론을 추정)는 판결문 확보에 실패한 경우에만 쓰고, 표에 "유추"로 표기해 실측 집계와 분리한다. 1심 결론은 유추하지 않는다.</w:t>
      </w:r>
    </w:p>
    <w:p>
      <w:pPr>
        <w:pStyle w:val="Heading2"/>
        <w:keepNext/>
        <w:spacing w:after="100" w:before="220"/>
      </w:pPr>
      <w:r>
        <w:rPr>
          <w:rFonts w:ascii="Malgun Gothic" w:cs="Malgun Gothic" w:eastAsia="Malgun Gothic" w:hAnsi="Malgun Gothic"/>
          <w:b/>
          <w:bCs/>
        </w:rPr>
        <w:t xml:space="preserve">8.3 비교 정의</w:t>
      </w:r>
    </w:p>
    <w:p>
      <w:pPr>
        <w:spacing w:after="100" w:line="300"/>
      </w:pPr>
      <w:r>
        <w:rPr>
          <w:rFonts w:ascii="Malgun Gothic" w:cs="Malgun Gothic" w:eastAsia="Malgun Gothic" w:hAnsi="Malgun Gothic"/>
        </w:rPr>
        <w:t xml:space="preserve">1심, 2심, K-Law(독립 모드)가 각자 낸 결론을 대법원 결론과의 일치로 채점한다. 2심 결론이 대법원과 일치한다는 것은 정의상 "유지" 라벨이므로, 표본의 유지 비율이 2심 일치도의 상한을 정한다. 균형 표본에서 2심의 일치도는 약 50%이며, 이는 원심 법관의 역량이 아니라 표본 구성의 결과임을 함께 표기한다.</w:t>
      </w:r>
    </w:p>
    <w:p>
      <w:pPr>
        <w:pStyle w:val="Heading2"/>
        <w:keepNext/>
        <w:spacing w:after="100" w:before="220"/>
      </w:pPr>
      <w:r>
        <w:rPr>
          <w:rFonts w:ascii="Malgun Gothic" w:cs="Malgun Gothic" w:eastAsia="Malgun Gothic" w:hAnsi="Malgun Gothic"/>
          <w:b/>
          <w:bCs/>
        </w:rPr>
        <w:t xml:space="preserve">8.4 허용되는 주장과 허용되지 않는 주장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7226"/>
      </w:tblGrid>
      <w:tr>
        <w:trPr>
          <w:tblHeader/>
        </w:trPr>
        <w:tc>
          <w:tcPr>
            <w:tcW w:type="dxa" w:w="18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구분</w:t>
            </w:r>
          </w:p>
        </w:tc>
        <w:tc>
          <w:tcPr>
            <w:tcW w:type="dxa" w:w="72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내용</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허용</w:t>
            </w:r>
          </w:p>
        </w:tc>
        <w:tc>
          <w:tcPr>
            <w:tcW w:type="dxa" w:w="7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원심과 대법원이 갈린 사건(파기)에서 K-Law(독립 모드)가 대법원 결론에 더 가까운 비율</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허용</w:t>
            </w:r>
          </w:p>
        </w:tc>
        <w:tc>
          <w:tcPr>
            <w:tcW w:type="dxa" w:w="7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유지 사건에서 K-Law가 원심을 불필요하게 뒤집지 않는 비율(특이도)</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허용하지 않음</w:t>
            </w:r>
          </w:p>
        </w:tc>
        <w:tc>
          <w:tcPr>
            <w:tcW w:type="dxa" w:w="7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"K-Law가 원심보다 법리 판단이 우수하다"를 단독 결론으로 서술하는 것. (B) 법리 지표와 인간 블라인드 평가가 함께 뒷받침할 때에만, 근거 수준을 명시하여 제한적으로 서술한다.</w:t>
            </w:r>
          </w:p>
        </w:tc>
      </w:tr>
    </w:tbl>
    <w:p>
      <w:pPr>
        <w:spacing w:after="80"/>
      </w:pPr>
    </w:p>
    <w:p>
      <w:pPr>
        <w:pStyle w:val="Heading2"/>
        <w:keepNext/>
        <w:spacing w:after="100" w:before="220"/>
      </w:pPr>
      <w:r>
        <w:rPr>
          <w:rFonts w:ascii="Malgun Gothic" w:cs="Malgun Gothic" w:eastAsia="Malgun Gothic" w:hAnsi="Malgun Gothic"/>
          <w:b/>
          <w:bCs/>
        </w:rPr>
        <w:t xml:space="preserve">8.5 기존 수치의 인용</w:t>
      </w:r>
    </w:p>
    <w:p>
      <w:pPr>
        <w:spacing w:after="100" w:line="300"/>
      </w:pPr>
      <w:r>
        <w:rPr>
          <w:rFonts w:ascii="Malgun Gothic" w:cs="Malgun Gothic" w:eastAsia="Malgun Gothic" w:hAnsi="Malgun Gothic"/>
        </w:rPr>
        <w:t xml:space="preserve">기존에 게시된 원심 45%와 1심 47%는 산출 방식, 표본, 정의가 문서로 확인되기 전에는 이 프로토콜의 결과와 나란히 인용하지 않는다.</w:t>
      </w:r>
    </w:p>
    <w:p>
      <w:pPr>
        <w:pStyle w:val="Heading2"/>
        <w:keepNext/>
        <w:spacing w:after="100" w:before="220"/>
      </w:pPr>
      <w:r>
        <w:rPr>
          <w:rFonts w:ascii="Malgun Gothic" w:cs="Malgun Gothic" w:eastAsia="Malgun Gothic" w:hAnsi="Malgun Gothic"/>
          <w:b/>
          <w:bCs/>
        </w:rPr>
        <w:t xml:space="preserve">8.6 유지 사건의 필수 포함</w:t>
      </w:r>
    </w:p>
    <w:p>
      <w:pPr>
        <w:spacing w:after="100" w:line="300"/>
      </w:pPr>
      <w:r>
        <w:rPr>
          <w:rFonts w:ascii="Malgun Gothic" w:cs="Malgun Gothic" w:eastAsia="Malgun Gothic" w:hAnsi="Malgun Gothic"/>
        </w:rPr>
        <w:t xml:space="preserve">파기 사건에서는 원심 일치가 정의상 0이므로, 파기 사건만으로 원심과 비교하지 않는다. 유지 사건을 반드시 포함한다.</w:t>
      </w:r>
    </w:p>
    <w:p>
      <w:pPr>
        <w:pStyle w:val="Heading1"/>
        <w:keepNext/>
        <w:spacing w:after="140" w:before="360"/>
      </w:pPr>
      <w:r>
        <w:rPr>
          <w:rFonts w:ascii="Malgun Gothic" w:cs="Malgun Gothic" w:eastAsia="Malgun Gothic" w:hAnsi="Malgun Gothic"/>
          <w:b/>
          <w:bCs/>
        </w:rPr>
        <w:t xml:space="preserve">제9장 오염과 누출 통제</w:t>
      </w:r>
    </w:p>
    <w:p>
      <w:pPr>
        <w:pStyle w:val="ListParagraph"/>
        <w:numPr>
          <w:ilvl w:val="0"/>
          <w:numId w:val="2"/>
        </w:numPr>
        <w:spacing w:after="60" w:line="290"/>
      </w:pPr>
      <w:r>
        <w:rPr>
          <w:rFonts w:ascii="Malgun Gothic" w:cs="Malgun Gothic" w:eastAsia="Malgun Gothic" w:hAnsi="Malgun Gothic"/>
        </w:rPr>
        <w:t xml:space="preserve">선고월을 기록하고, 모델별 공개된 학습 시점(공식 문서 기준, 확인할 수 없으면 "미공개")을 표에 적어 학습 시점 이전·이후 선고분을 나눠 집계한다. 이후 선고분은 표본이 작으므로 신뢰구간을 함께 보고한다.</w:t>
      </w:r>
    </w:p>
    <w:p>
      <w:pPr>
        <w:pStyle w:val="ListParagraph"/>
        <w:numPr>
          <w:ilvl w:val="0"/>
          <w:numId w:val="2"/>
        </w:numPr>
        <w:spacing w:after="60" w:line="290"/>
      </w:pPr>
      <w:r>
        <w:rPr>
          <w:rFonts w:ascii="Malgun Gothic" w:cs="Malgun Gothic" w:eastAsia="Malgun Gothic" w:hAnsi="Malgun Gothic"/>
        </w:rPr>
        <w:t xml:space="preserve">표본의 선고 기간(2025. 6.~2026. 7.)이 어떤 모델의 학습 시점보다 이전이면 날짜만으로는 그 모델의 오염을 배제할 수 없다. 모델마다 오염 위험이 다를 수 있으므로 모델 간 비교 결과를 해석할 때 이 점을 함께 적는다.</w:t>
      </w:r>
    </w:p>
    <w:p>
      <w:pPr>
        <w:pStyle w:val="ListParagraph"/>
        <w:numPr>
          <w:ilvl w:val="0"/>
          <w:numId w:val="2"/>
        </w:numPr>
        <w:spacing w:after="60" w:line="290"/>
      </w:pPr>
      <w:r>
        <w:rPr>
          <w:rFonts w:ascii="Malgun Gothic" w:cs="Malgun Gothic" w:eastAsia="Malgun Gothic" w:hAnsi="Malgun Gothic"/>
          <w:b/>
          <w:bCs/>
        </w:rPr>
        <w:t xml:space="preserve">암기 탐지 프로브</w:t>
      </w:r>
      <w:r>
        <w:rPr>
          <w:rFonts w:ascii="Malgun Gothic" w:cs="Malgun Gothic" w:eastAsia="Malgun Gothic" w:hAnsi="Malgun Gothic"/>
        </w:rPr>
        <w:t xml:space="preserve">: 모델마다 사건번호만(개요 없이) 주고 결론을 묻는 대조 arm을 실행한다. 정확도가 기준선을 유의하게 넘으면 그 모델의 오염 신호로 기록하고, 해당 모델의 결과를 그 사실과 함께 보고한다.</w:t>
      </w:r>
    </w:p>
    <w:p>
      <w:pPr>
        <w:pStyle w:val="ListParagraph"/>
        <w:numPr>
          <w:ilvl w:val="0"/>
          <w:numId w:val="2"/>
        </w:numPr>
        <w:spacing w:after="60" w:line="290"/>
      </w:pPr>
      <w:r>
        <w:rPr>
          <w:rFonts w:ascii="Malgun Gothic" w:cs="Malgun Gothic" w:eastAsia="Malgun Gothic" w:hAnsi="Malgun Gothic"/>
        </w:rPr>
        <w:t xml:space="preserve">4.3의 개요 누출 검증 결과를 사건별로 보관하고 통과 비율을 보고한다.</w:t>
      </w:r>
    </w:p>
    <w:p>
      <w:pPr>
        <w:pStyle w:val="ListParagraph"/>
        <w:numPr>
          <w:ilvl w:val="0"/>
          <w:numId w:val="2"/>
        </w:numPr>
        <w:spacing w:after="60" w:line="290"/>
      </w:pPr>
      <w:r>
        <w:rPr>
          <w:rFonts w:ascii="Malgun Gothic" w:cs="Malgun Gothic" w:eastAsia="Malgun Gothic" w:hAnsi="Malgun Gothic"/>
        </w:rPr>
        <w:t xml:space="preserve">모든 모델에서 웹 검색과 판례 검색 도구를 끈다. 이력·메모리 기능이 없는 API 호출을 쓰고, 사건마다 독립 호출한다(컨텍스트 공유 금지).</w:t>
      </w:r>
    </w:p>
    <w:p>
      <w:pPr>
        <w:pStyle w:val="ListParagraph"/>
        <w:numPr>
          <w:ilvl w:val="0"/>
          <w:numId w:val="2"/>
        </w:numPr>
        <w:spacing w:after="60" w:line="290"/>
      </w:pPr>
      <w:r>
        <w:rPr>
          <w:rFonts w:ascii="Malgun Gothic" w:cs="Malgun Gothic" w:eastAsia="Malgun Gothic" w:hAnsi="Malgun Gothic"/>
        </w:rPr>
        <w:t xml:space="preserve">한 번 실행한 결과를 채택한다. 판단 유보를 이유로 한 재시도는 하지 않고, 기술적 오류만 재시도한다. 시드와 온도를 기록한다.</w:t>
      </w:r>
    </w:p>
    <w:p>
      <w:pPr>
        <w:pStyle w:val="Heading1"/>
        <w:keepNext/>
        <w:spacing w:after="140" w:before="360"/>
      </w:pPr>
      <w:r>
        <w:rPr>
          <w:rFonts w:ascii="Malgun Gothic" w:cs="Malgun Gothic" w:eastAsia="Malgun Gothic" w:hAnsi="Malgun Gothic"/>
          <w:b/>
          <w:bCs/>
        </w:rPr>
        <w:t xml:space="preserve">제10장 보고 규격</w:t>
      </w:r>
    </w:p>
    <w:p>
      <w:pPr>
        <w:pStyle w:val="Heading2"/>
        <w:keepNext/>
        <w:spacing w:after="100" w:before="220"/>
      </w:pPr>
      <w:r>
        <w:rPr>
          <w:rFonts w:ascii="Malgun Gothic" w:cs="Malgun Gothic" w:eastAsia="Malgun Gothic" w:hAnsi="Malgun Gothic"/>
          <w:b/>
          <w:bCs/>
        </w:rPr>
        <w:t xml:space="preserve">10.1 표의 컬럼</w:t>
      </w:r>
    </w:p>
    <w:p>
      <w:pPr>
        <w:spacing w:after="100" w:line="300"/>
      </w:pPr>
      <w:r>
        <w:rPr>
          <w:rFonts w:ascii="Malgun Gothic" w:cs="Malgun Gothic" w:eastAsia="Malgun Gothic" w:hAnsi="Malgun Gothic"/>
        </w:rPr>
        <w:t xml:space="preserve">사건번호, 선고일, 대법원 결과(세부·이분 라벨), 2심 결과, 1심 결과(확보 여부 표시), 사건 개요, 모델별 예측 결론과 정오, 유보 표시.</w:t>
      </w:r>
    </w:p>
    <w:p>
      <w:pPr>
        <w:pStyle w:val="Heading2"/>
        <w:keepNext/>
        <w:spacing w:after="100" w:before="220"/>
      </w:pPr>
      <w:r>
        <w:rPr>
          <w:rFonts w:ascii="Malgun Gothic" w:cs="Malgun Gothic" w:eastAsia="Malgun Gothic" w:hAnsi="Malgun Gothic"/>
          <w:b/>
          <w:bCs/>
        </w:rPr>
        <w:t xml:space="preserve">10.2 필수 고지</w:t>
      </w:r>
    </w:p>
    <w:p>
      <w:pPr>
        <w:pStyle w:val="ListParagraph"/>
        <w:numPr>
          <w:ilvl w:val="0"/>
          <w:numId w:val="2"/>
        </w:numPr>
        <w:spacing w:after="60" w:line="290"/>
      </w:pPr>
      <w:r>
        <w:rPr>
          <w:rFonts w:ascii="Malgun Gothic" w:cs="Malgun Gothic" w:eastAsia="Malgun Gothic" w:hAnsi="Malgun Gothic"/>
        </w:rPr>
        <w:t xml:space="preserve">표본은 선별 공개된 판례이며 실제 상고 전체와 분포가 다르다.</w:t>
      </w:r>
    </w:p>
    <w:p>
      <w:pPr>
        <w:pStyle w:val="ListParagraph"/>
        <w:numPr>
          <w:ilvl w:val="0"/>
          <w:numId w:val="2"/>
        </w:numPr>
        <w:spacing w:after="60" w:line="290"/>
      </w:pPr>
      <w:r>
        <w:rPr>
          <w:rFonts w:ascii="Malgun Gothic" w:cs="Malgun Gothic" w:eastAsia="Malgun Gothic" w:hAnsi="Malgun Gothic"/>
        </w:rPr>
        <w:t xml:space="preserve">대법원 일치는 법리적으로 옳음을 뜻하지 않는다.</w:t>
      </w:r>
    </w:p>
    <w:p>
      <w:pPr>
        <w:pStyle w:val="ListParagraph"/>
        <w:numPr>
          <w:ilvl w:val="0"/>
          <w:numId w:val="2"/>
        </w:numPr>
        <w:spacing w:after="60" w:line="290"/>
      </w:pPr>
      <w:r>
        <w:rPr>
          <w:rFonts w:ascii="Malgun Gothic" w:cs="Malgun Gothic" w:eastAsia="Malgun Gothic" w:hAnsi="Malgun Gothic"/>
        </w:rPr>
        <w:t xml:space="preserve">사실인정은 측정하지 않는다.</w:t>
      </w:r>
    </w:p>
    <w:p>
      <w:pPr>
        <w:pStyle w:val="ListParagraph"/>
        <w:numPr>
          <w:ilvl w:val="0"/>
          <w:numId w:val="2"/>
        </w:numPr>
        <w:spacing w:after="60" w:line="290"/>
      </w:pPr>
      <w:r>
        <w:rPr>
          <w:rFonts w:ascii="Malgun Gothic" w:cs="Malgun Gothic" w:eastAsia="Malgun Gothic" w:hAnsi="Malgun Gothic"/>
        </w:rPr>
        <w:t xml:space="preserve">모델별 학습 시점과 오염 가능성</w:t>
      </w:r>
    </w:p>
    <w:p>
      <w:pPr>
        <w:pStyle w:val="ListParagraph"/>
        <w:numPr>
          <w:ilvl w:val="0"/>
          <w:numId w:val="2"/>
        </w:numPr>
        <w:spacing w:after="60" w:line="290"/>
      </w:pPr>
      <w:r>
        <w:rPr>
          <w:rFonts w:ascii="Malgun Gothic" w:cs="Malgun Gothic" w:eastAsia="Malgun Gothic" w:hAnsi="Malgun Gothic"/>
        </w:rPr>
        <w:t xml:space="preserve">개요 작성 모델과 평가자</w:t>
      </w:r>
    </w:p>
    <w:p>
      <w:pPr>
        <w:pStyle w:val="ListParagraph"/>
        <w:numPr>
          <w:ilvl w:val="0"/>
          <w:numId w:val="2"/>
        </w:numPr>
        <w:spacing w:after="60" w:line="290"/>
      </w:pPr>
      <w:r>
        <w:rPr>
          <w:rFonts w:ascii="Malgun Gothic" w:cs="Malgun Gothic" w:eastAsia="Malgun Gothic" w:hAnsi="Malgun Gothic"/>
        </w:rPr>
        <w:t xml:space="preserve">면책 문구와 이탈 보고</w:t>
      </w:r>
    </w:p>
    <w:p>
      <w:pPr>
        <w:pStyle w:val="Heading2"/>
        <w:keepNext/>
        <w:spacing w:after="100" w:before="220"/>
      </w:pPr>
      <w:r>
        <w:rPr>
          <w:rFonts w:ascii="Malgun Gothic" w:cs="Malgun Gothic" w:eastAsia="Malgun Gothic" w:hAnsi="Malgun Gothic"/>
          <w:b/>
          <w:bCs/>
        </w:rPr>
        <w:t xml:space="preserve">10.3 부정적 결과의 포함</w:t>
      </w:r>
    </w:p>
    <w:p>
      <w:pPr>
        <w:spacing w:after="100" w:line="300"/>
      </w:pPr>
      <w:r>
        <w:rPr>
          <w:rFonts w:ascii="Malgun Gothic" w:cs="Malgun Gothic" w:eastAsia="Malgun Gothic" w:hAnsi="Malgun Gothic"/>
        </w:rPr>
        <w:t xml:space="preserve">기준선 대비 차이가 신뢰구간과 겹치면 "유의하지 않음"으로 표기한다. 결과가 나쁜 모델과 지표도 생략하지 않는다.</w:t>
      </w:r>
    </w:p>
    <w:p>
      <w:pPr>
        <w:pStyle w:val="Heading2"/>
        <w:keepNext/>
        <w:spacing w:after="100" w:before="220"/>
      </w:pPr>
      <w:r>
        <w:rPr>
          <w:rFonts w:ascii="Malgun Gothic" w:cs="Malgun Gothic" w:eastAsia="Malgun Gothic" w:hAnsi="Malgun Gothic"/>
          <w:b/>
          <w:bCs/>
        </w:rPr>
        <w:t xml:space="preserve">10.4 수정 이력</w:t>
      </w:r>
    </w:p>
    <w:p>
      <w:pPr>
        <w:spacing w:after="100" w:line="300"/>
      </w:pPr>
      <w:r>
        <w:rPr>
          <w:rFonts w:ascii="Malgun Gothic" w:cs="Malgun Gothic" w:eastAsia="Malgun Gothic" w:hAnsi="Malgun Gothic"/>
        </w:rPr>
        <w:t xml:space="preserve">게시 후 수정은 이력을 남긴다.</w:t>
      </w:r>
    </w:p>
    <w:p>
      <w:pPr>
        <w:pStyle w:val="Heading1"/>
        <w:keepNext/>
        <w:spacing w:after="140" w:before="360"/>
      </w:pPr>
      <w:r>
        <w:rPr>
          <w:rFonts w:ascii="Malgun Gothic" w:cs="Malgun Gothic" w:eastAsia="Malgun Gothic" w:hAnsi="Malgun Gothic"/>
          <w:b/>
          <w:bCs/>
        </w:rPr>
        <w:t xml:space="preserve">제11장 v1.6 조항의 처리</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600"/>
        <w:gridCol w:w="2926"/>
      </w:tblGrid>
      <w:tr>
        <w:trPr>
          <w:tblHeader/>
        </w:trPr>
        <w:tc>
          <w:tcPr>
            <w:tcW w:type="dxa" w:w="25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v1.6 조항</w:t>
            </w:r>
          </w:p>
        </w:tc>
        <w:tc>
          <w:tcPr>
            <w:tcW w:type="dxa" w:w="36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처리</w:t>
            </w:r>
          </w:p>
        </w:tc>
        <w:tc>
          <w:tcPr>
            <w:tcW w:type="dxa" w:w="29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사유</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제2장 10점 배점(4+3+3)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건별 평가에서 존치. 벤치마크에서는 (B)의 참고 지표로만 사용</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결론이 틀려도 법리·논증 점수가 붙어 일치도의 뜻이 흐려짐</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2.2 등급 구분</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건별 평가에서 존치. 벤치마크 헤드라인에서 사용하지 않음</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위와 같음</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2.3 다층 검증 반영·가산</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벤치마크에 적용하지 않음</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자기 일관성은 판결과의 일치가 아님</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3.1 판단 유보 면책</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벤치마크에서 폐기(유보=오답). 건별 평가에서 존치</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유보로 옮겨 간 사건이 통계에서 빠져 평균이 오름</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3.2 판례 미인용 면책</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존치</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변경 사유 없음</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3.3 정보 부족 가산점</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벤치마크에서 폐기</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가산점이 헤드라인을 부풀림</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제4장 원심 결론 유추</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확보 실패 시에만 사용, "유추" 표기</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유추 시 원심 일치도가 표본의 기각 비율과 같아짐</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제5장 출력 형식</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건별 평가에서 존치</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변경 사유 없음</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6.3 일치도 저하 통계(면책 제외)</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폐기</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유보 제외 통계가 성능을 과대 표시</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6.4 결정 회피 방지 위반</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검토 모드에서 유보=오답 규정에 흡수</w:t>
            </w:r>
          </w:p>
        </w:tc>
        <w:tc>
          <w:tcPr>
            <w:tcW w:type="dxa" w:w="29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중복</w:t>
            </w:r>
          </w:p>
        </w:tc>
      </w:tr>
    </w:tbl>
    <w:p>
      <w:pPr>
        <w:spacing w:after="80"/>
      </w:pPr>
    </w:p>
    <w:p>
      <w:pPr>
        <w:pStyle w:val="Heading1"/>
        <w:keepNext/>
        <w:spacing w:after="140" w:before="360"/>
      </w:pPr>
      <w:r>
        <w:rPr>
          <w:rFonts w:ascii="Malgun Gothic" w:cs="Malgun Gothic" w:eastAsia="Malgun Gothic" w:hAnsi="Malgun Gothic"/>
          <w:b/>
          <w:bCs/>
        </w:rPr>
        <w:t xml:space="preserve">제12장 버전 이력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5626"/>
      </w:tblGrid>
      <w:tr>
        <w:trPr>
          <w:tblHeader/>
        </w:trPr>
        <w:tc>
          <w:tcPr>
            <w:tcW w:type="dxa" w:w="15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버전</w:t>
            </w:r>
          </w:p>
        </w:tc>
        <w:tc>
          <w:tcPr>
            <w:tcW w:type="dxa" w:w="19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날짜</w:t>
            </w:r>
          </w:p>
        </w:tc>
        <w:tc>
          <w:tcPr>
            <w:tcW w:type="dxa" w:w="56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주요 변경 사항</w:t>
            </w:r>
          </w:p>
        </w:tc>
      </w:tr>
      <w:tr>
        <w:trPr>
          <w:cantSplit/>
        </w:trP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v2.0 (초안)</w:t>
            </w:r>
          </w:p>
        </w:tc>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2026. 9. 24.</w:t>
            </w:r>
          </w:p>
        </w:tc>
        <w:tc>
          <w:tcPr>
            <w:tcW w:type="dxa" w:w="56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표본 단위 벤치마크 프로토콜로 재설계. 결론 지표 중심, 기준선·신뢰구간 병기, 유보=오답, 두 입력 모드, 실제 1·2심 채점, 홀드아웃·동결·사전 고정, 오염·누출·채점자 통제, 보정 평가 신설.</w:t>
            </w:r>
          </w:p>
        </w:tc>
      </w:tr>
      <w:tr>
        <w:trPr>
          <w:cantSplit/>
        </w:trP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v1.6</w:t>
            </w:r>
          </w:p>
        </w:tc>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2026. 5. 1.</w:t>
            </w:r>
          </w:p>
        </w:tc>
        <w:tc>
          <w:tcPr>
            <w:tcW w:type="dxa" w:w="56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기반 방법론 K-Law v13.2 반영. 공리 번호와 절차 참조 수정, 결정 회피 방지 장치 면책 제한, A-0-S 정합성 0.5점, 다층 검증 모듈 반영 기준, 강제규칙 1~16 준수 현황 (건별 평가용으로 유지)</w:t>
            </w:r>
          </w:p>
        </w:tc>
      </w:tr>
      <w:tr>
        <w:trPr>
          <w:cantSplit/>
        </w:trP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v1.0~v1.5</w:t>
            </w:r>
          </w:p>
        </w:tc>
        <w:tc>
          <w:tcPr>
            <w:tcW w:type="dxa" w:w="1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2026. 4. 20.~4. 27.</w:t>
            </w:r>
          </w:p>
        </w:tc>
        <w:tc>
          <w:tcPr>
            <w:tcW w:type="dxa" w:w="56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최초 제정, 확신도 이원화, 정보 부족 가산점·1심·2심 유추, 판단 유보 면책 (v1.6 문서의 이력 참조)</w:t>
            </w:r>
          </w:p>
        </w:tc>
      </w:tr>
    </w:tbl>
    <w:p>
      <w:pPr>
        <w:pStyle w:val="Heading1"/>
        <w:keepNext/>
        <w:spacing w:after="140" w:before="360"/>
      </w:pPr>
      <w:r>
        <w:rPr>
          <w:rFonts w:ascii="Malgun Gothic" w:cs="Malgun Gothic" w:eastAsia="Malgun Gothic" w:hAnsi="Malgun Gothic"/>
          <w:b/>
          <w:bCs/>
        </w:rPr>
        <w:t xml:space="preserve">부록 A 사전 고정 체크리스트</w:t>
      </w:r>
    </w:p>
    <w:p>
      <w:pPr>
        <w:spacing w:after="100" w:line="300"/>
      </w:pPr>
      <w:r>
        <w:rPr>
          <w:rFonts w:ascii="Malgun Gothic" w:cs="Malgun Gothic" w:eastAsia="Malgun Gothic" w:hAnsi="Malgun Gothic"/>
        </w:rPr>
        <w:t xml:space="preserve">시험을 시작하기 전에 확정하여 기입한다.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400"/>
        <w:gridCol w:w="2900"/>
        <w:gridCol w:w="1726"/>
      </w:tblGrid>
      <w:tr>
        <w:trPr>
          <w:tblHeader/>
        </w:trPr>
        <w:tc>
          <w:tcPr>
            <w:tcW w:type="dxa" w:w="44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항목</w:t>
            </w:r>
          </w:p>
        </w:tc>
        <w:tc>
          <w:tcPr>
            <w:tcW w:type="dxa" w:w="29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확정값</w:t>
            </w:r>
          </w:p>
        </w:tc>
        <w:tc>
          <w:tcPr>
            <w:tcW w:type="dxa" w:w="17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확정 일시</w:t>
            </w: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주표본 사건 목록 해시와 시드</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동결: 저장소 커밋</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동결: klaw_v15_1.md git blob</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동결: 출력형식 파일 git blob</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동결: desktop.html git blob</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 V4 Flash: API 식별자·버전(스냅샷)·호출 시점·파라미터·학습 시점(공식)</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DeepSeek V4 Pro: 위와 같음</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 Sonnet 5: 위와 같음</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Claude Opus 5.5: 위와 같음</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16개 arm 목록과 시범 실행(약 20건) 결과</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개요 작성 모델과 프롬프트</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누출 탐지 모델</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법리 평가 모델과 프롬프트, 인간 평가자</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라벨 규칙 버전(스크립트 커밋)</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r>
        <w:trPr>
          <w:cantSplit/>
        </w:trPr>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이전 벤치마크·회차 배치 사건번호 대조 결과</w:t>
            </w:r>
          </w:p>
        </w:tc>
        <w:tc>
          <w:tcPr>
            <w:tcW w:type="dxa" w:w="29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c>
          <w:tcPr>
            <w:tcW w:type="dxa" w:w="17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p>
        </w:tc>
      </w:tr>
    </w:tbl>
    <w:p>
      <w:pPr>
        <w:spacing w:after="80"/>
      </w:pPr>
    </w:p>
    <w:p>
      <w:pPr>
        <w:pStyle w:val="Heading1"/>
        <w:keepNext/>
        <w:spacing w:after="140" w:before="360"/>
      </w:pPr>
      <w:r>
        <w:rPr>
          <w:rFonts w:ascii="Malgun Gothic" w:cs="Malgun Gothic" w:eastAsia="Malgun Gothic" w:hAnsi="Malgun Gothic"/>
          <w:b/>
          <w:bCs/>
        </w:rPr>
        <w:t xml:space="preserve">부록 B 표본 크기와 95% 신뢰구간 (Wilson)</w:t>
      </w:r>
    </w:p>
    <w:p>
      <w:pPr>
        <w:spacing w:after="100" w:line="300"/>
      </w:pPr>
      <w:r>
        <w:rPr>
          <w:rFonts w:ascii="Malgun Gothic" w:cs="Malgun Gothic" w:eastAsia="Malgun Gothic" w:hAnsi="Malgun Gothic"/>
        </w:rPr>
        <w:t xml:space="preserve">관측된 비율이 50%, 70%, 90%일 때 표본 크기별 95% 신뢰구간(%)이다.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2200"/>
        <w:gridCol w:w="2226"/>
      </w:tblGrid>
      <w:tr>
        <w:trPr>
          <w:tblHeader/>
        </w:trPr>
        <w:tc>
          <w:tcPr>
            <w:tcW w:type="dxa" w:w="24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표본 크기 n</w:t>
            </w:r>
          </w:p>
        </w:tc>
        <w:tc>
          <w:tcPr>
            <w:tcW w:type="dxa" w:w="22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50%</w:t>
            </w:r>
          </w:p>
        </w:tc>
        <w:tc>
          <w:tcPr>
            <w:tcW w:type="dxa" w:w="22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70%</w:t>
            </w:r>
          </w:p>
        </w:tc>
        <w:tc>
          <w:tcPr>
            <w:tcW w:type="dxa" w:w="22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90%</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30</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33.2 ~ 66.8</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52.1 ~ 83.3</w:t>
            </w:r>
          </w:p>
        </w:tc>
        <w:tc>
          <w:tcPr>
            <w:tcW w:type="dxa" w:w="2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74.4 ~ 96.5</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50</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36.6 ~ 63.4</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56.2 ~ 80.9</w:t>
            </w:r>
          </w:p>
        </w:tc>
        <w:tc>
          <w:tcPr>
            <w:tcW w:type="dxa" w:w="2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78.6 ~ 95.7</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150</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42.1 ~ 57.9</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62.2 ~ 76.8</w:t>
            </w:r>
          </w:p>
        </w:tc>
        <w:tc>
          <w:tcPr>
            <w:tcW w:type="dxa" w:w="2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84.2 ~ 93.8</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300</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44.4 ~ 55.6</w:t>
            </w:r>
          </w:p>
        </w:tc>
        <w:tc>
          <w:tcPr>
            <w:tcW w:type="dxa" w:w="2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64.6 ~ 74.9</w:t>
            </w:r>
          </w:p>
        </w:tc>
        <w:tc>
          <w:tcPr>
            <w:tcW w:type="dxa" w:w="2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86.1 ~ 92.9</w:t>
            </w:r>
          </w:p>
        </w:tc>
      </w:tr>
    </w:tbl>
    <w:p>
      <w:pPr>
        <w:spacing w:after="80"/>
      </w:pPr>
    </w:p>
    <w:p>
      <w:pPr>
        <w:spacing w:after="100" w:line="300"/>
      </w:pPr>
      <w:r>
        <w:rPr>
          <w:rFonts w:ascii="Malgun Gothic" w:cs="Malgun Gothic" w:eastAsia="Malgun Gothic" w:hAnsi="Malgun Gothic"/>
        </w:rPr>
        <w:t xml:space="preserve">예를 들어 유지 사건 150건에서 특이도가 90%로 관측되면 참값은 대략 84%에서 94% 사이일 수 있다. 하위 집단(n이 작은 경우)의 결과는 이 폭을 고려해 해석한다.</w:t>
      </w:r>
    </w:p>
    <w:p>
      <w:pPr>
        <w:pStyle w:val="Heading1"/>
        <w:keepNext/>
        <w:spacing w:after="140" w:before="360"/>
      </w:pPr>
      <w:r>
        <w:rPr>
          <w:rFonts w:ascii="Malgun Gothic" w:cs="Malgun Gothic" w:eastAsia="Malgun Gothic" w:hAnsi="Malgun Gothic"/>
          <w:b/>
          <w:bCs/>
        </w:rPr>
        <w:t xml:space="preserve">부록 C 자연 분포 재가중 (양성예측도)</w:t>
      </w:r>
    </w:p>
    <w:p>
      <w:pPr>
        <w:spacing w:after="100" w:line="300"/>
      </w:pPr>
      <w:r>
        <w:rPr>
          <w:rFonts w:ascii="Malgun Gothic" w:cs="Malgun Gothic" w:eastAsia="Malgun Gothic" w:hAnsi="Malgun Gothic"/>
        </w:rPr>
        <w:t xml:space="preserve">균형 표본에서 얻은 민감도와 특이도는 실제 파기율(p)이 다른 모집단에서 "파기 예측이 실제로 파기일 확률"(양성예측도)을 그대로 뜻하지 않는다.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BBBBBB" w:sz="4"/>
              <w:bottom w:val="single" w:color="BBBBBB" w:sz="4"/>
              <w:right w:val="single" w:color="BBBBBB" w:sz="4"/>
            </w:tcBorders>
            <w:shd w:fill="F2F2F2" w:color="auto" w:val="clear"/>
            <w:tcMar>
              <w:top w:type="dxa" w:w="110"/>
              <w:left w:type="dxa" w:w="160"/>
              <w:bottom w:type="dxa" w:w="110"/>
              <w:right w:type="dxa" w:w="160"/>
            </w:tcMar>
          </w:tcPr>
          <w:p>
            <w:pPr>
              <w:spacing w:after="50" w:line="280"/>
            </w:pPr>
            <w:r>
              <w:rPr>
                <w:rFonts w:ascii="Malgun Gothic" w:cs="Malgun Gothic" w:eastAsia="Malgun Gothic" w:hAnsi="Malgun Gothic"/>
                <w:sz w:val="19"/>
                <w:szCs w:val="19"/>
              </w:rPr>
              <w:t xml:space="preserve">양성예측도 = 민감도 × p / (민감도 × p + (1 − 특이도) × (1 − p))</w:t>
            </w:r>
          </w:p>
        </w:tc>
      </w:tr>
    </w:tbl>
    <w:p>
      <w:pPr>
        <w:spacing w:after="80"/>
      </w:pPr>
    </w:p>
    <w:p>
      <w:pPr>
        <w:spacing w:after="100" w:line="300"/>
      </w:pPr>
      <w:r>
        <w:rPr>
          <w:rFonts w:ascii="Malgun Gothic" w:cs="Malgun Gothic" w:eastAsia="Malgun Gothic" w:hAnsi="Malgun Gothic"/>
        </w:rPr>
        <w:t xml:space="preserve">민감도와 특이도가 모두 90%(또는 80%)인 경우의 값이다. 실제 상고의 파기율은 이 문서가 가정하지 않으며, 근거가 확보되면 그 값을 대입한다.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3226"/>
      </w:tblGrid>
      <w:tr>
        <w:trPr>
          <w:tblHeader/>
        </w:trPr>
        <w:tc>
          <w:tcPr>
            <w:tcW w:type="dxa" w:w="26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가정 파기율 p</w:t>
            </w:r>
          </w:p>
        </w:tc>
        <w:tc>
          <w:tcPr>
            <w:tcW w:type="dxa" w:w="3200"/>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양성예측도 (90%/90%)</w:t>
            </w:r>
          </w:p>
        </w:tc>
        <w:tc>
          <w:tcPr>
            <w:tcW w:type="dxa" w:w="3226"/>
            <w:tcBorders>
              <w:top w:val="single" w:color="BBBBBB" w:sz="4"/>
              <w:left w:val="single" w:color="BBBBBB" w:sz="4"/>
              <w:bottom w:val="single" w:color="BBBBBB" w:sz="4"/>
              <w:right w:val="single" w:color="BBBBBB" w:sz="4"/>
            </w:tcBorders>
            <w:shd w:fill="E8EEF6" w:color="auto" w:val="clear"/>
            <w:tcMar>
              <w:top w:type="dxa" w:w="70"/>
              <w:left w:type="dxa" w:w="110"/>
              <w:bottom w:type="dxa" w:w="70"/>
              <w:right w:type="dxa" w:w="110"/>
            </w:tcMar>
          </w:tcPr>
          <w:p>
            <w:pPr>
              <w:spacing w:after="40" w:line="270"/>
            </w:pPr>
            <w:r>
              <w:rPr>
                <w:rFonts w:ascii="Malgun Gothic" w:cs="Malgun Gothic" w:eastAsia="Malgun Gothic" w:hAnsi="Malgun Gothic"/>
                <w:b/>
                <w:bCs/>
                <w:sz w:val="19"/>
                <w:szCs w:val="19"/>
              </w:rPr>
              <w:t xml:space="preserve">양성예측도 (80%/80%)</w:t>
            </w:r>
          </w:p>
        </w:tc>
      </w:tr>
      <w:tr>
        <w:trPr>
          <w:cantSplit/>
        </w:trPr>
        <w:tc>
          <w:tcPr>
            <w:tcW w:type="dxa" w:w="2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w:t>
            </w:r>
          </w:p>
        </w:tc>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32.1%</w:t>
            </w:r>
          </w:p>
        </w:tc>
        <w:tc>
          <w:tcPr>
            <w:tcW w:type="dxa" w:w="3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17.4%</w:t>
            </w:r>
          </w:p>
        </w:tc>
      </w:tr>
      <w:tr>
        <w:trPr>
          <w:cantSplit/>
        </w:trPr>
        <w:tc>
          <w:tcPr>
            <w:tcW w:type="dxa" w:w="2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10%</w:t>
            </w:r>
          </w:p>
        </w:tc>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50.0%</w:t>
            </w:r>
          </w:p>
        </w:tc>
        <w:tc>
          <w:tcPr>
            <w:tcW w:type="dxa" w:w="3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30.8%</w:t>
            </w:r>
          </w:p>
        </w:tc>
      </w:tr>
      <w:tr>
        <w:trPr>
          <w:cantSplit/>
        </w:trPr>
        <w:tc>
          <w:tcPr>
            <w:tcW w:type="dxa" w:w="2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28%</w:t>
            </w:r>
          </w:p>
        </w:tc>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77.8%</w:t>
            </w:r>
          </w:p>
        </w:tc>
        <w:tc>
          <w:tcPr>
            <w:tcW w:type="dxa" w:w="3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60.9%</w:t>
            </w:r>
          </w:p>
        </w:tc>
      </w:tr>
      <w:tr>
        <w:trPr>
          <w:cantSplit/>
        </w:trPr>
        <w:tc>
          <w:tcPr>
            <w:tcW w:type="dxa" w:w="2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50%</w:t>
            </w:r>
          </w:p>
        </w:tc>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90.0%</w:t>
            </w:r>
          </w:p>
        </w:tc>
        <w:tc>
          <w:tcPr>
            <w:tcW w:type="dxa" w:w="3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80.0%</w:t>
            </w:r>
          </w:p>
        </w:tc>
      </w:tr>
      <w:tr>
        <w:trPr>
          <w:cantSplit/>
        </w:trPr>
        <w:tc>
          <w:tcPr>
            <w:tcW w:type="dxa" w:w="2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72%</w:t>
            </w:r>
          </w:p>
        </w:tc>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95.9%</w:t>
            </w:r>
          </w:p>
        </w:tc>
        <w:tc>
          <w:tcPr>
            <w:tcW w:type="dxa" w:w="322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line="270"/>
            </w:pPr>
            <w:r>
              <w:rPr>
                <w:rFonts w:ascii="Malgun Gothic" w:cs="Malgun Gothic" w:eastAsia="Malgun Gothic" w:hAnsi="Malgun Gothic"/>
                <w:sz w:val="19"/>
                <w:szCs w:val="19"/>
              </w:rPr>
              <w:t xml:space="preserve">91.1%</w:t>
            </w:r>
          </w:p>
        </w:tc>
      </w:tr>
    </w:tbl>
    <w:sectPr>
      <w:footerReference w:type="default" r:id="rId7"/>
      <w:pgSz w:w="11906" w:h="16838"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777777"/>
        <w:sz w:val="16"/>
        <w:szCs w:val="16"/>
      </w:rPr>
      <w:t xml:space="preserve">K-Law 일치도 평가 기준 v2.0 (초안) · 자체 실험 · 미검증 · 인용·이용 금지 · </w:t>
    </w:r>
    <w:r>
      <w:rPr>
        <w:rFonts w:ascii="Malgun Gothic" w:cs="Malgun Gothic" w:eastAsia="Malgun Gothic" w:hAnsi="Malgun Gothic"/>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60"/>
      <w:outlineLvl w:val="0"/>
    </w:pPr>
    <w:rPr>
      <w:rFonts w:ascii="Malgun Gothic" w:cs="Malgun Gothic" w:eastAsia="Malgun Gothic" w:hAnsi="Malgun Gothic"/>
      <w:b/>
      <w:bCs/>
      <w:color w:val="1F3864"/>
      <w:sz w:val="30"/>
      <w:szCs w:val="30"/>
    </w:rPr>
  </w:style>
  <w:style w:type="paragraph" w:styleId="Heading2">
    <w:name w:val="Heading 2"/>
    <w:basedOn w:val="Normal"/>
    <w:next w:val="Normal"/>
    <w:qFormat/>
    <w:pPr>
      <w:spacing w:after="100" w:before="220"/>
      <w:outlineLvl w:val="1"/>
    </w:pPr>
    <w:rPr>
      <w:rFonts w:ascii="Malgun Gothic" w:cs="Malgun Gothic" w:eastAsia="Malgun Gothic" w:hAnsi="Malgun Gothic"/>
      <w:b/>
      <w:bCs/>
      <w:color w:val="2F549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일치도 평가 기준 v2.0 (초안)</dc:title>
  <dc:creator>K-Law</dc:creator>
  <cp:lastModifiedBy>Un-named</cp:lastModifiedBy>
  <cp:revision>1</cp:revision>
  <dcterms:created xsi:type="dcterms:W3CDTF">2026-09-24T07:01:30.975Z</dcterms:created>
  <dcterms:modified xsi:type="dcterms:W3CDTF">2026-09-24T07:01:30.976Z</dcterms:modified>
</cp:coreProperties>
</file>

<file path=docProps/custom.xml><?xml version="1.0" encoding="utf-8"?>
<Properties xmlns="http://schemas.openxmlformats.org/officeDocument/2006/custom-properties" xmlns:vt="http://schemas.openxmlformats.org/officeDocument/2006/docPropsVTypes"/>
</file>