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sz="8" w:space="4" w:color="B45309"/>
          <w:left w:val="single" w:sz="8" w:space="4" w:color="B45309"/>
          <w:bottom w:val="single" w:sz="8" w:space="4" w:color="B45309"/>
          <w:right w:val="single" w:sz="8" w:space="4" w:color="B45309"/>
        </w:pBdr>
        <w:shd w:val="clear" w:color="auto" w:fill="FFF3CD"/>
      </w:pPr>
      <w:r>
        <w:rPr>
          <w:b/>
          <w:color w:val="B45309"/>
          <w:sz w:val="22"/>
        </w:rPr>
        <w:t xml:space="preserve">[면책 문구] </w:t>
      </w:r>
      <w:r>
        <w:rPr>
          <w:b/>
          <w:sz w:val="22"/>
        </w:rPr>
        <w:t>이 문서에 수록된 모든 데이터는 자체 실험 결과이며 제3자의 검증을 거치지 않았습니다. 또한 일부는 초안 상태입니다. 따라서 이 문서의 어떠한 내용도 어떠한 용도로도 인용하거나 이용해서는 안 됩니다.</w:t>
      </w:r>
    </w:p>
    <w:p>
      <w:pPr>
        <w:spacing w:before="800" w:after="0"/>
      </w:pPr>
      <w:r>
        <w:t xml:space="preserve"/>
      </w:r>
    </w:p>
    <w:p>
      <w:pPr>
        <w:spacing w:before="0" w:after="120"/>
        <w:jc w:val="center"/>
      </w:pPr>
      <w:r>
        <w:rPr>
          <w:rFonts w:ascii="Noto Serif KR" w:cs="Noto Serif KR" w:eastAsia="Noto Serif KR" w:hAnsi="Noto Serif KR"/>
          <w:b/>
          <w:bCs/>
          <w:color w:val="003087"/>
          <w:sz w:val="52"/>
          <w:szCs w:val="52"/>
        </w:rPr>
        <w:t xml:space="preserve">K-OpenLaw</w:t>
      </w:r>
    </w:p>
    <w:p>
      <w:pPr>
        <w:spacing w:before="0" w:after="200"/>
        <w:jc w:val="center"/>
      </w:pPr>
      <w:r>
        <w:rPr>
          <w:rFonts w:ascii="Noto Serif KR" w:cs="Noto Serif KR" w:eastAsia="Noto Serif KR" w:hAnsi="Noto Serif KR"/>
          <w:b/>
          <w:bCs/>
          <w:color w:val="001f5b"/>
          <w:sz w:val="30"/>
          <w:szCs w:val="30"/>
        </w:rPr>
        <w:t xml:space="preserve">이종 LLM 기반 자율 분쟁 해결 시스템의 실증적 연구</w:t>
      </w:r>
    </w:p>
    <w:p>
      <w:pPr>
        <w:spacing w:before="0" w:after="600"/>
        <w:jc w:val="center"/>
      </w:pPr>
      <w:r>
        <w:rPr>
          <w:rFonts w:ascii="Noto Serif KR" w:cs="Noto Serif KR" w:eastAsia="Noto Serif KR" w:hAnsi="Noto Serif KR"/>
          <w:i/>
          <w:iCs/>
          <w:color w:val="4A5568"/>
          <w:sz w:val="22"/>
          <w:szCs w:val="22"/>
        </w:rPr>
        <w:t xml:space="preserve">실제 민사소송 사례를 통한 법리 분석 능력 검증과 OpenHash-고팡 생태계의 분쟁 예방적 잠재력</w:t>
      </w:r>
    </w:p>
    <w:p>
      <w:pPr>
        <w:pBdr>
          <w:bottom w:val="single" w:color="C9A000" w:sz="6" w:space="0"/>
        </w:pBdr>
        <w:spacing w:before="0" w:after="400"/>
      </w:pPr>
      <w:r>
        <w:t xml:space="preserve"/>
      </w:r>
    </w:p>
    <w:p>
      <w:pPr>
        <w:spacing w:before="0" w:after="80"/>
        <w:jc w:val="center"/>
      </w:pPr>
      <w:r>
        <w:rPr>
          <w:rFonts w:ascii="Noto Serif KR" w:cs="Noto Serif KR" w:eastAsia="Noto Serif KR" w:hAnsi="Noto Serif KR"/>
          <w:i/>
          <w:iCs/>
          <w:color w:val="4A5568"/>
          <w:sz w:val="20"/>
          <w:szCs w:val="20"/>
        </w:rPr>
        <w:t xml:space="preserve">K-OpenLaw: An Empirical Study of a Heterogeneous LLM-Based Autonomous Dispute Resolution System</w:t>
      </w:r>
    </w:p>
    <w:p>
      <w:pPr>
        <w:spacing w:before="0" w:after="600"/>
        <w:jc w:val="center"/>
      </w:pPr>
      <w:r>
        <w:rPr>
          <w:rFonts w:ascii="Noto Serif KR" w:cs="Noto Serif KR" w:eastAsia="Noto Serif KR" w:hAnsi="Noto Serif KR"/>
          <w:i/>
          <w:iCs/>
          <w:color w:val="4A5568"/>
          <w:sz w:val="20"/>
          <w:szCs w:val="20"/>
        </w:rPr>
        <w:t xml:space="preserve">Validating Legal Reasoning Capability through Actual Civil Litigation and Examining the Preventive Potential of the OpenHash-Gopang Ecosystem</w:t>
      </w:r>
    </w:p>
    <w:p>
      <w:pPr>
        <w:spacing w:before="40" w:after="60"/>
        <w:jc w:val="center"/>
      </w:pPr>
      <w:r>
        <w:rPr>
          <w:rFonts w:ascii="Noto Serif KR" w:cs="Noto Serif KR" w:eastAsia="Noto Serif KR" w:hAnsi="Noto Serif KR"/>
          <w:color w:val="1A1A2E"/>
          <w:sz w:val="22"/>
          <w:szCs w:val="22"/>
        </w:rPr>
        <w:t xml:space="preserve">저자: [저자명]</w:t>
      </w:r>
    </w:p>
    <w:p>
      <w:pPr>
        <w:spacing w:before="40" w:after="60"/>
        <w:jc w:val="center"/>
      </w:pPr>
      <w:r>
        <w:rPr>
          <w:rFonts w:ascii="Noto Serif KR" w:cs="Noto Serif KR" w:eastAsia="Noto Serif KR" w:hAnsi="Noto Serif KR"/>
          <w:color w:val="1A1A2E"/>
          <w:sz w:val="22"/>
          <w:szCs w:val="22"/>
        </w:rPr>
        <w:t xml:space="preserve">소속: K-OpenLaw 연구그룹, AI City Inc.</w:t>
      </w:r>
    </w:p>
    <w:p>
      <w:pPr>
        <w:spacing w:before="80" w:after="80"/>
        <w:jc w:val="center"/>
      </w:pPr>
      <w:r>
        <w:rPr>
          <w:rFonts w:ascii="Noto Serif KR" w:cs="Noto Serif KR" w:eastAsia="Noto Serif KR" w:hAnsi="Noto Serif KR"/>
          <w:color w:val="4A5568"/>
          <w:sz w:val="20"/>
          <w:szCs w:val="20"/>
        </w:rPr>
        <w:t xml:space="preserve">버전: 3.5  |  작성일: 2026년 3월 20일</w:t>
      </w:r>
    </w:p>
    <w:p>
      <w:pPr>
        <w:pageBreakBefore/>
        <w:spacing w:before="0" w:after="0"/>
      </w:pPr>
      <w:r>
        <w:t xml:space="preserve"/>
      </w:r>
    </w:p>
    <w:p>
      <w:pPr>
        <w:pBdr>
          <w:bottom w:val="single" w:color="003087" w:sz="6" w:space="4"/>
        </w:pBdr>
        <w:spacing w:before="0" w:after="240"/>
        <w:jc w:val="center"/>
      </w:pPr>
      <w:r>
        <w:rPr>
          <w:rFonts w:ascii="Noto Serif KR" w:cs="Noto Serif KR" w:eastAsia="Noto Serif KR" w:hAnsi="Noto Serif KR"/>
          <w:b/>
          <w:bCs/>
          <w:color w:val="001f5b"/>
          <w:sz w:val="28"/>
          <w:szCs w:val="28"/>
        </w:rPr>
        <w:t xml:space="preserve">초  록</w:t>
      </w:r>
    </w:p>
    <w:p>
      <w:pPr>
        <w:spacing w:before="0" w:after="200"/>
        <w:jc w:val="center"/>
      </w:pPr>
      <w:r>
        <w:rPr>
          <w:rFonts w:ascii="Noto Serif KR" w:cs="Noto Serif KR" w:eastAsia="Noto Serif KR" w:hAnsi="Noto Serif KR"/>
          <w:i/>
          <w:iCs/>
          <w:color w:val="4A5568"/>
          <w:sz w:val="20"/>
          <w:szCs w:val="20"/>
        </w:rPr>
        <w:t xml:space="preserve">Abstract</w:t>
      </w:r>
    </w:p>
    <w:p>
      <w:pPr>
        <w:spacing w:before="60" w:after="60" w:line="340"/>
        <w:jc w:val="both"/>
      </w:pPr>
      <w:r>
        <w:rPr>
          <w:rFonts w:ascii="Noto Serif KR" w:cs="Noto Serif KR" w:eastAsia="Noto Serif KR" w:hAnsi="Noto Serif KR"/>
          <w:color w:val="1A1A2E"/>
          <w:sz w:val="20"/>
          <w:szCs w:val="20"/>
        </w:rPr>
        <w:t xml:space="preserve">배경: 전 세계 사법 시스템은 장기간의 소송, 고비용, 법리 불일치, 취약계층의 사법접근권 제한이라는 구조적 문제를 안고 있다. 온라인 분쟁 해결(ODR)과 대안적 분쟁 해결(ADR) 분야에서 기술 기반 접근이 활발히 논의되어 왔으나, 분쟁 발생 이후의 처리 효율화에 집중하고 분쟁 자체를 사전에 차단하는 예방적 접근을 충분히 탐구하지 않았다.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목적: 본 연구는 이종 LLM 기반 5모듈 아키텍처로 설계된 자율 분쟁 해결 시스템 K-OpenLaw의 법리 분석 능력을 실제 민사소송 사건에 적용하여 실증적으로 검증한다. 나아가 이 검증 결과가, 모든 소통을 OpenHash 분산원장으로 무결성 보장하고 AI 비서가 위법 징후를 24시간 감지·경고하는 고팡(Gopang) 플랫폼이 대중화될 경우의 분쟁 예방적 잠재력을 어느 수준에서 간접적으로 지지하는지를 논의한다.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방법: 경제적 취약계층에 속하는 자력 소송 원고 대 공기업 임대인 피고 간 임대차보증금 반환 분쟁(1심·2심 원고 패소, 대법원 상고 진행 중)에 K-OpenLaw를 적용하였다. 공정성·객관성·합리성·사실정확성·법적정당성의 5개 차원(각 100점)으로 구성된 판결 품질 평가 방법론을 적용하여 AI 생성 판결과 실제 법원 판결을 정량·정성 비교하였다. 단일 사례 연구로서의 방법론적 한계를 명시하며, 본 연구는 K-OpenLaw 시스템의 법리 분석 능력에 대한 최초의 실증적 근거를 제공하는 데 그 의의가 있다.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결과: K-OpenLaw는 1심 판결에서 11개, 2심 판결에서 8개의 법리적·절차적 오류를 식별하였다. 그 중 피고가 전혀 주장하지 않은 법리를 재판부가 독자 발굴·적용한 변론주의 위반(민사소송법 제203조)은 양 심급에서 공통적으로 발견된 중대한 절차적 하자였다. 정량 평가에서 1심 판결 41점(F), 2심 판결 35점(F)에 비해 K-OpenLaw 생성 판결은 92점(A)을 달성하였다. 전체 분석 완료 시간은 45.8분이었다.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결론: 본 연구는 K-OpenLaw가 복잡한 파산법·민사소송법 교차 사건에서 실제 법원 판결을 유의미하게 능가하는 법리 분석 능력을 보유하고 있음을 실증적으로 확인하였다. 이는 고팡 + OpenHash 생태계가 분쟁 예방이라는 장기적 비전을 달성하기 위한 강력한 간접 근거(indirect evidence)를 제공하나, 단일 사례 연구의 한계상 직접적 일반화는 향후 대규모 연구를 통해 검증되어야 한다.</w:t>
      </w:r>
    </w:p>
    <w:p>
      <w:pPr>
        <w:spacing w:before="60" w:after="60"/>
      </w:pPr>
      <w:r>
        <w:t xml:space="preserve"/>
      </w:r>
    </w:p>
    <w:p>
      <w:pPr>
        <w:spacing w:before="120" w:after="80"/>
        <w:jc w:val="both"/>
      </w:pPr>
      <w:r>
        <w:rPr>
          <w:rFonts w:ascii="Noto Serif KR" w:cs="Noto Serif KR" w:eastAsia="Noto Serif KR" w:hAnsi="Noto Serif KR"/>
          <w:b/>
          <w:bCs/>
          <w:color w:val="003087"/>
          <w:sz w:val="19"/>
          <w:szCs w:val="19"/>
        </w:rPr>
        <w:t xml:space="preserve">핵심어: </w:t>
      </w:r>
      <w:r>
        <w:rPr>
          <w:rFonts w:ascii="Noto Serif KR" w:cs="Noto Serif KR" w:eastAsia="Noto Serif KR" w:hAnsi="Noto Serif KR"/>
          <w:color w:val="1A1A2E"/>
          <w:sz w:val="19"/>
          <w:szCs w:val="19"/>
        </w:rPr>
        <w:t xml:space="preserve">자율 분쟁 해결, 이종 LLM, 예방 법학, 온라인 분쟁 해결(ODR), 오픈해시(OpenHash), 고팡(Gopang), 사법접근권, 변론주의, 규범 위계, 증거 무결성, 판결 품질 평가</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1. 서론</w:t>
      </w:r>
    </w:p>
    <w:p>
      <w:pPr>
        <w:pStyle w:val="Heading2"/>
        <w:spacing w:before="280" w:after="120" w:line="340"/>
      </w:pPr>
      <w:r>
        <w:rPr>
          <w:rFonts w:ascii="Noto Serif KR" w:cs="Noto Serif KR" w:eastAsia="Noto Serif KR" w:hAnsi="Noto Serif KR"/>
          <w:b/>
          <w:bCs/>
          <w:color w:val="003087"/>
          <w:sz w:val="26"/>
          <w:szCs w:val="26"/>
        </w:rPr>
        <w:t xml:space="preserve">1.1 사후 처방적 사법 시스템의 구조적 한계</w:t>
      </w:r>
    </w:p>
    <w:p>
      <w:pPr>
        <w:spacing w:before="60" w:after="60" w:line="340"/>
        <w:jc w:val="both"/>
      </w:pPr>
      <w:r>
        <w:rPr>
          <w:rFonts w:ascii="Noto Serif KR" w:cs="Noto Serif KR" w:eastAsia="Noto Serif KR" w:hAnsi="Noto Serif KR"/>
          <w:color w:val="1A1A2E"/>
          <w:sz w:val="20"/>
          <w:szCs w:val="20"/>
        </w:rPr>
        <w:t xml:space="preserve">현대 사법 시스템은 본질적으로 '사후 처방적'이다. 범죄나 분쟁이 발생한 이후에야 법원에 소송이 제기되고, 장기간의 심리를 거쳐 판결이 내려진다. 2024년 한 해 동안 한국 법원에 접수된 소송만 691만 건에 달하며, 1심부터 3심까지 평균 3년 이상이 소요된다(법원행정처, 2024). 법률 비용은 수천만 원에서 수억 원에 이르러, 경제적 약자에게는 사실상 사법 접근권을 포기하게 만드는 구조적 장벽으로 작용한다.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이 '사후 처방' 방식의 근본적 한계는, 아무리 판결의 질을 높이고 처리 속도를 개선해도 이미 발생한 분쟁으로 인한 정신적·물질적 피해와 사회적 비용은 되돌릴 수 없다는 데 있다. 대부분의 민·형사 분쟁은 하루아침에 발생하지 않는다. 임대차 분쟁은 수개월의 압박과 협박 후에 소송으로 이어지고, 불법 행위의 대부분은 증거가 남는 소통—채팅, 문자, 이메일, 계약서—에 그 징후를 이미 담고 있다.</w:t>
      </w:r>
    </w:p>
    <w:p>
      <w:pPr>
        <w:pStyle w:val="Heading2"/>
        <w:spacing w:before="280" w:after="120" w:line="340"/>
      </w:pPr>
      <w:r>
        <w:rPr>
          <w:rFonts w:ascii="Noto Serif KR" w:cs="Noto Serif KR" w:eastAsia="Noto Serif KR" w:hAnsi="Noto Serif KR"/>
          <w:b/>
          <w:bCs/>
          <w:color w:val="003087"/>
          <w:sz w:val="26"/>
          <w:szCs w:val="26"/>
        </w:rPr>
        <w:t xml:space="preserve">1.2 기술 기반 분쟁 해결의 발전과 한계</w:t>
      </w:r>
    </w:p>
    <w:p>
      <w:pPr>
        <w:spacing w:before="60" w:after="60" w:line="340"/>
        <w:jc w:val="both"/>
      </w:pPr>
      <w:r>
        <w:rPr>
          <w:rFonts w:ascii="Noto Serif KR" w:cs="Noto Serif KR" w:eastAsia="Noto Serif KR" w:hAnsi="Noto Serif KR"/>
          <w:color w:val="1A1A2E"/>
          <w:sz w:val="20"/>
          <w:szCs w:val="20"/>
        </w:rPr>
        <w:t xml:space="preserve">대안적 분쟁 해결(ADR)은 세계 주요 기관(ICC, AAA-ICDR, UNCITRAL 등)에서 광범위하게 채택되고 있다(Born, 2014). 1990년대 이후에는 인터넷 기반의 온라인 분쟁 해결(ODR)이 등장하여 다양한 영역에서 적용되고 있다(Katsh &amp; Rifkin, 2001; Hörnle, 2009).</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그러나 기존 ODR·ADR 시스템은 공통적인 한계를 지닌다. 첫째, 분쟁을 사전에 차단하는 구조적 메커니즘을 갖추지 않았다(Rule, 2002). 둘째, 증거의 진정성 검증 문제가 지속적으로 제기되어 왔다(Zeleznikow, 2021). 셋째, 법리 분석의 편향 가능성이다(Sourdin, 2018). Sun et al.(2025)이 지적하듯, 실시간 분쟁 예방 기능과 독립 주체 분산형 분쟁 해결 구조는 법률 AI의 미해결 과제로 남아 있다.</w:t>
      </w:r>
    </w:p>
    <w:p>
      <w:pPr>
        <w:pStyle w:val="Heading2"/>
        <w:spacing w:before="280" w:after="120" w:line="340"/>
      </w:pPr>
      <w:r>
        <w:rPr>
          <w:rFonts w:ascii="Noto Serif KR" w:cs="Noto Serif KR" w:eastAsia="Noto Serif KR" w:hAnsi="Noto Serif KR"/>
          <w:b/>
          <w:bCs/>
          <w:color w:val="003087"/>
          <w:sz w:val="26"/>
          <w:szCs w:val="26"/>
        </w:rPr>
        <w:t xml:space="preserve">1.3 본 연구의 위치와 기여</w:t>
      </w:r>
    </w:p>
    <w:p>
      <w:pPr>
        <w:spacing w:before="60" w:after="60" w:line="340"/>
        <w:jc w:val="both"/>
      </w:pPr>
      <w:r>
        <w:rPr>
          <w:rFonts w:ascii="Noto Serif KR" w:cs="Noto Serif KR" w:eastAsia="Noto Serif KR" w:hAnsi="Noto Serif KR"/>
          <w:color w:val="1A1A2E"/>
          <w:sz w:val="20"/>
          <w:szCs w:val="20"/>
        </w:rPr>
        <w:t xml:space="preserve">본 연구는 위에서 식별된 세 가지 한계를 동시에 해결하는 통합 시스템 K-OpenLaw와 그 기반 인프라인 OpenHash-고팡 생태계를 소개하고, 실제 민사소송 사건 적용을 통해 핵심 성능을 실증한다. 기존 ODR·ADR 시스템과의 차별성은 다음 네 가지이다.</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차별점 1 — 증거 무결성의 기술적 보장: OpenHash 기반 고팡은 소통 기록이 생성되는 순간부터 분산원장에 등록하여 사후 위변조를 기술적으로 불가능하게 만든다. 증거 진정성 문제를 '해결'이 아닌 '원천 제거'하는 구조적 차이이다.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차별점 2 — 독립 주체 분산형 대립 논증 구조: K-OpenLaw는 원고 측·피고 측·중재·판정 모듈의 운용 주체를 각각 완전히 독립시켜, 어떤 단일 주체도 전체 절차를 통제하거나 조작할 수 없는 구조를 실현한다.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차별점 3 — 예방 법학 기능의 플랫폼 통합: 고팡의 AI 비서는 일상적 소통 과정에서 위법 징후를 실시간으로 감지·경고한다. Louis Brown(1950)의 예방 법학(Preventive Law)을 AI와 분산원장 기술로 플랫폼 수준에서 구현한 최초의 사례이다.</w:t>
      </w:r>
    </w:p>
    <w:p>
      <w:pPr>
        <w:spacing w:before="60" w:after="60"/>
      </w:pPr>
      <w:r>
        <w:t xml:space="preserve"/>
      </w:r>
    </w:p>
    <w:p>
      <w:pPr>
        <w:pStyle w:val="Heading3"/>
        <w:spacing w:before="200" w:after="80" w:line="340"/>
      </w:pPr>
      <w:r>
        <w:rPr>
          <w:rFonts w:ascii="Noto Serif KR" w:cs="Noto Serif KR" w:eastAsia="Noto Serif KR" w:hAnsi="Noto Serif KR"/>
          <w:b/>
          <w:bCs/>
          <w:color w:val="001f5b"/>
          <w:sz w:val="22"/>
          <w:szCs w:val="22"/>
        </w:rPr>
        <w:t xml:space="preserve">차별점 4: 심급별 누적 법리 비교 구도 — 보완적 방안 탐색을 위한 새 방법론</w:t>
      </w:r>
    </w:p>
    <w:p>
      <w:pPr>
        <w:spacing w:before="60" w:after="60" w:line="340"/>
        <w:jc w:val="both"/>
      </w:pPr>
      <w:r>
        <w:rPr>
          <w:rFonts w:ascii="Noto Serif KR" w:cs="Noto Serif KR" w:eastAsia="Noto Serif KR" w:hAnsi="Noto Serif KR"/>
          <w:color w:val="1A1A2E"/>
          <w:sz w:val="20"/>
          <w:szCs w:val="20"/>
        </w:rPr>
        <w:t xml:space="preserve">본 연구에서 설계된 심급별 법리 비교 실험은, AI 시스템이 법조인보다 우월함을 입증하기 위한 것이 아니다. 오히려 그 반대이다. 개별 법조인이 불가피하게 직면하는 인지적 편향, 정보 처리의 한계, 규범 위계 적용의 불일치를 체계적으로 식별하고, 이를 보완할 합리적 기술적 방안을 탐색하는 것이 본 연구의 근본 목적이다. 이를 위해 AI 시스템과 실제 소송 과정이 자연스럽게 형성한 경쟁 협력적 구도(co-opetitive setting)를 방법론적으로 활용하였다.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이 구도의 특징은 각 심급이 진행될수록 비교 준거가 누적된다는 점이다. 상위 심급의 판결문이 추가될수록 법리 논쟁의 지평이 확장되며, K-OpenLaw의 분석 결과는 더 두텁고 다층적인 법리 준거와 비교·검증된다.</w:t>
      </w:r>
    </w:p>
    <w:p>
      <w:pPr>
        <w:spacing w:before="60" w:after="60"/>
      </w:pPr>
      <w:r>
        <w:t xml:space="preserve"/>
      </w:r>
    </w:p>
    <w:tbl>
      <w:tblPr>
        <w:tblW w:type="dxa" w:w="7620"/>
        <w:tblBorders>
          <w:top w:val="single" w:color="auto" w:sz="4"/>
          <w:left w:val="single" w:color="auto" w:sz="4"/>
          <w:bottom w:val="single" w:color="auto" w:sz="4"/>
          <w:right w:val="single" w:color="auto" w:sz="4"/>
          <w:insideH w:val="single" w:color="auto" w:sz="4"/>
          <w:insideV w:val="single" w:color="auto" w:sz="4"/>
        </w:tblBorders>
      </w:tblPr>
      <w:tblGrid>
        <w:gridCol w:w="900"/>
        <w:gridCol w:w="2860"/>
        <w:gridCol w:w="3860"/>
      </w:tblGrid>
      <w:tr>
        <w:tc>
          <w:tcPr>
            <w:tcW w:type="dxa" w:w="90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심급</w:t>
            </w:r>
          </w:p>
        </w:tc>
        <w:tc>
          <w:tcPr>
            <w:tcW w:type="dxa" w:w="286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K-OpenLaw 측 준거</w:t>
            </w:r>
          </w:p>
        </w:tc>
        <w:tc>
          <w:tcPr>
            <w:tcW w:type="dxa" w:w="386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법리 비교 준거 (심급별 누적)</w:t>
            </w:r>
          </w:p>
        </w:tc>
      </w:tr>
      <w:tr>
        <w:tc>
          <w:tcPr>
            <w:tcW w:type="dxa" w:w="900"/>
            <w:tcBorders>
              <w:top w:val="single" w:color="CCCCCC" w:sz="1"/>
              <w:left w:val="single" w:color="CCCCCC" w:sz="1"/>
              <w:bottom w:val="single" w:color="CCCCCC" w:sz="1"/>
              <w:right w:val="single" w:color="CCCCCC" w:sz="1"/>
            </w:tcBorders>
            <w:shd w:fill="E8EDF7" w:val="clear"/>
            <w:tcMar>
              <w:top w:type="dxa" w:w="60"/>
              <w:left w:type="dxa" w:w="120"/>
              <w:bottom w:type="dxa" w:w="60"/>
              <w:right w:type="dxa" w:w="120"/>
            </w:tcMar>
          </w:tcPr>
          <w:p>
            <w:pPr>
              <w:jc w:val="center"/>
            </w:pPr>
            <w:r>
              <w:rPr>
                <w:rFonts w:ascii="Noto Serif KR" w:cs="Noto Serif KR" w:eastAsia="Noto Serif KR" w:hAnsi="Noto Serif KR"/>
                <w:b/>
                <w:bCs/>
                <w:color w:val="001f5b"/>
                <w:sz w:val="19"/>
                <w:szCs w:val="19"/>
              </w:rPr>
              <w:t xml:space="preserve">1심</w:t>
            </w:r>
          </w:p>
        </w:tc>
        <w:tc>
          <w:tcPr>
            <w:tcW w:type="dxa" w:w="286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원고 측 주장 + K-OpenLaw 분석</w:t>
            </w:r>
          </w:p>
        </w:tc>
        <w:tc>
          <w:tcPr>
            <w:tcW w:type="dxa" w:w="386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피고 측 주장 (법무팀 + 전속 변호사 + 복변호사)</w:t>
            </w:r>
          </w:p>
        </w:tc>
      </w:tr>
      <w:tr>
        <w:tc>
          <w:tcPr>
            <w:tcW w:type="dxa" w:w="900"/>
            <w:tcBorders>
              <w:top w:val="single" w:color="CCCCCC" w:sz="1"/>
              <w:left w:val="single" w:color="CCCCCC" w:sz="1"/>
              <w:bottom w:val="single" w:color="CCCCCC" w:sz="1"/>
              <w:right w:val="single" w:color="CCCCCC" w:sz="1"/>
            </w:tcBorders>
            <w:shd w:fill="E8EDF7" w:val="clear"/>
            <w:tcMar>
              <w:top w:type="dxa" w:w="60"/>
              <w:left w:type="dxa" w:w="120"/>
              <w:bottom w:type="dxa" w:w="60"/>
              <w:right w:type="dxa" w:w="120"/>
            </w:tcMar>
          </w:tcPr>
          <w:p>
            <w:pPr>
              <w:jc w:val="center"/>
            </w:pPr>
            <w:r>
              <w:rPr>
                <w:rFonts w:ascii="Noto Serif KR" w:cs="Noto Serif KR" w:eastAsia="Noto Serif KR" w:hAnsi="Noto Serif KR"/>
                <w:b/>
                <w:bCs/>
                <w:color w:val="001f5b"/>
                <w:sz w:val="19"/>
                <w:szCs w:val="19"/>
              </w:rPr>
              <w:t xml:space="preserve">2심</w:t>
            </w:r>
          </w:p>
        </w:tc>
        <w:tc>
          <w:tcPr>
            <w:tcW w:type="dxa" w:w="286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원고 측 주장 + K-OpenLaw 분석</w:t>
            </w:r>
          </w:p>
        </w:tc>
        <w:tc>
          <w:tcPr>
            <w:tcW w:type="dxa" w:w="386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피고 측 주장 + 1심 판결문 (단독 판사 1인)</w:t>
            </w:r>
          </w:p>
        </w:tc>
      </w:tr>
      <w:tr>
        <w:tc>
          <w:tcPr>
            <w:tcW w:type="dxa" w:w="900"/>
            <w:tcBorders>
              <w:top w:val="single" w:color="CCCCCC" w:sz="1"/>
              <w:left w:val="single" w:color="CCCCCC" w:sz="1"/>
              <w:bottom w:val="single" w:color="CCCCCC" w:sz="1"/>
              <w:right w:val="single" w:color="CCCCCC" w:sz="1"/>
            </w:tcBorders>
            <w:shd w:fill="E8EDF7" w:val="clear"/>
            <w:tcMar>
              <w:top w:type="dxa" w:w="60"/>
              <w:left w:type="dxa" w:w="120"/>
              <w:bottom w:type="dxa" w:w="60"/>
              <w:right w:type="dxa" w:w="120"/>
            </w:tcMar>
          </w:tcPr>
          <w:p>
            <w:pPr>
              <w:jc w:val="center"/>
            </w:pPr>
            <w:r>
              <w:rPr>
                <w:rFonts w:ascii="Noto Serif KR" w:cs="Noto Serif KR" w:eastAsia="Noto Serif KR" w:hAnsi="Noto Serif KR"/>
                <w:b/>
                <w:bCs/>
                <w:color w:val="001f5b"/>
                <w:sz w:val="19"/>
                <w:szCs w:val="19"/>
              </w:rPr>
              <w:t xml:space="preserve">3심</w:t>
            </w:r>
          </w:p>
        </w:tc>
        <w:tc>
          <w:tcPr>
            <w:tcW w:type="dxa" w:w="286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원고 측 주장 + K-OpenLaw 분석</w:t>
            </w:r>
          </w:p>
        </w:tc>
        <w:tc>
          <w:tcPr>
            <w:tcW w:type="dxa" w:w="386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피고 측 주장 + 1·2심 판결문 (판사 3인)</w:t>
            </w:r>
          </w:p>
        </w:tc>
      </w:tr>
      <w:tr>
        <w:tc>
          <w:tcPr>
            <w:tcW w:type="dxa" w:w="900"/>
            <w:tcBorders>
              <w:top w:val="single" w:color="CCCCCC" w:sz="1"/>
              <w:left w:val="single" w:color="CCCCCC" w:sz="1"/>
              <w:bottom w:val="single" w:color="CCCCCC" w:sz="1"/>
              <w:right w:val="single" w:color="CCCCCC" w:sz="1"/>
            </w:tcBorders>
            <w:shd w:fill="E8EDF7" w:val="clear"/>
            <w:tcMar>
              <w:top w:type="dxa" w:w="60"/>
              <w:left w:type="dxa" w:w="120"/>
              <w:bottom w:type="dxa" w:w="60"/>
              <w:right w:type="dxa" w:w="120"/>
            </w:tcMar>
          </w:tcPr>
          <w:p>
            <w:pPr>
              <w:jc w:val="center"/>
            </w:pPr>
            <w:r>
              <w:rPr>
                <w:rFonts w:ascii="Noto Serif KR" w:cs="Noto Serif KR" w:eastAsia="Noto Serif KR" w:hAnsi="Noto Serif KR"/>
                <w:b/>
                <w:bCs/>
                <w:color w:val="001f5b"/>
                <w:sz w:val="19"/>
                <w:szCs w:val="19"/>
              </w:rPr>
              <w:t xml:space="preserve">헌법소원</w:t>
            </w:r>
          </w:p>
        </w:tc>
        <w:tc>
          <w:tcPr>
            <w:tcW w:type="dxa" w:w="286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원고 측 주장 + K-OpenLaw 분석</w:t>
            </w:r>
          </w:p>
        </w:tc>
        <w:tc>
          <w:tcPr>
            <w:tcW w:type="dxa" w:w="386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피고 측 주장 + 1·2·3심 판결문 + 헌법재판소 의견</w:t>
            </w:r>
          </w:p>
        </w:tc>
      </w:tr>
    </w:tbl>
    <w:p>
      <w:pPr>
        <w:spacing w:before="60" w:after="60"/>
      </w:pPr>
      <w:r>
        <w:t xml:space="preserve"/>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중요: 이 구도는 각 심급의 판결을 평가하거나 판사·법조인의 역량을 측정하기 위한 것이 아니다. 기존 법조인의 사회적 기능을 보완하고 보강하기 위한 합리적 방안을 도출하는 것이 목적이며, 동일한 법적 쟁점에 대해 AI 분석과 실제 법원 판단의 구조적 차이를 학술적으로 기록하는 데 그 의의가 있다.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저자들이 아는 한, 실제 법원에서 진행 중인 소송의 각 심급 판결문을 누적 비교 준거로 삼아 AI 법리 분석 결과와 교차 평가한 연구는 기존 문헌에 보고된 바 없다.</w:t>
      </w:r>
    </w:p>
    <w:p>
      <w:pPr>
        <w:pStyle w:val="Heading2"/>
        <w:spacing w:before="280" w:after="120" w:line="340"/>
      </w:pPr>
      <w:r>
        <w:rPr>
          <w:rFonts w:ascii="Noto Serif KR" w:cs="Noto Serif KR" w:eastAsia="Noto Serif KR" w:hAnsi="Noto Serif KR"/>
          <w:b/>
          <w:bCs/>
          <w:color w:val="003087"/>
          <w:sz w:val="26"/>
          <w:szCs w:val="26"/>
        </w:rPr>
        <w:t xml:space="preserve">1.4 연구의 실제적 맥락</w:t>
      </w:r>
    </w:p>
    <w:p>
      <w:pPr>
        <w:spacing w:before="60" w:after="60" w:line="340"/>
        <w:jc w:val="both"/>
      </w:pPr>
      <w:r>
        <w:rPr>
          <w:rFonts w:ascii="Noto Serif KR" w:cs="Noto Serif KR" w:eastAsia="Noto Serif KR" w:hAnsi="Noto Serif KR"/>
          <w:color w:val="1A1A2E"/>
          <w:sz w:val="20"/>
          <w:szCs w:val="20"/>
        </w:rPr>
        <w:t xml:space="preserve">본 연구는 단순한 소급 데이터 분석에 그치지 않는다. 현재 대법원 상고심이 진행 중인 이 사건에서, K-OpenLaw 시스템은 원고 측의 법리 분석을 지원하는 실제적 도구로 기능하고 있다. 구체적으로, 법률 대리인을 두지 않은 원고는 AI 전문가(비법조인)의 기술적 지원을 받아 K-OpenLaw를 직접 활용하여 자력 소송을 수행하였다.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이 사실은 본 연구의 두 가지 핵심 의의를 동시에 보여준다. 첫째, K-OpenLaw가 법조인이 아닌 일반 당사자도 접근·활용할 수 있는 사법 지원 도구임을 실전에서 입증한다. 둘째, 각 심급에서 K-OpenLaw가 생성한 법리 검토 결과는 원고 측 주장의 근거로 실제 법원에 제출·활용되었으며, 이에 대해 피고 측 변호인단 및 각 심급 법원의 판결문이 제시한 법리는 상대적 준거점으로 기능하였다.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따라서 본 연구에서 비교하는 'AI 생성 판결'과 '실제 법원 판결'은 단순한 텍스트 대조가 아니라, 동일한 사실관계를 둘러싸고 실제 법정에서 경합한 법리적 입장들의 체계적 대비라는 성격을 갖는다. 이 과정은 AI와 인간 법조인이 동일 법적 쟁점에 대해 각자의 방식으로 법리를 전개하고 그 결과가 법원이라는 공론장에서 검증되는, 일종의 협력적 경합(co-opetition)의 구조를 자연스럽게 형성한다.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저자들이 아는 한, AI 기반 법리 분석 시스템이 실제 소송에서 원고 측 자력 소송의 법리 지원 도구로 기능하면서, 피고 측 변호인단 및 각 심급 법원의 법리 판단과 체계적으로 대비된 사례는 기존 문헌에 보고된 바 없다. 이러한 점에서 본 연구는 AI 시스템이 실제 사법 과정에 개입하여 인간 법조인 및 법원의 판단과 방법론적으로 비교·검증된 최초의 실증 연구로서의 의의를 지닌다.</w:t>
      </w:r>
    </w:p>
    <w:p>
      <w:pPr>
        <w:pStyle w:val="Heading2"/>
        <w:spacing w:before="280" w:after="120" w:line="340"/>
      </w:pPr>
      <w:r>
        <w:rPr>
          <w:rFonts w:ascii="Noto Serif KR" w:cs="Noto Serif KR" w:eastAsia="Noto Serif KR" w:hAnsi="Noto Serif KR"/>
          <w:b/>
          <w:bCs/>
          <w:color w:val="003087"/>
          <w:sz w:val="26"/>
          <w:szCs w:val="26"/>
        </w:rPr>
        <w:t xml:space="preserve">1.5 연구 질문</w:t>
      </w:r>
    </w:p>
    <w:p>
      <w:pPr>
        <w:spacing w:before="80" w:after="60" w:line="340"/>
        <w:ind w:left="560"/>
      </w:pPr>
      <w:r>
        <w:rPr>
          <w:rFonts w:ascii="Noto Serif KR" w:cs="Noto Serif KR" w:eastAsia="Noto Serif KR" w:hAnsi="Noto Serif KR"/>
          <w:color w:val="1A1A2E"/>
          <w:sz w:val="20"/>
          <w:szCs w:val="20"/>
        </w:rPr>
        <w:t xml:space="preserve">RQ1: K-OpenLaw는 파산법·민사소송법·임대차법이 교차하는 복잡한 실제 민사 사건에서 법원 판결의 법리적 오류를 체계적으로 식별하고, 헌법 및 상위 법률 원칙에 부합하는 우수한 대안 판결을 생성할 수 있는가?</w:t>
      </w:r>
    </w:p>
    <w:p>
      <w:pPr>
        <w:spacing w:before="80" w:after="60" w:line="340"/>
        <w:ind w:left="560"/>
      </w:pPr>
      <w:r>
        <w:rPr>
          <w:rFonts w:ascii="Noto Serif KR" w:cs="Noto Serif KR" w:eastAsia="Noto Serif KR" w:hAnsi="Noto Serif KR"/>
          <w:color w:val="1A1A2E"/>
          <w:sz w:val="20"/>
          <w:szCs w:val="20"/>
        </w:rPr>
        <w:t xml:space="preserve">RQ2: K-OpenLaw의 법리 분석 능력 실증은, OpenHash-고팡 생태계의 분쟁 예방적 잠재력에 대한 간접적 근거로서 어느 수준의 타당성을 갖는가?</w:t>
      </w:r>
    </w:p>
    <w:p>
      <w:pPr>
        <w:spacing w:before="80" w:after="60" w:line="340"/>
        <w:ind w:left="560"/>
      </w:pPr>
      <w:r>
        <w:rPr>
          <w:rFonts w:ascii="Noto Serif KR" w:cs="Noto Serif KR" w:eastAsia="Noto Serif KR" w:hAnsi="Noto Serif KR"/>
          <w:color w:val="1A1A2E"/>
          <w:sz w:val="20"/>
          <w:szCs w:val="20"/>
        </w:rPr>
        <w:t xml:space="preserve">RQ3: OpenHash 기반 증거 무결성 보장은 분쟁 해결의 효율성과 신뢰성에 어떤 실질적 기여를 하는가?</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2. 배경 및 선행연구</w:t>
      </w:r>
    </w:p>
    <w:p>
      <w:pPr>
        <w:pStyle w:val="Heading2"/>
        <w:spacing w:before="280" w:after="120" w:line="340"/>
      </w:pPr>
      <w:r>
        <w:rPr>
          <w:rFonts w:ascii="Noto Serif KR" w:cs="Noto Serif KR" w:eastAsia="Noto Serif KR" w:hAnsi="Noto Serif KR"/>
          <w:b/>
          <w:bCs/>
          <w:color w:val="003087"/>
          <w:sz w:val="26"/>
          <w:szCs w:val="26"/>
        </w:rPr>
        <w:t xml:space="preserve">2.1 예방 법학(Preventive Law)의 이론적 기반</w:t>
      </w:r>
    </w:p>
    <w:p>
      <w:pPr>
        <w:spacing w:before="60" w:after="60" w:line="340"/>
        <w:jc w:val="both"/>
      </w:pPr>
      <w:r>
        <w:rPr>
          <w:rFonts w:ascii="Noto Serif KR" w:cs="Noto Serif KR" w:eastAsia="Noto Serif KR" w:hAnsi="Noto Serif KR"/>
          <w:color w:val="1A1A2E"/>
          <w:sz w:val="20"/>
          <w:szCs w:val="20"/>
        </w:rPr>
        <w:t xml:space="preserve">예방 법학(Preventive Law)은 Louis Brown(1950)이 체계화한 개념으로, 법률 전문가의 역할이 분쟁 발생 후 사후 대응이 아니라 분쟁 자체를 예방하는 사전 조언에 있다는 철학을 담고 있다. Brown에 따르면 대부분의 법적 문제는 당사자가 행위 시점에서 법적 함의를 충분히 인식하지 못하거나, 분쟁으로 비화할 수 있는 소통을 관리하지 못하는 데서 비롯된다. Dauer(1994)는 예방 법학을 조직 차원에서 확장하여 "법적 건강 감사(Legal Health Audit)" 개념을 제안하였다.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Barton &amp; Bibas(2017)는 법률 자동화가 법적 서비스의 민주화를 통해 예방적 법률 접근성을 확대할 수 있음을 논하였다. 그러나 예방 법학을 실시간 소통 분석 및 분산원장 증거 보존과 결합하는 기술적 시스템의 설계와 실증은 아직 탐구되지 않은 영역으로 남아 있다.</w:t>
      </w:r>
    </w:p>
    <w:p>
      <w:pPr>
        <w:pStyle w:val="Heading2"/>
        <w:spacing w:before="280" w:after="120" w:line="340"/>
      </w:pPr>
      <w:r>
        <w:rPr>
          <w:rFonts w:ascii="Noto Serif KR" w:cs="Noto Serif KR" w:eastAsia="Noto Serif KR" w:hAnsi="Noto Serif KR"/>
          <w:b/>
          <w:bCs/>
          <w:color w:val="003087"/>
          <w:sz w:val="26"/>
          <w:szCs w:val="26"/>
        </w:rPr>
        <w:t xml:space="preserve">2.2 온라인 분쟁 해결(ODR)의 발전과 한계</w:t>
      </w:r>
    </w:p>
    <w:p>
      <w:pPr>
        <w:spacing w:before="60" w:after="60" w:line="340"/>
        <w:jc w:val="both"/>
      </w:pPr>
      <w:r>
        <w:rPr>
          <w:rFonts w:ascii="Noto Serif KR" w:cs="Noto Serif KR" w:eastAsia="Noto Serif KR" w:hAnsi="Noto Serif KR"/>
          <w:color w:val="1A1A2E"/>
          <w:sz w:val="20"/>
          <w:szCs w:val="20"/>
        </w:rPr>
        <w:t xml:space="preserve">ODR의 개념적 기초는 Katsh &amp; Rifkin(2001)에서 마련되었다. 이들은 인터넷이 분쟁 해결에 있어 "제4의 당사자(Fourth Party)"로 기능할 수 있음을 주장하였다. 이후 eBay Resolution Center, ICANN UDRP, 유럽연합의 ODR 플랫폼(Directive 2013/11/EU) 등이 실용적 ODR 시스템으로 정착하였다.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Zeleznikow(2021)는 ODR의 핵심 과제로 (1) 증거 진정성 보장, (2) 알고리즘 편향 방지, (3) 법리적 정확성 확보를 제시하였다. 본 연구의 시스템은 이 세 과제에 각각 OpenHash, 이종 LLM 대립 논증, 6단계 규범 위계 데이터베이스로 대응한다.</w:t>
      </w:r>
    </w:p>
    <w:p>
      <w:pPr>
        <w:pStyle w:val="Heading2"/>
        <w:spacing w:before="280" w:after="120" w:line="340"/>
      </w:pPr>
      <w:r>
        <w:rPr>
          <w:rFonts w:ascii="Noto Serif KR" w:cs="Noto Serif KR" w:eastAsia="Noto Serif KR" w:hAnsi="Noto Serif KR"/>
          <w:b/>
          <w:bCs/>
          <w:color w:val="003087"/>
          <w:sz w:val="26"/>
          <w:szCs w:val="26"/>
        </w:rPr>
        <w:t xml:space="preserve">2.3 대안적 분쟁 해결(ADR)과 AI의 결합</w:t>
      </w:r>
    </w:p>
    <w:p>
      <w:pPr>
        <w:spacing w:before="60" w:after="60" w:line="340"/>
        <w:jc w:val="both"/>
      </w:pPr>
      <w:r>
        <w:rPr>
          <w:rFonts w:ascii="Noto Serif KR" w:cs="Noto Serif KR" w:eastAsia="Noto Serif KR" w:hAnsi="Noto Serif KR"/>
          <w:color w:val="1A1A2E"/>
          <w:sz w:val="20"/>
          <w:szCs w:val="20"/>
        </w:rPr>
        <w:t xml:space="preserve">Sourdin(2018)은 AI를 "의사결정 지원자", "의사결정 대체자", "의사결정자"의 세 단계로 분류하였다. 현재 대부분의 상용 시스템은 첫 번째 단계에 머물고 있다. 본 연구의 K-OpenLaw는 세 번째 단계(AI 판결 생성)에 도달하되, 인간 법관의 최종 승인을 통해 사법적 권위를 보존하는 하이브리드 구조를 채택한다는 점에서 기존 연구와 차별화된다.</w:t>
      </w:r>
    </w:p>
    <w:p>
      <w:pPr>
        <w:pStyle w:val="Heading2"/>
        <w:spacing w:before="280" w:after="120" w:line="340"/>
      </w:pPr>
      <w:r>
        <w:rPr>
          <w:rFonts w:ascii="Noto Serif KR" w:cs="Noto Serif KR" w:eastAsia="Noto Serif KR" w:hAnsi="Noto Serif KR"/>
          <w:b/>
          <w:bCs/>
          <w:color w:val="003087"/>
          <w:sz w:val="26"/>
          <w:szCs w:val="26"/>
        </w:rPr>
        <w:t xml:space="preserve">2.4 LLM 기반 법률 AI의 현황</w:t>
      </w:r>
    </w:p>
    <w:p>
      <w:pPr>
        <w:spacing w:before="60" w:after="60" w:line="340"/>
        <w:jc w:val="both"/>
      </w:pPr>
      <w:r>
        <w:rPr>
          <w:rFonts w:ascii="Noto Serif KR" w:cs="Noto Serif KR" w:eastAsia="Noto Serif KR" w:hAnsi="Noto Serif KR"/>
          <w:color w:val="1A1A2E"/>
          <w:sz w:val="20"/>
          <w:szCs w:val="20"/>
        </w:rPr>
        <w:t xml:space="preserve">He et al.(2024)의 AgentsCourt, Jiang &amp; Yang(2024)의 AgentsBench, Chen et al.(2025)의 AgentCourt 등이 멀티 에이전트 LLM 기반 법정 시뮬레이션의 가능성을 탐구하였다. 그러나 이들 연구의 공통적 한계로는 ① 단일 연구 주체에 의한 중앙 집중형 운용, ② 실제 법원 판결과의 정량적 비교 검증 부재, ③ 증거 무결성 검증 메커니즘 부재, ④ 분쟁 예방 기능 부재가 있다.</w:t>
      </w:r>
    </w:p>
    <w:p>
      <w:pPr>
        <w:pStyle w:val="Heading2"/>
        <w:spacing w:before="280" w:after="120" w:line="340"/>
      </w:pPr>
      <w:r>
        <w:rPr>
          <w:rFonts w:ascii="Noto Serif KR" w:cs="Noto Serif KR" w:eastAsia="Noto Serif KR" w:hAnsi="Noto Serif KR"/>
          <w:b/>
          <w:bCs/>
          <w:color w:val="003087"/>
          <w:sz w:val="26"/>
          <w:szCs w:val="26"/>
        </w:rPr>
        <w:t xml:space="preserve">2.5 연구 공백의 정의</w:t>
      </w:r>
    </w:p>
    <w:p>
      <w:pPr>
        <w:spacing w:before="60" w:after="60" w:line="340"/>
        <w:jc w:val="both"/>
      </w:pPr>
      <w:r>
        <w:rPr>
          <w:rFonts w:ascii="Noto Serif KR" w:cs="Noto Serif KR" w:eastAsia="Noto Serif KR" w:hAnsi="Noto Serif KR"/>
          <w:color w:val="1A1A2E"/>
          <w:sz w:val="20"/>
          <w:szCs w:val="20"/>
        </w:rPr>
        <w:t xml:space="preserve">위 검토를 종합하면, 다음의 세 가지 요소를 동시에 갖춘 연구는 아직 존재하지 않는다: (a) 소통 기록의 생성 시점부터 분산원장으로 무결성을 보장하는 증거 관리 시스템과 법률 AI의 통합, (b) 운용 주체가 완전히 독립된 이종 LLM 기반 대립 논증 구조, (c) 실제 법원에서 진행된 사건을 대상으로 한 정량적 판결 품질 비교. 본 연구는 이 세 가지를 통합한 K-OpenLaw 시스템의 첫 번째 실증 연구이다.</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3. 시스템 아키텍처</w:t>
      </w:r>
    </w:p>
    <w:p>
      <w:pPr>
        <w:pStyle w:val="Heading2"/>
        <w:spacing w:before="280" w:after="120" w:line="340"/>
      </w:pPr>
      <w:r>
        <w:rPr>
          <w:rFonts w:ascii="Noto Serif KR" w:cs="Noto Serif KR" w:eastAsia="Noto Serif KR" w:hAnsi="Noto Serif KR"/>
          <w:b/>
          <w:bCs/>
          <w:color w:val="003087"/>
          <w:sz w:val="26"/>
          <w:szCs w:val="26"/>
        </w:rPr>
        <w:t xml:space="preserve">3.1 OpenHash-고팡-K-OpenLaw 통합 구조</w:t>
      </w:r>
    </w:p>
    <w:p>
      <w:pPr>
        <w:spacing w:before="60" w:after="60" w:line="340"/>
        <w:jc w:val="both"/>
      </w:pPr>
      <w:r>
        <w:rPr>
          <w:rFonts w:ascii="Noto Serif KR" w:cs="Noto Serif KR" w:eastAsia="Noto Serif KR" w:hAnsi="Noto Serif KR"/>
          <w:color w:val="1A1A2E"/>
          <w:sz w:val="20"/>
          <w:szCs w:val="20"/>
        </w:rPr>
        <w:t xml:space="preserve">본 연구가 다루는 시스템은 세 기술 계층의 통합으로 구성된다. 각 계층은 독립적으로 기능하면서도 상호 보완적 선순환을 형성한다.</w:t>
      </w:r>
    </w:p>
    <w:p>
      <w:pPr>
        <w:spacing w:before="60" w:after="60"/>
      </w:pPr>
      <w:r>
        <w:t xml:space="preserve"/>
      </w:r>
    </w:p>
    <w:tbl>
      <w:tblPr>
        <w:tblW w:type="dxa" w:w="7620"/>
        <w:tblBorders>
          <w:top w:val="single" w:color="auto" w:sz="4"/>
          <w:left w:val="single" w:color="auto" w:sz="4"/>
          <w:bottom w:val="single" w:color="auto" w:sz="4"/>
          <w:right w:val="single" w:color="auto" w:sz="4"/>
          <w:insideH w:val="single" w:color="auto" w:sz="4"/>
          <w:insideV w:val="single" w:color="auto" w:sz="4"/>
        </w:tblBorders>
      </w:tblPr>
      <w:tblGrid>
        <w:gridCol w:w="1800"/>
        <w:gridCol w:w="5820"/>
      </w:tblGrid>
      <w:tr>
        <w:tc>
          <w:tcPr>
            <w:tcW w:type="dxa" w:w="1800"/>
            <w:tcBorders>
              <w:top w:val="single" w:color="003087" w:sz="1"/>
              <w:left w:val="single" w:color="003087" w:sz="1"/>
              <w:bottom w:val="single" w:color="003087" w:sz="1"/>
              <w:right w:val="single" w:color="003087" w:sz="1"/>
            </w:tcBorders>
            <w:shd w:fill="003087" w:val="clear"/>
            <w:tcMar>
              <w:top w:type="dxa" w:w="100"/>
              <w:left w:type="dxa" w:w="140"/>
              <w:bottom w:type="dxa" w:w="100"/>
              <w:right w:type="dxa" w:w="140"/>
            </w:tcMar>
          </w:tcPr>
          <w:p>
            <w:pPr>
              <w:jc w:val="center"/>
            </w:pPr>
            <w:r>
              <w:rPr>
                <w:rFonts w:ascii="Noto Serif KR" w:cs="Noto Serif KR" w:eastAsia="Noto Serif KR" w:hAnsi="Noto Serif KR"/>
                <w:b/>
                <w:bCs/>
                <w:color w:val="FFFFFF"/>
                <w:sz w:val="17"/>
                <w:szCs w:val="17"/>
              </w:rPr>
              <w:t xml:space="preserve">Layer 1</w:t>
            </w:r>
          </w:p>
          <w:p>
            <w:pPr>
              <w:jc w:val="center"/>
            </w:pPr>
            <w:r>
              <w:rPr>
                <w:rFonts w:ascii="Noto Serif KR" w:cs="Noto Serif KR" w:eastAsia="Noto Serif KR" w:hAnsi="Noto Serif KR"/>
                <w:b/>
                <w:bCs/>
                <w:color w:val="FFFFFF"/>
                <w:sz w:val="17"/>
                <w:szCs w:val="17"/>
              </w:rPr>
              <w:t xml:space="preserve">소통 플랫폼</w:t>
            </w:r>
          </w:p>
        </w:tc>
        <w:tc>
          <w:tcPr>
            <w:tcW w:type="dxa" w:w="5820"/>
            <w:tcBorders>
              <w:top w:val="single" w:color="003087" w:sz="1"/>
              <w:left w:val="single" w:color="003087" w:sz="1"/>
              <w:bottom w:val="single" w:color="003087" w:sz="1"/>
              <w:right w:val="single" w:color="003087" w:sz="1"/>
            </w:tcBorders>
            <w:shd w:fill="F8F9FC" w:val="clear"/>
            <w:tcMar>
              <w:top w:type="dxa" w:w="100"/>
              <w:left w:type="dxa" w:w="160"/>
              <w:bottom w:type="dxa" w:w="100"/>
              <w:right w:type="dxa" w:w="140"/>
            </w:tcMar>
          </w:tcPr>
          <w:p>
            <w:pPr>
              <w:spacing w:line="320"/>
              <w:jc w:val="both"/>
            </w:pPr>
            <w:r>
              <w:rPr>
                <w:rFonts w:ascii="Noto Serif KR" w:cs="Noto Serif KR" w:eastAsia="Noto Serif KR" w:hAnsi="Noto Serif KR"/>
                <w:color w:val="1A1A2E"/>
                <w:sz w:val="19"/>
                <w:szCs w:val="19"/>
              </w:rPr>
              <w:t xml:space="preserve">고팡(Gopang) — 카카오톡과 유사한 채팅 앱에 AI 비서와 OpenHash를 통합한 차세대 소통 플랫폼. 사용자의 모든 일상 소통·거래·계약이 이루어지는 공간.</w:t>
            </w:r>
          </w:p>
        </w:tc>
      </w:tr>
      <w:tr>
        <w:tc>
          <w:tcPr>
            <w:tcW w:type="dxa" w:w="1800"/>
            <w:tcBorders>
              <w:top w:val="single" w:color="0e6e7e" w:sz="1"/>
              <w:left w:val="single" w:color="0e6e7e" w:sz="1"/>
              <w:bottom w:val="single" w:color="0e6e7e" w:sz="1"/>
              <w:right w:val="single" w:color="0e6e7e" w:sz="1"/>
            </w:tcBorders>
            <w:shd w:fill="0e6e7e" w:val="clear"/>
            <w:tcMar>
              <w:top w:type="dxa" w:w="100"/>
              <w:left w:type="dxa" w:w="140"/>
              <w:bottom w:type="dxa" w:w="100"/>
              <w:right w:type="dxa" w:w="140"/>
            </w:tcMar>
          </w:tcPr>
          <w:p>
            <w:pPr>
              <w:jc w:val="center"/>
            </w:pPr>
            <w:r>
              <w:rPr>
                <w:rFonts w:ascii="Noto Serif KR" w:cs="Noto Serif KR" w:eastAsia="Noto Serif KR" w:hAnsi="Noto Serif KR"/>
                <w:b/>
                <w:bCs/>
                <w:color w:val="FFFFFF"/>
                <w:sz w:val="17"/>
                <w:szCs w:val="17"/>
              </w:rPr>
              <w:t xml:space="preserve">Layer 2</w:t>
            </w:r>
          </w:p>
          <w:p>
            <w:pPr>
              <w:jc w:val="center"/>
            </w:pPr>
            <w:r>
              <w:rPr>
                <w:rFonts w:ascii="Noto Serif KR" w:cs="Noto Serif KR" w:eastAsia="Noto Serif KR" w:hAnsi="Noto Serif KR"/>
                <w:b/>
                <w:bCs/>
                <w:color w:val="FFFFFF"/>
                <w:sz w:val="17"/>
                <w:szCs w:val="17"/>
              </w:rPr>
              <w:t xml:space="preserve">예방·증거 계층</w:t>
            </w:r>
          </w:p>
        </w:tc>
        <w:tc>
          <w:tcPr>
            <w:tcW w:type="dxa" w:w="5820"/>
            <w:tcBorders>
              <w:top w:val="single" w:color="0e6e7e" w:sz="1"/>
              <w:left w:val="single" w:color="0e6e7e" w:sz="1"/>
              <w:bottom w:val="single" w:color="0e6e7e" w:sz="1"/>
              <w:right w:val="single" w:color="0e6e7e" w:sz="1"/>
            </w:tcBorders>
            <w:shd w:fill="F8F9FC" w:val="clear"/>
            <w:tcMar>
              <w:top w:type="dxa" w:w="100"/>
              <w:left w:type="dxa" w:w="160"/>
              <w:bottom w:type="dxa" w:w="100"/>
              <w:right w:type="dxa" w:w="140"/>
            </w:tcMar>
          </w:tcPr>
          <w:p>
            <w:pPr>
              <w:spacing w:line="320"/>
              <w:jc w:val="both"/>
            </w:pPr>
            <w:r>
              <w:rPr>
                <w:rFonts w:ascii="Noto Serif KR" w:cs="Noto Serif KR" w:eastAsia="Noto Serif KR" w:hAnsi="Noto Serif KR"/>
                <w:color w:val="1A1A2E"/>
                <w:sz w:val="19"/>
                <w:szCs w:val="19"/>
              </w:rPr>
              <w:t xml:space="preserve">AI 비서 (실시간 위법 징후 감지·경고) + OpenHash PDV (무결성 보장 증거 자동 보전). 모든 소통을 실시간 분석하여 위법 징후를 경고하고, 모든 기록을 위변조 불가능하게 보존한다.</w:t>
            </w:r>
          </w:p>
        </w:tc>
      </w:tr>
      <w:tr>
        <w:tc>
          <w:tcPr>
            <w:tcW w:type="dxa" w:w="1800"/>
            <w:tcBorders>
              <w:top w:val="single" w:color="7d5a00" w:sz="1"/>
              <w:left w:val="single" w:color="7d5a00" w:sz="1"/>
              <w:bottom w:val="single" w:color="7d5a00" w:sz="1"/>
              <w:right w:val="single" w:color="7d5a00" w:sz="1"/>
            </w:tcBorders>
            <w:shd w:fill="7d5a00" w:val="clear"/>
            <w:tcMar>
              <w:top w:type="dxa" w:w="100"/>
              <w:left w:type="dxa" w:w="140"/>
              <w:bottom w:type="dxa" w:w="100"/>
              <w:right w:type="dxa" w:w="140"/>
            </w:tcMar>
          </w:tcPr>
          <w:p>
            <w:pPr>
              <w:jc w:val="center"/>
            </w:pPr>
            <w:r>
              <w:rPr>
                <w:rFonts w:ascii="Noto Serif KR" w:cs="Noto Serif KR" w:eastAsia="Noto Serif KR" w:hAnsi="Noto Serif KR"/>
                <w:b/>
                <w:bCs/>
                <w:color w:val="FFFFFF"/>
                <w:sz w:val="17"/>
                <w:szCs w:val="17"/>
              </w:rPr>
              <w:t xml:space="preserve">Layer 3</w:t>
            </w:r>
          </w:p>
          <w:p>
            <w:pPr>
              <w:jc w:val="center"/>
            </w:pPr>
            <w:r>
              <w:rPr>
                <w:rFonts w:ascii="Noto Serif KR" w:cs="Noto Serif KR" w:eastAsia="Noto Serif KR" w:hAnsi="Noto Serif KR"/>
                <w:b/>
                <w:bCs/>
                <w:color w:val="FFFFFF"/>
                <w:sz w:val="17"/>
                <w:szCs w:val="17"/>
              </w:rPr>
              <w:t xml:space="preserve">자율 분쟁 해결</w:t>
            </w:r>
          </w:p>
        </w:tc>
        <w:tc>
          <w:tcPr>
            <w:tcW w:type="dxa" w:w="5820"/>
            <w:tcBorders>
              <w:top w:val="single" w:color="7d5a00" w:sz="1"/>
              <w:left w:val="single" w:color="7d5a00" w:sz="1"/>
              <w:bottom w:val="single" w:color="7d5a00" w:sz="1"/>
              <w:right w:val="single" w:color="7d5a00" w:sz="1"/>
            </w:tcBorders>
            <w:shd w:fill="F8F9FC" w:val="clear"/>
            <w:tcMar>
              <w:top w:type="dxa" w:w="100"/>
              <w:left w:type="dxa" w:w="160"/>
              <w:bottom w:type="dxa" w:w="100"/>
              <w:right w:type="dxa" w:w="140"/>
            </w:tcMar>
          </w:tcPr>
          <w:p>
            <w:pPr>
              <w:spacing w:line="320"/>
              <w:jc w:val="both"/>
            </w:pPr>
            <w:r>
              <w:rPr>
                <w:rFonts w:ascii="Noto Serif KR" w:cs="Noto Serif KR" w:eastAsia="Noto Serif KR" w:hAnsi="Noto Serif KR"/>
                <w:color w:val="1A1A2E"/>
                <w:sz w:val="19"/>
                <w:szCs w:val="19"/>
              </w:rPr>
              <w:t xml:space="preserve">K-OpenLaw (이종 LLM 5모듈 아키텍처) + 인간 법원 최종 승인. Layer 2에서 예방하지 못한 분쟁을 신속·공정하게 해결하며, 인간 법관의 최종 승인으로 법적 권위를 보장한다.</w:t>
            </w:r>
          </w:p>
        </w:tc>
      </w:tr>
    </w:tbl>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선순환 구조: Layer 1에서 소통이 생성되는 즉시 PDV 암호화 저장 및 OpenHash 등록이 이루어진다. Layer 2에서 예방에 실패한 분쟁이 발생하면, 무결성 증명된 증거 패키지가 Layer 3(K-OpenLaw)으로 전달된다. K-OpenLaw의 우수한 해결 능력은 Layer 2 예방 기능의 신뢰도를 높이는 선순환을 형성한다.</w:t>
      </w:r>
    </w:p>
    <w:p>
      <w:pPr>
        <w:pStyle w:val="Heading2"/>
        <w:spacing w:before="280" w:after="120" w:line="340"/>
      </w:pPr>
      <w:r>
        <w:rPr>
          <w:rFonts w:ascii="Noto Serif KR" w:cs="Noto Serif KR" w:eastAsia="Noto Serif KR" w:hAnsi="Noto Serif KR"/>
          <w:b/>
          <w:bCs/>
          <w:color w:val="003087"/>
          <w:sz w:val="26"/>
          <w:szCs w:val="26"/>
        </w:rPr>
        <w:t xml:space="preserve">3.2 OpenHash 분산원장 기술</w:t>
      </w:r>
    </w:p>
    <w:p>
      <w:pPr>
        <w:spacing w:before="60" w:after="60" w:line="340"/>
        <w:jc w:val="both"/>
      </w:pPr>
      <w:r>
        <w:rPr>
          <w:rFonts w:ascii="Noto Serif KR" w:cs="Noto Serif KR" w:eastAsia="Noto Serif KR" w:hAnsi="Noto Serif KR"/>
          <w:b w:val="false"/>
          <w:bCs w:val="false"/>
          <w:i w:val="false"/>
          <w:iCs w:val="false"/>
          <w:color w:val="1A1A2E"/>
          <w:sz w:val="20"/>
          <w:szCs w:val="20"/>
        </w:rPr>
        <w:t xml:space="preserve">오픈해시(OpenHash)는 </w:t>
      </w:r>
      <w:r>
        <w:rPr>
          <w:rFonts w:ascii="Noto Serif KR" w:cs="Noto Serif KR" w:eastAsia="Noto Serif KR" w:hAnsi="Noto Serif KR"/>
          <w:b/>
          <w:bCs/>
          <w:i w:val="false"/>
          <w:iCs w:val="false"/>
          <w:color w:val="003087"/>
          <w:sz w:val="20"/>
          <w:szCs w:val="20"/>
        </w:rPr>
        <w:t xml:space="preserve">블록체인의 고비용 문제에 대한 근본적 해법이다.</w:t>
      </w:r>
      <w:r>
        <w:rPr>
          <w:rFonts w:ascii="Noto Serif KR" w:cs="Noto Serif KR" w:eastAsia="Noto Serif KR" w:hAnsi="Noto Serif KR"/>
          <w:b w:val="false"/>
          <w:bCs w:val="false"/>
          <w:i w:val="false"/>
          <w:iCs w:val="false"/>
          <w:color w:val="1A1A2E"/>
          <w:sz w:val="20"/>
          <w:szCs w:val="20"/>
        </w:rPr>
        <w:t xml:space="preserve"> 비트코인·이더리움 등 기존 블록체인은 작업증명(PoW) 또는 지분증명(PoS) 합의에 막대한 연산 자원과 전력을 소비하여 운용 비용이 높고 확장이 어렵다는 구조적 한계를 지닌다. OpenHash는 이 합의 메커니즘을 기존 통신 인프라의 물리적 계층 구조로 대체함으로써, 별도의 채굴 연산 없이 데이터 무결성을 보장한다. 그 결과 </w:t>
      </w:r>
      <w:r>
        <w:rPr>
          <w:rFonts w:ascii="Noto Serif KR" w:cs="Noto Serif KR" w:eastAsia="Noto Serif KR" w:hAnsi="Noto Serif KR"/>
          <w:b/>
          <w:bCs/>
          <w:i w:val="false"/>
          <w:iCs w:val="false"/>
          <w:color w:val="003087"/>
          <w:sz w:val="20"/>
          <w:szCs w:val="20"/>
        </w:rPr>
        <w:t xml:space="preserve">운용 비용이 없거나 경미한(zero-cost or near-zero-cost) 분산원장 기술</w:t>
      </w:r>
      <w:r>
        <w:rPr>
          <w:rFonts w:ascii="Noto Serif KR" w:cs="Noto Serif KR" w:eastAsia="Noto Serif KR" w:hAnsi="Noto Serif KR"/>
          <w:b w:val="false"/>
          <w:bCs w:val="false"/>
          <w:i w:val="false"/>
          <w:iCs w:val="false"/>
          <w:color w:val="1A1A2E"/>
          <w:sz w:val="20"/>
          <w:szCs w:val="20"/>
        </w:rPr>
        <w:t xml:space="preserve">을 실현한다(특허출원 제10-2026-0018910호).</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이 비용 구조적 특성은 법률 분야 적용에서 특히 중요하다. OpenHash는 개인 사용자의 일상적 소통 기록부터 기업의 대규모 거래 내역까지 모든 데이터를 경제적 부담 없이 실시간으로 무결성 보장할 수 있다. 이는 고팡을 통해 오가는 모든 소통이 추가 비용 없이 자동으로 법적 증거로서의 무결성을 갖추게 됨을 의미한다.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핵심 구조는 읍면동(60%)→시군구(30%)→광역시도(9%)→국가(1%) 4단계의 확률적 계층 선택 방식이다. SHA-256 이중 재해싱 결과값을 기반으로 계층을 선택하고, BLS 서명으로 등록한다. 분쟁 해결에서의 법적 함의: (1) 소통 기록의 사후 위변조가 기술적으로 불가능하여 증거 진정성 논쟁 자체가 원천 제거된다. (2) 타임스탬프의 무결성 보장으로 사건 발생 시간순서의 조작이 불가하다. (3) 읍면동 단위 분산 저장으로 단일 노드 공격에도 전체 기록이 보호된다. (성능 수치 상세: 부록 K)</w:t>
      </w:r>
    </w:p>
    <w:p>
      <w:pPr>
        <w:pStyle w:val="Heading2"/>
        <w:spacing w:before="280" w:after="120" w:line="340"/>
      </w:pPr>
      <w:r>
        <w:rPr>
          <w:rFonts w:ascii="Noto Serif KR" w:cs="Noto Serif KR" w:eastAsia="Noto Serif KR" w:hAnsi="Noto Serif KR"/>
          <w:b/>
          <w:bCs/>
          <w:color w:val="003087"/>
          <w:sz w:val="26"/>
          <w:szCs w:val="26"/>
        </w:rPr>
        <w:t xml:space="preserve">3.3 고팡(Gopang) 소통 플랫폼</w:t>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한 줄 정의: 고팡은 카카오톡과 같은 채팅 앱에 AI 비서(AI Agent)와 OpenHash 분산원장 기술을 결합한 차세대 소통 플랫폼이다. 인공지능과 데이터 무결성 기술을 개개인의 일상과 업무에 24시간 365일 연결하는 도구이자, 이 두 기술의 매개체이다.</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AI 비서(AI Agent): 각 사용자에게 1:1로 전용 AI 비서가 배정된다. AI 비서는 대화·계약·거래 내용을 실시간으로 분석하여 법적 위험을 경고하고, 법률·의료·금융·행정 등 수백 개 분야에서 24시간 365일 개인 맞춤 보조를 제공한다.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OpenHash 분산원장: 고팡을 통해 오가는 모든 소통과 거래 기록은 생성 즉시 암호화 해시값으로 변환되어 계층 분산 네트워크에 등록된다. 한 번 기록된 데이터는 사후 위변조가 기술적으로 불가능하다.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예방 법학(Preventive Law) 기능 — AI 비서의 예방 법학 기능(101-P)은 다음을 수행한다: ① 고팡을 통해 오가는 모든 대화를 24시간/365일 실시간 분석 ② 위법 가능성 점수 산출(0.0 무위험 ~ 1.0 즉각 위험) ③ 3단계 경고 발령: 주의(101-P1, 점수 0.3↑), 경고(101-P2, 점수 0.6↑), 긴급경고(101-P3, 점수 0.85↑) ④ 경고 이력·근거 법조항·타임스탬프를 PDV에 기록 + OpenHash 등록</w:t>
      </w:r>
    </w:p>
    <w:p>
      <w:pPr>
        <w:pStyle w:val="Heading2"/>
        <w:spacing w:before="280" w:after="120" w:line="340"/>
      </w:pPr>
      <w:r>
        <w:rPr>
          <w:rFonts w:ascii="Noto Serif KR" w:cs="Noto Serif KR" w:eastAsia="Noto Serif KR" w:hAnsi="Noto Serif KR"/>
          <w:b/>
          <w:bCs/>
          <w:color w:val="003087"/>
          <w:sz w:val="26"/>
          <w:szCs w:val="26"/>
        </w:rPr>
        <w:t xml:space="preserve">3.4 K-OpenLaw 자율 분쟁 해결 시스템</w:t>
      </w:r>
    </w:p>
    <w:p>
      <w:pPr>
        <w:spacing w:before="60" w:after="60" w:line="340"/>
        <w:jc w:val="both"/>
      </w:pPr>
      <w:r>
        <w:rPr>
          <w:rFonts w:ascii="Noto Serif KR" w:cs="Noto Serif KR" w:eastAsia="Noto Serif KR" w:hAnsi="Noto Serif KR"/>
          <w:color w:val="1A1A2E"/>
          <w:sz w:val="20"/>
          <w:szCs w:val="20"/>
        </w:rPr>
        <w:t xml:space="preserve">K-OpenLaw는 5모듈 이종 LLM 아키텍처로 구성된다(특허출원 제10-2026-0039504호).</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모듈 1·2 (균형적 대변자 에이전트): 원고 측(모듈 1)과 피고 측(모듈 2)이 각각 독립된 LLM을 사용. 6단계 규범 위계 강제(헌법→조약→특별법→일반법→시행령→판례), 5문항 자기검증 테스트, 운용 주체 완전 독립.</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모듈 3 (논쟁 관리 엔진): 법률 특화 NLP로 대변자 발언 실시간 파싱·쟁점 추출, 합의 지도(JSON) 실시간 생성. 5개 종료 트리거 감시: ① 반복 ② 규범역전 ③ 증거결여 ④ 인도적 한계(VHI≥0.9) ⑤ 합의달성(APS≥0.7)</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모듈 4 (판정 패널): 이종 LLM 2개 이상(본 연구: GPT-4o + Gemini). 4라운드 합의 절차 → 교착 시 5단계 해소 → 불가 시 인간 법원 회부.</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모듈 5 (절차 관리): 비판단적 절차 전담. 모든 절차 로그를 OpenHash 공개 원장에 등록.</w:t>
      </w:r>
    </w:p>
    <w:p>
      <w:pPr>
        <w:pStyle w:val="Heading2"/>
        <w:spacing w:before="280" w:after="120" w:line="340"/>
      </w:pPr>
      <w:r>
        <w:rPr>
          <w:rFonts w:ascii="Noto Serif KR" w:cs="Noto Serif KR" w:eastAsia="Noto Serif KR" w:hAnsi="Noto Serif KR"/>
          <w:b/>
          <w:bCs/>
          <w:color w:val="003087"/>
          <w:sz w:val="26"/>
          <w:szCs w:val="26"/>
        </w:rPr>
        <w:t xml:space="preserve">3.5 K-OpenLaw의 실제 소송 적용 구조</w:t>
      </w:r>
    </w:p>
    <w:p>
      <w:pPr>
        <w:spacing w:before="60" w:after="60" w:line="340"/>
        <w:jc w:val="both"/>
      </w:pPr>
      <w:r>
        <w:rPr>
          <w:rFonts w:ascii="Noto Serif KR" w:cs="Noto Serif KR" w:eastAsia="Noto Serif KR" w:hAnsi="Noto Serif KR"/>
          <w:color w:val="1A1A2E"/>
          <w:sz w:val="20"/>
          <w:szCs w:val="20"/>
        </w:rPr>
        <w:t xml:space="preserve">K-OpenLaw는 독립된 판결 주체라기보다, 원고 측 법리 형성을 지원하는 지능형 에이전트로 설계되었다. 본 연구 사건에서 법률 대리인을 두지 않은 원고는 AI 전문가(비법조인)의 기술적 지원을 받아 K-OpenLaw를 직접 활용하여 각 심급의 준비서면 및 법리 논거를 작성하는 데 활용하였다.</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1심: K-OpenLaw 분석 결과 ↔ 피고 측 변호인단(법무팀·전속변호사·복변호사)의 주장 + 1심 판결문</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2심: K-OpenLaw 분석 결과 ↔ 피고 측 변호인단 주장 + 1심 판결문의 법리 + 2심 판결문(항소심 판사 3인)</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3심(상고심): K-OpenLaw 분석 결과 ↔ 피고 측 변호인단 주장 + 1·2심 판결문의 법리 + 대법원 판단(판결 선고 후 추가 분석 예정)</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(잠재적) 헌법소원: K-OpenLaw 분석 결과 ↔ 기존 모든 심급 법리 + 헌법재판소의 헌법적 해석</w:t>
      </w:r>
    </w:p>
    <w:p>
      <w:pPr>
        <w:spacing w:before="60" w:after="60"/>
      </w:pPr>
      <w:r>
        <w:t xml:space="preserve"/>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중요: 이 비교는 어느 한쪽의 우열을 가리기 위한 것이 아니라, 동일한 법적 쟁점에 대해 각 주체가 채택한 법리적 근거의 구조적 차이와 규범 위계 부합성을 객관적으로 분석하는 데 목적이 있다. 본 논문은 1심 및 2심 단계의 비교 결과를 집중적으로 보고하며, 상고심 및 이후 단계는 후속 연구에서 다룰 예정이다.</w:t>
      </w:r>
    </w:p>
    <w:p>
      <w:pPr>
        <w:pStyle w:val="Heading2"/>
        <w:spacing w:before="280" w:after="120" w:line="340"/>
      </w:pPr>
      <w:r>
        <w:rPr>
          <w:rFonts w:ascii="Noto Serif KR" w:cs="Noto Serif KR" w:eastAsia="Noto Serif KR" w:hAnsi="Noto Serif KR"/>
          <w:b/>
          <w:bCs/>
          <w:color w:val="003087"/>
          <w:sz w:val="26"/>
          <w:szCs w:val="26"/>
        </w:rPr>
        <w:t xml:space="preserve">3.6 PDV + OpenHash 증거 무결성 통합 절차</w:t>
      </w:r>
    </w:p>
    <w:p>
      <w:pPr>
        <w:spacing w:before="60" w:after="60" w:line="340"/>
        <w:jc w:val="both"/>
      </w:pPr>
      <w:r>
        <w:rPr>
          <w:rFonts w:ascii="Noto Serif KR" w:cs="Noto Serif KR" w:eastAsia="Noto Serif KR" w:hAnsi="Noto Serif KR"/>
          <w:color w:val="1A1A2E"/>
          <w:sz w:val="20"/>
          <w:szCs w:val="20"/>
        </w:rPr>
        <w:t xml:space="preserve">분쟁 발생 시 AI 비서가 자동 수행하는 절차: ① PDV에서 관련 증거 자동 탐색(NLP 기반) ② 각 증거 항목에 대한 사용자 명시적 동의 획득 ③ OpenHash 네트워크에 해시값 재검증 ④ 해시값 + 등록 계층 + 검증 결과를 포함하는 증거 패키지 JSON 생성 ⑤ 모듈 5에 전송; 모듈 5는 대변자·판정자 전달 전 재검증</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핵심 효과: 증거 무결성 분쟁이 원천 차단됨으로써 논쟁이 사실 다툼이 아닌 순수한 법리 논쟁으로 집중된다. 이는 기존 ODR 시스템 대비 근본적인 차별점이다.</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4. 연구 방법론</w:t>
      </w:r>
    </w:p>
    <w:p>
      <w:pPr>
        <w:pStyle w:val="Heading2"/>
        <w:spacing w:before="280" w:after="120" w:line="340"/>
      </w:pPr>
      <w:r>
        <w:rPr>
          <w:rFonts w:ascii="Noto Serif KR" w:cs="Noto Serif KR" w:eastAsia="Noto Serif KR" w:hAnsi="Noto Serif KR"/>
          <w:b/>
          <w:bCs/>
          <w:color w:val="003087"/>
          <w:sz w:val="26"/>
          <w:szCs w:val="26"/>
        </w:rPr>
        <w:t xml:space="preserve">4.1 사례 선정</w:t>
      </w:r>
    </w:p>
    <w:p>
      <w:pPr>
        <w:spacing w:before="60" w:after="60" w:line="340"/>
        <w:jc w:val="both"/>
      </w:pPr>
      <w:r>
        <w:rPr>
          <w:rFonts w:ascii="Noto Serif KR" w:cs="Noto Serif KR" w:eastAsia="Noto Serif KR" w:hAnsi="Noto Serif KR"/>
          <w:color w:val="1A1A2E"/>
          <w:sz w:val="20"/>
          <w:szCs w:val="20"/>
        </w:rPr>
        <w:t xml:space="preserve">경제적 취약계층에 속하는 자력 소송 원고 대 공기업 임대인(피고) 간 임대차보증금 반환 분쟁을 분석 대상으로 선정하였다. 이론적 목적 표집(theoretical purposive sampling, Yin 2018)에 의한 선정 이유:</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법적 복잡성: 파산법(채무자회생법), 민사소송법, 임대차법, 헌법상 주거권, 공기업 특별 의무가 교차하는 고난도 복합 법적 쟁점</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취약계층 맥락: 법률 대리인 없이 진행된 자력 소송으로, 사법접근권 문제의 핵심 사례</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전 심급 포괄: 1심·2심 판결 확정, 대법원 상고 진행 중</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명확한 법적 하자: 양 심급에 변론주의 위반이라는 절차적 오류 포함</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누적 비교 가능성: 1심부터 상고심까지 전 심급에 걸쳐 판결문이 순차 확정됨으로써, 각 심급의 법리 해석을 K-OpenLaw 분석 결과와 단계적으로 비교할 수 있는 이상적인 조건을 갖추고 있다.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특히, 이 사건은 K-OpenLaw 시스템이 실제 소송에서 원고 측 법리 지원 도구로 활용됨으로써, 동일한 사실관계에 대해 AI의 법리 분석 결과와 인간 법조인(변호인단 및 법원)의 법리 판단을 체계적으로 대비·비교할 수 있는 보기 드문 기회를 제공한다. 이는 통제된 실험실 조건이 아닌 실전적 맥락(in vivo context)에서 AI의 법리 능력을 검증할 수 있는 중요한 방법론적 특징이다.</w:t>
      </w:r>
    </w:p>
    <w:p>
      <w:pPr>
        <w:pStyle w:val="Heading2"/>
        <w:spacing w:before="280" w:after="120" w:line="340"/>
      </w:pPr>
      <w:r>
        <w:rPr>
          <w:rFonts w:ascii="Noto Serif KR" w:cs="Noto Serif KR" w:eastAsia="Noto Serif KR" w:hAnsi="Noto Serif KR"/>
          <w:b/>
          <w:bCs/>
          <w:color w:val="003087"/>
          <w:sz w:val="26"/>
          <w:szCs w:val="26"/>
        </w:rPr>
        <w:t xml:space="preserve">4.2 판결 품질 평가 방법론</w:t>
      </w:r>
    </w:p>
    <w:p>
      <w:pPr>
        <w:spacing w:before="60" w:after="60" w:line="340"/>
        <w:jc w:val="both"/>
      </w:pPr>
      <w:r>
        <w:rPr>
          <w:rFonts w:ascii="Noto Serif KR" w:cs="Noto Serif KR" w:eastAsia="Noto Serif KR" w:hAnsi="Noto Serif KR"/>
          <w:color w:val="1A1A2E"/>
          <w:sz w:val="20"/>
          <w:szCs w:val="20"/>
        </w:rPr>
        <w:t xml:space="preserve">5개 차원, 각 100점 만점의 구조화된 평가 방법론을 적용한다. 각 차원의 핵심 루브릭 요약:</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차원 I — 공정성(Fairness, 100점): 변론주의 준수(최대 -50점), 양측 균형 검토(최대 -20점), 취약계층 보호(최대 -15점), 석명의무 이행(최대 -15점)</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차원 II — 객관성(Objectivity, 100점): 증거 기반 사실인정(최대 -30점), 증거 채택·배척 이유 명시(최대 -25점), 증인 신청 처리(최대 -25점), 논리적 추론 타당성(최대 -20점)</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차원 III — 합리성(Rationality, 100점): 규범 위계 준수(최대 -40점), 쟁점 망라성(최대 -30점), 대안 법리 검토(최대 -30점)</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차원 IV — 사실정확성(Factual Accuracy, 100점): 증거 기록 부합성(최대 -40점), 시간순서 정확성(최대 -35점), 중요 사실 누락(최대 -25점)</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차원 V — 법적정당성(Legal Legitimacy, 100점): 적용 법령 정확성(최대 -35점), 헌법적 가치 고려(최대 -30점), 결론 논리 도출(최대 -35점)</w:t>
      </w:r>
    </w:p>
    <w:p>
      <w:pPr>
        <w:spacing w:before="60" w:after="60"/>
      </w:pPr>
      <w:r>
        <w:t xml:space="preserve"/>
      </w:r>
    </w:p>
    <w:p>
      <w:pPr>
        <w:pStyle w:val="Heading3"/>
        <w:spacing w:before="200" w:after="80" w:line="340"/>
      </w:pPr>
      <w:r>
        <w:rPr>
          <w:rFonts w:ascii="Noto Serif KR" w:cs="Noto Serif KR" w:eastAsia="Noto Serif KR" w:hAnsi="Noto Serif KR"/>
          <w:b/>
          <w:bCs/>
          <w:color w:val="001f5b"/>
          <w:sz w:val="22"/>
          <w:szCs w:val="22"/>
        </w:rPr>
        <w:t xml:space="preserve">평가자 편향 문제 및 대응</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이종 LLM 교차 검증: Claude Sonnet, GPT-4o, DeepSeek R1 3개 모델이 동일 루브릭으로 독립 평가 후 결과 비교</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루브릭의 사전 공개: 평가 전 모든 기준과 감점 근거를 부록 H에 명시하여 재현 가능성(reproducibility) 확보</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제3 법학 연구자 집단에 의한 교차 평가 구조: K-OpenLaw의 분석 결과물과 각 심급의 실제 판결문을 모두 익명화한 상태에서 법학 연구자들에게 제공하고, 동일한 루브릭(부록 H)으로 독립 채점하도록 하는 블라인드 교차 평가를 설계하였다. 평가자 간 신뢰도(Cohen's κ)를 측정하며, κ ≥ 0.61(실질적 일치) 미달 시 루브릭을 재정비한다.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한계 명시: 본 정량 결과는 독립 평가 완료 전까지 탐색적(exploratory) 데이터로 해석되어야 한다.</w:t>
      </w:r>
    </w:p>
    <w:p>
      <w:pPr>
        <w:spacing w:before="60" w:after="60"/>
      </w:pPr>
      <w:r>
        <w:t xml:space="preserve"/>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본 평가의 목적은, 개별 법조인이 직면하는 인지적 편향과 제한된 정보 처리 능력을 보완할 합리적 방안을 도출하는 데 있다. 따라서 이 평가는 AI와 인간 법원 중 어느 쪽이 우월한지를 가리기 위한 것이 아니다. 동일한 법적 쟁점에 대해 각 주체가 채택한 법리적 근거의 구조적 차이와 규범 위계 부합성을 객관적으로 비교함으로써, AI 시스템이 사법 보조 도구로서 기존 법조인의 사회적 기능을 어떤 방식으로 보완하고 강화할 수 있을지에 대한 기초 자료를 제공하는 것이 이 평가의 적극적 목표이다.</w:t>
      </w:r>
    </w:p>
    <w:p>
      <w:pPr>
        <w:pStyle w:val="Heading2"/>
        <w:spacing w:before="280" w:after="120" w:line="340"/>
      </w:pPr>
      <w:r>
        <w:rPr>
          <w:rFonts w:ascii="Noto Serif KR" w:cs="Noto Serif KR" w:eastAsia="Noto Serif KR" w:hAnsi="Noto Serif KR"/>
          <w:b/>
          <w:bCs/>
          <w:color w:val="003087"/>
          <w:sz w:val="26"/>
          <w:szCs w:val="26"/>
        </w:rPr>
        <w:t xml:space="preserve">4.3 연구 설계의 한계</w:t>
      </w:r>
    </w:p>
    <w:p>
      <w:pPr>
        <w:spacing w:before="60" w:after="60" w:line="340"/>
        <w:jc w:val="both"/>
      </w:pPr>
      <w:r>
        <w:rPr>
          <w:rFonts w:ascii="Noto Serif KR" w:cs="Noto Serif KR" w:eastAsia="Noto Serif KR" w:hAnsi="Noto Serif KR"/>
          <w:color w:val="1A1A2E"/>
          <w:sz w:val="20"/>
          <w:szCs w:val="20"/>
        </w:rPr>
        <w:t xml:space="preserve">본 연구는 단일 사례 연구(N=1)이다. 이는 시스템의 성능을 탐색하는 초기 실증 연구로서의 의의를 갖지만, 결과의 광범위한 일반화는 허용하지 않는다. 본 연구가 제공할 수 있는 것은 "K-OpenLaw 시스템의 법리 분석 능력에 대한 실증적 근거"이며, "모든 사건 유형에 대한 성능 보장"이나 "분쟁 예방 효과의 직접 증명"이 아님을 명시한다.</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5. 결과</w:t>
      </w:r>
    </w:p>
    <w:p>
      <w:pPr>
        <w:pStyle w:val="Heading2"/>
        <w:spacing w:before="280" w:after="120" w:line="340"/>
      </w:pPr>
      <w:r>
        <w:rPr>
          <w:rFonts w:ascii="Noto Serif KR" w:cs="Noto Serif KR" w:eastAsia="Noto Serif KR" w:hAnsi="Noto Serif KR"/>
          <w:b/>
          <w:bCs/>
          <w:color w:val="003087"/>
          <w:sz w:val="26"/>
          <w:szCs w:val="26"/>
        </w:rPr>
        <w:t xml:space="preserve">5.1 PDV + OpenHash 증거 검증 결과</w:t>
      </w:r>
    </w:p>
    <w:p>
      <w:pPr>
        <w:spacing w:before="60" w:after="60" w:line="340"/>
        <w:jc w:val="both"/>
      </w:pPr>
      <w:r>
        <w:rPr>
          <w:rFonts w:ascii="Noto Serif KR" w:cs="Noto Serif KR" w:eastAsia="Noto Serif KR" w:hAnsi="Noto Serif KR"/>
          <w:color w:val="1A1A2E"/>
          <w:sz w:val="20"/>
          <w:szCs w:val="20"/>
        </w:rPr>
        <w:t xml:space="preserve">원고 측 12개 항목, 피고 측 12개 항목, 총 24개 증거 항목 전부의 무결성이 확인되었다(평균 검증 시간: 항목당 4.2ms).</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피고의 "관리비완납서": 갱신 전 관리비 완납을 결정적으로 입증. 이 기록이 OpenHash에 등록되어 있었다면 피고의 "관리비 체납" 주장은 소송 초기에 배척되었을 것이다.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피고의 퇴거 압박 소통 기록: 파산선고(2022. 상반기) 이전인 2022년 5월부터 퇴거 요구가 시작됨이 타임스탬프로 확인. 1심의 "자발적 퇴거" 인정을 반박하는 결정적 증거이다.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논쟁 진행 중 증거 무결성에 관한 분쟁: 0건 (확인되지 않은 주장은 자동 배제, 논쟁이 법리 논쟁에 집중됨)</w:t>
      </w:r>
    </w:p>
    <w:p>
      <w:pPr>
        <w:pStyle w:val="Heading2"/>
        <w:spacing w:before="280" w:after="120" w:line="340"/>
      </w:pPr>
      <w:r>
        <w:rPr>
          <w:rFonts w:ascii="Noto Serif KR" w:cs="Noto Serif KR" w:eastAsia="Noto Serif KR" w:hAnsi="Noto Serif KR"/>
          <w:b/>
          <w:bCs/>
          <w:color w:val="003087"/>
          <w:sz w:val="26"/>
          <w:szCs w:val="26"/>
        </w:rPr>
        <w:t xml:space="preserve">5.2 논쟁 관리 엔진 분석 결과</w:t>
      </w:r>
    </w:p>
    <w:p>
      <w:pPr>
        <w:spacing w:before="60" w:after="60" w:line="340"/>
        <w:jc w:val="both"/>
      </w:pPr>
      <w:r>
        <w:rPr>
          <w:rFonts w:ascii="Noto Serif KR" w:cs="Noto Serif KR" w:eastAsia="Noto Serif KR" w:hAnsi="Noto Serif KR"/>
          <w:color w:val="1A1A2E"/>
          <w:sz w:val="20"/>
          <w:szCs w:val="20"/>
        </w:rPr>
        <w:t xml:space="preserve">대변자 간 26회 교환 처리 결과 / 합의 가능성 점수(APS): 0.11 → 판정 패널 이관. 종료 트리거 발동: 반복 4회, 규범역전 5회, 인도적 한계 1회.</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합의된 주요 사실: 법원의 면제재산 결정 사실, 피고의 파산선고 전 퇴거 요구 시작, 원고의 면책결정 확정(파산선고일 소급 효력), 피고의 공기업 지위, 원고의 폐가 거주 및 정신과 치료 사실.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미합의 쟁점(판정 패널 이관): ① "상계권보다 강한 공제권" 개념 존재 여부 ② 면책결정 전 공제 행위의 효력 ③ 피고의 고의적 불법행위 성립 여부 ④ 소비자기본법상 징벌적 손해배상(3배) 적용 여부</w:t>
      </w:r>
    </w:p>
    <w:p>
      <w:pPr>
        <w:pStyle w:val="Heading2"/>
        <w:spacing w:before="280" w:after="120" w:line="340"/>
      </w:pPr>
      <w:r>
        <w:rPr>
          <w:rFonts w:ascii="Noto Serif KR" w:cs="Noto Serif KR" w:eastAsia="Noto Serif KR" w:hAnsi="Noto Serif KR"/>
          <w:b/>
          <w:bCs/>
          <w:color w:val="003087"/>
          <w:sz w:val="26"/>
          <w:szCs w:val="26"/>
        </w:rPr>
        <w:t xml:space="preserve">5.3 판정 패널 판결 요지</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피고의 면제재산 공제는 채무자회생법 제383조·제424조 위반으로 위법.</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민법 제481조의 변제할 정당한 이익이 없는 항목의 대위변제는 법적 근거 없음; 이에 기한 구상권 행사도 성립하지 아니함.</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채무자회생법 제417조의 "장래의 청구권" 규정을 임대차보증금 당연공제에 유추 적용하기 위한 법률상 명시적 근거가 없음.</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"상계권보다 강한 담보적 효력을 가지는 공제권"은 어떠한 실정 법률에도 근거가 없는 개념; 파산채권 개별행사금지 원칙 우회 불허.</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피고는 원고의 명시적 경고와 파산관재인의 공식 확인에도 불구하고 면제재산을 임의 처분하였으며, 이는 불법행위를 구성함. 주거복지를 목적으로 설립된 공기업의 행위는 한국토지주택공사법 제1조에 반함.</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피고는 원고에게 법적 근거 없이 공제한 금액 및 손해를 배상할 의무 있음.</w:t>
      </w:r>
    </w:p>
    <w:p>
      <w:pPr>
        <w:spacing w:before="60" w:after="60"/>
      </w:pPr>
      <w:r>
        <w:t xml:space="preserve"/>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 징벌적 손해배상 및 문서 위변조 주장: 인간 판사 회부 조건 발동.</w:t>
      </w:r>
    </w:p>
    <w:p>
      <w:pPr>
        <w:pStyle w:val="Heading2"/>
        <w:spacing w:before="280" w:after="120" w:line="340"/>
      </w:pPr>
      <w:r>
        <w:rPr>
          <w:rFonts w:ascii="Noto Serif KR" w:cs="Noto Serif KR" w:eastAsia="Noto Serif KR" w:hAnsi="Noto Serif KR"/>
          <w:b/>
          <w:bCs/>
          <w:color w:val="003087"/>
          <w:sz w:val="26"/>
          <w:szCs w:val="26"/>
        </w:rPr>
        <w:t xml:space="preserve">5.4 정량 평가 결과</w:t>
      </w:r>
    </w:p>
    <w:p>
      <w:pPr>
        <w:spacing w:before="60" w:after="60"/>
      </w:pPr>
      <w:r>
        <w:t xml:space="preserve"/>
      </w:r>
    </w:p>
    <w:tbl>
      <w:tblPr>
        <w:tblW w:type="dxa" w:w="7620"/>
        <w:tblBorders>
          <w:top w:val="single" w:color="auto" w:sz="4"/>
          <w:left w:val="single" w:color="auto" w:sz="4"/>
          <w:bottom w:val="single" w:color="auto" w:sz="4"/>
          <w:right w:val="single" w:color="auto" w:sz="4"/>
          <w:insideH w:val="single" w:color="auto" w:sz="4"/>
          <w:insideV w:val="single" w:color="auto" w:sz="4"/>
        </w:tblBorders>
      </w:tblPr>
      <w:tblGrid>
        <w:gridCol w:w="2200"/>
        <w:gridCol w:w="1720"/>
        <w:gridCol w:w="1720"/>
        <w:gridCol w:w="1980"/>
      </w:tblGrid>
      <w:tr>
        <w:tc>
          <w:tcPr>
            <w:tcW w:type="dxa" w:w="220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평가 차원</w:t>
            </w:r>
          </w:p>
        </w:tc>
        <w:tc>
          <w:tcPr>
            <w:tcW w:type="dxa" w:w="172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1심 (/100)</w:t>
            </w:r>
          </w:p>
        </w:tc>
        <w:tc>
          <w:tcPr>
            <w:tcW w:type="dxa" w:w="172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2심 (/100)</w:t>
            </w:r>
          </w:p>
        </w:tc>
        <w:tc>
          <w:tcPr>
            <w:tcW w:type="dxa" w:w="198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K-OpenLaw (/100)</w:t>
            </w:r>
          </w:p>
        </w:tc>
      </w:tr>
      <w:tr>
        <w:tc>
          <w:tcPr>
            <w:tcW w:type="dxa" w:w="2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b w:val="false"/>
                <w:bCs w:val="false"/>
                <w:color w:val="1A1A2E"/>
                <w:sz w:val="19"/>
                <w:szCs w:val="19"/>
              </w:rPr>
              <w:t xml:space="preserve">I. 공정성</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40</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36</w:t>
            </w:r>
          </w:p>
        </w:tc>
        <w:tc>
          <w:tcPr>
            <w:tcW w:type="dxa" w:w="1980"/>
            <w:tcBorders>
              <w:top w:val="single" w:color="CCCCCC" w:sz="1"/>
              <w:left w:val="single" w:color="CCCCCC" w:sz="1"/>
              <w:bottom w:val="single" w:color="CCCCCC" w:sz="1"/>
              <w:right w:val="single" w:color="CCCCCC" w:sz="1"/>
            </w:tcBorders>
            <w:shd w:fill="E8F5EE" w:val="clear"/>
            <w:tcMar>
              <w:top w:type="dxa" w:w="60"/>
              <w:left w:type="dxa" w:w="120"/>
              <w:bottom w:type="dxa" w:w="60"/>
              <w:right w:type="dxa" w:w="120"/>
            </w:tcMar>
          </w:tcPr>
          <w:p>
            <w:pPr>
              <w:jc w:val="center"/>
            </w:pPr>
            <w:r>
              <w:rPr>
                <w:rFonts w:ascii="Noto Serif KR" w:cs="Noto Serif KR" w:eastAsia="Noto Serif KR" w:hAnsi="Noto Serif KR"/>
                <w:b w:val="false"/>
                <w:bCs w:val="false"/>
                <w:color w:val="0D6E3F"/>
                <w:sz w:val="19"/>
                <w:szCs w:val="19"/>
              </w:rPr>
              <w:t xml:space="preserve">94</w:t>
            </w:r>
          </w:p>
        </w:tc>
      </w:tr>
      <w:tr>
        <w:tc>
          <w:tcPr>
            <w:tcW w:type="dxa" w:w="220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b w:val="false"/>
                <w:bCs w:val="false"/>
                <w:color w:val="1A1A2E"/>
                <w:sz w:val="19"/>
                <w:szCs w:val="19"/>
              </w:rPr>
              <w:t xml:space="preserve">II. 객관성</w:t>
            </w:r>
          </w:p>
        </w:tc>
        <w:tc>
          <w:tcPr>
            <w:tcW w:type="dxa" w:w="172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45</w:t>
            </w:r>
          </w:p>
        </w:tc>
        <w:tc>
          <w:tcPr>
            <w:tcW w:type="dxa" w:w="172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35</w:t>
            </w:r>
          </w:p>
        </w:tc>
        <w:tc>
          <w:tcPr>
            <w:tcW w:type="dxa" w:w="198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b w:val="false"/>
                <w:bCs w:val="false"/>
                <w:color w:val="0D6E3F"/>
                <w:sz w:val="19"/>
                <w:szCs w:val="19"/>
              </w:rPr>
              <w:t xml:space="preserve">90</w:t>
            </w:r>
          </w:p>
        </w:tc>
      </w:tr>
      <w:tr>
        <w:tc>
          <w:tcPr>
            <w:tcW w:type="dxa" w:w="2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b w:val="false"/>
                <w:bCs w:val="false"/>
                <w:color w:val="1A1A2E"/>
                <w:sz w:val="19"/>
                <w:szCs w:val="19"/>
              </w:rPr>
              <w:t xml:space="preserve">III. 합리성</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45</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38</w:t>
            </w:r>
          </w:p>
        </w:tc>
        <w:tc>
          <w:tcPr>
            <w:tcW w:type="dxa" w:w="1980"/>
            <w:tcBorders>
              <w:top w:val="single" w:color="CCCCCC" w:sz="1"/>
              <w:left w:val="single" w:color="CCCCCC" w:sz="1"/>
              <w:bottom w:val="single" w:color="CCCCCC" w:sz="1"/>
              <w:right w:val="single" w:color="CCCCCC" w:sz="1"/>
            </w:tcBorders>
            <w:shd w:fill="E8F5EE" w:val="clear"/>
            <w:tcMar>
              <w:top w:type="dxa" w:w="60"/>
              <w:left w:type="dxa" w:w="120"/>
              <w:bottom w:type="dxa" w:w="60"/>
              <w:right w:type="dxa" w:w="120"/>
            </w:tcMar>
          </w:tcPr>
          <w:p>
            <w:pPr>
              <w:jc w:val="center"/>
            </w:pPr>
            <w:r>
              <w:rPr>
                <w:rFonts w:ascii="Noto Serif KR" w:cs="Noto Serif KR" w:eastAsia="Noto Serif KR" w:hAnsi="Noto Serif KR"/>
                <w:b w:val="false"/>
                <w:bCs w:val="false"/>
                <w:color w:val="0D6E3F"/>
                <w:sz w:val="19"/>
                <w:szCs w:val="19"/>
              </w:rPr>
              <w:t xml:space="preserve">92</w:t>
            </w:r>
          </w:p>
        </w:tc>
      </w:tr>
      <w:tr>
        <w:tc>
          <w:tcPr>
            <w:tcW w:type="dxa" w:w="220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b w:val="false"/>
                <w:bCs w:val="false"/>
                <w:color w:val="1A1A2E"/>
                <w:sz w:val="19"/>
                <w:szCs w:val="19"/>
              </w:rPr>
              <w:t xml:space="preserve">IV. 사실정확성</w:t>
            </w:r>
          </w:p>
        </w:tc>
        <w:tc>
          <w:tcPr>
            <w:tcW w:type="dxa" w:w="172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48</w:t>
            </w:r>
          </w:p>
        </w:tc>
        <w:tc>
          <w:tcPr>
            <w:tcW w:type="dxa" w:w="172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45</w:t>
            </w:r>
          </w:p>
        </w:tc>
        <w:tc>
          <w:tcPr>
            <w:tcW w:type="dxa" w:w="198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b w:val="false"/>
                <w:bCs w:val="false"/>
                <w:color w:val="0D6E3F"/>
                <w:sz w:val="19"/>
                <w:szCs w:val="19"/>
              </w:rPr>
              <w:t xml:space="preserve">91</w:t>
            </w:r>
          </w:p>
        </w:tc>
      </w:tr>
      <w:tr>
        <w:tc>
          <w:tcPr>
            <w:tcW w:type="dxa" w:w="2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b w:val="false"/>
                <w:bCs w:val="false"/>
                <w:color w:val="1A1A2E"/>
                <w:sz w:val="19"/>
                <w:szCs w:val="19"/>
              </w:rPr>
              <w:t xml:space="preserve">V. 법적정당성</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28</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val="false"/>
                <w:bCs w:val="false"/>
                <w:color w:val="1A1A2E"/>
                <w:sz w:val="19"/>
                <w:szCs w:val="19"/>
              </w:rPr>
              <w:t xml:space="preserve">20</w:t>
            </w:r>
          </w:p>
        </w:tc>
        <w:tc>
          <w:tcPr>
            <w:tcW w:type="dxa" w:w="1980"/>
            <w:tcBorders>
              <w:top w:val="single" w:color="CCCCCC" w:sz="1"/>
              <w:left w:val="single" w:color="CCCCCC" w:sz="1"/>
              <w:bottom w:val="single" w:color="CCCCCC" w:sz="1"/>
              <w:right w:val="single" w:color="CCCCCC" w:sz="1"/>
            </w:tcBorders>
            <w:shd w:fill="E8F5EE" w:val="clear"/>
            <w:tcMar>
              <w:top w:type="dxa" w:w="60"/>
              <w:left w:type="dxa" w:w="120"/>
              <w:bottom w:type="dxa" w:w="60"/>
              <w:right w:type="dxa" w:w="120"/>
            </w:tcMar>
          </w:tcPr>
          <w:p>
            <w:pPr>
              <w:jc w:val="center"/>
            </w:pPr>
            <w:r>
              <w:rPr>
                <w:rFonts w:ascii="Noto Serif KR" w:cs="Noto Serif KR" w:eastAsia="Noto Serif KR" w:hAnsi="Noto Serif KR"/>
                <w:b w:val="false"/>
                <w:bCs w:val="false"/>
                <w:color w:val="0D6E3F"/>
                <w:sz w:val="19"/>
                <w:szCs w:val="19"/>
              </w:rPr>
              <w:t xml:space="preserve">93</w:t>
            </w:r>
          </w:p>
        </w:tc>
      </w:tr>
      <w:tr>
        <w:tc>
          <w:tcPr>
            <w:tcW w:type="dxa" w:w="2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b/>
                <w:bCs/>
                <w:color w:val="001f5b"/>
                <w:sz w:val="19"/>
                <w:szCs w:val="19"/>
              </w:rPr>
              <w:t xml:space="preserve">종합 평균</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bCs/>
                <w:color w:val="001f5b"/>
                <w:sz w:val="19"/>
                <w:szCs w:val="19"/>
              </w:rPr>
              <w:t xml:space="preserve">41 (F)</w:t>
            </w:r>
          </w:p>
        </w:tc>
        <w:tc>
          <w:tcPr>
            <w:tcW w:type="dxa" w:w="17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b/>
                <w:bCs/>
                <w:color w:val="001f5b"/>
                <w:sz w:val="19"/>
                <w:szCs w:val="19"/>
              </w:rPr>
              <w:t xml:space="preserve">35 (F)</w:t>
            </w:r>
          </w:p>
        </w:tc>
        <w:tc>
          <w:tcPr>
            <w:tcW w:type="dxa" w:w="1980"/>
            <w:tcBorders>
              <w:top w:val="single" w:color="CCCCCC" w:sz="1"/>
              <w:left w:val="single" w:color="CCCCCC" w:sz="1"/>
              <w:bottom w:val="single" w:color="CCCCCC" w:sz="1"/>
              <w:right w:val="single" w:color="CCCCCC" w:sz="1"/>
            </w:tcBorders>
            <w:shd w:fill="E8F5EE" w:val="clear"/>
            <w:tcMar>
              <w:top w:type="dxa" w:w="60"/>
              <w:left w:type="dxa" w:w="120"/>
              <w:bottom w:type="dxa" w:w="60"/>
              <w:right w:type="dxa" w:w="120"/>
            </w:tcMar>
          </w:tcPr>
          <w:p>
            <w:pPr>
              <w:jc w:val="center"/>
            </w:pPr>
            <w:r>
              <w:rPr>
                <w:rFonts w:ascii="Noto Serif KR" w:cs="Noto Serif KR" w:eastAsia="Noto Serif KR" w:hAnsi="Noto Serif KR"/>
                <w:b/>
                <w:bCs/>
                <w:color w:val="0D6E3F"/>
                <w:sz w:val="19"/>
                <w:szCs w:val="19"/>
              </w:rPr>
              <w:t xml:space="preserve">92 (A)</w:t>
            </w:r>
          </w:p>
        </w:tc>
      </w:tr>
    </w:tbl>
    <w:p>
      <w:pPr>
        <w:spacing w:before="60" w:after="60"/>
      </w:pPr>
      <w:r>
        <w:t xml:space="preserve"/>
      </w:r>
    </w:p>
    <w:p>
      <w:pPr>
        <w:pStyle w:val="Heading2"/>
        <w:spacing w:before="280" w:after="120" w:line="340"/>
      </w:pPr>
      <w:r>
        <w:rPr>
          <w:rFonts w:ascii="Noto Serif KR" w:cs="Noto Serif KR" w:eastAsia="Noto Serif KR" w:hAnsi="Noto Serif KR"/>
          <w:b/>
          <w:bCs/>
          <w:color w:val="003087"/>
          <w:sz w:val="26"/>
          <w:szCs w:val="26"/>
        </w:rPr>
        <w:t xml:space="preserve">5.5 핵심 발견 사항</w:t>
      </w:r>
    </w:p>
    <w:p>
      <w:pPr>
        <w:pStyle w:val="Heading3"/>
        <w:spacing w:before="200" w:after="80" w:line="340"/>
      </w:pPr>
      <w:r>
        <w:rPr>
          <w:rFonts w:ascii="Noto Serif KR" w:cs="Noto Serif KR" w:eastAsia="Noto Serif KR" w:hAnsi="Noto Serif KR"/>
          <w:b/>
          <w:bCs/>
          <w:color w:val="001f5b"/>
          <w:sz w:val="22"/>
          <w:szCs w:val="22"/>
        </w:rPr>
        <w:t xml:space="preserve">발견 1: 변론주의 위반의 심화 패턴</w:t>
      </w:r>
    </w:p>
    <w:p>
      <w:pPr>
        <w:spacing w:before="60" w:after="60" w:line="340"/>
        <w:jc w:val="both"/>
      </w:pPr>
      <w:r>
        <w:rPr>
          <w:rFonts w:ascii="Noto Serif KR" w:cs="Noto Serif KR" w:eastAsia="Noto Serif KR" w:hAnsi="Noto Serif KR"/>
          <w:color w:val="1A1A2E"/>
          <w:sz w:val="20"/>
          <w:szCs w:val="20"/>
        </w:rPr>
        <w:t xml:space="preserve">1심은 피고가 주장하지 않은 채무자회생법 제416·417·423조, 재단채권론을 재판부가 독자 발굴·적용하여 민사소송법 제203조를 위반하였다. 2심은 1심의 위반을 시정하지 않고 추가 법조항(제423조, 제473조 제8호, 제475조)과 대법원 판례(2015다252501, 2012da113667)까지 독자 발굴하여 변론주의 위반이 1심보다 심화되었다. K-OpenLaw는 논쟁 관리 엔진이 당사자 주장을 실시간 추적하므로 구조적으로 변론주의 위반이 불가능하다.</w:t>
      </w:r>
    </w:p>
    <w:p>
      <w:pPr>
        <w:pStyle w:val="Heading3"/>
        <w:spacing w:before="200" w:after="80" w:line="340"/>
      </w:pPr>
      <w:r>
        <w:rPr>
          <w:rFonts w:ascii="Noto Serif KR" w:cs="Noto Serif KR" w:eastAsia="Noto Serif KR" w:hAnsi="Noto Serif KR"/>
          <w:b/>
          <w:bCs/>
          <w:color w:val="001f5b"/>
          <w:sz w:val="22"/>
          <w:szCs w:val="22"/>
        </w:rPr>
        <w:t xml:space="preserve">발견 2: 항소심의 오류 시정 기능 미작동</w:t>
      </w:r>
    </w:p>
    <w:p>
      <w:pPr>
        <w:spacing w:before="60" w:after="60" w:line="340"/>
        <w:jc w:val="both"/>
      </w:pPr>
      <w:r>
        <w:rPr>
          <w:rFonts w:ascii="Noto Serif KR" w:cs="Noto Serif KR" w:eastAsia="Noto Serif KR" w:hAnsi="Noto Serif KR"/>
          <w:color w:val="1A1A2E"/>
          <w:sz w:val="20"/>
          <w:szCs w:val="20"/>
        </w:rPr>
        <w:t xml:space="preserve">5개 차원 모두 2심이 1심보다 낮은 점수를 기록하였다(종합: 41→35점). 항소심 본연의 1심 오류 시정 기능이 실질적으로 작동하지 않았음을 수치가 보여준다.</w:t>
      </w:r>
    </w:p>
    <w:p>
      <w:pPr>
        <w:pStyle w:val="Heading3"/>
        <w:spacing w:before="200" w:after="80" w:line="340"/>
      </w:pPr>
      <w:r>
        <w:rPr>
          <w:rFonts w:ascii="Noto Serif KR" w:cs="Noto Serif KR" w:eastAsia="Noto Serif KR" w:hAnsi="Noto Serif KR"/>
          <w:b/>
          <w:bCs/>
          <w:color w:val="001f5b"/>
          <w:sz w:val="22"/>
          <w:szCs w:val="22"/>
        </w:rPr>
        <w:t xml:space="preserve">발견 3: 규범 위계 역전</w:t>
      </w:r>
    </w:p>
    <w:p>
      <w:pPr>
        <w:spacing w:before="60" w:after="60" w:line="340"/>
        <w:jc w:val="both"/>
      </w:pPr>
      <w:r>
        <w:rPr>
          <w:rFonts w:ascii="Noto Serif KR" w:cs="Noto Serif KR" w:eastAsia="Noto Serif KR" w:hAnsi="Noto Serif KR"/>
          <w:color w:val="1A1A2E"/>
          <w:sz w:val="20"/>
          <w:szCs w:val="20"/>
        </w:rPr>
        <w:t xml:space="preserve">양 심급 모두 일반 민법 임대차 원칙을 적용하면서 헌법상 주거권(제35조), 인간 존엄(제10조), 생존권(제34조), 파산법상 면제재산 보호(제383조)를 무시하였다. K-OpenLaw는 6단계 규범 위계 데이터베이스로 상위 규범 우선 적용을 구조적으로 강제하였다.</w:t>
      </w:r>
    </w:p>
    <w:p>
      <w:pPr>
        <w:pStyle w:val="Heading3"/>
        <w:spacing w:before="200" w:after="80" w:line="340"/>
      </w:pPr>
      <w:r>
        <w:rPr>
          <w:rFonts w:ascii="Noto Serif KR" w:cs="Noto Serif KR" w:eastAsia="Noto Serif KR" w:hAnsi="Noto Serif KR"/>
          <w:b/>
          <w:bCs/>
          <w:color w:val="001f5b"/>
          <w:sz w:val="22"/>
          <w:szCs w:val="22"/>
        </w:rPr>
        <w:t xml:space="preserve">발견 4: 취약계층 보호 실패</w:t>
      </w:r>
    </w:p>
    <w:p>
      <w:pPr>
        <w:spacing w:before="60" w:after="60" w:line="340"/>
        <w:jc w:val="both"/>
      </w:pPr>
      <w:r>
        <w:rPr>
          <w:rFonts w:ascii="Noto Serif KR" w:cs="Noto Serif KR" w:eastAsia="Noto Serif KR" w:hAnsi="Noto Serif KR"/>
          <w:color w:val="1A1A2E"/>
          <w:sz w:val="20"/>
          <w:szCs w:val="20"/>
        </w:rPr>
        <w:t xml:space="preserve">양 심급 모두 원고의 경제적 취약 지위, 폐가 거주, 정신과 치료에 대한 고려가 전무하였다. K-OpenLaw는 VHI = 0.94를 자동 산출하여 인도적 한계 트리거를 발동, 취약계층 보호 조항 우선 적용을 강제하였다.</w:t>
      </w:r>
    </w:p>
    <w:p>
      <w:pPr>
        <w:pStyle w:val="Heading2"/>
        <w:spacing w:before="280" w:after="120" w:line="340"/>
      </w:pPr>
      <w:r>
        <w:rPr>
          <w:rFonts w:ascii="Noto Serif KR" w:cs="Noto Serif KR" w:eastAsia="Noto Serif KR" w:hAnsi="Noto Serif KR"/>
          <w:b/>
          <w:bCs/>
          <w:color w:val="003087"/>
          <w:sz w:val="26"/>
          <w:szCs w:val="26"/>
        </w:rPr>
        <w:t xml:space="preserve">5.6 처리 효율성</w:t>
      </w:r>
    </w:p>
    <w:p>
      <w:pPr>
        <w:spacing w:before="60" w:after="60"/>
      </w:pPr>
      <w:r>
        <w:t xml:space="preserve"/>
      </w:r>
    </w:p>
    <w:tbl>
      <w:tblPr>
        <w:tblW w:type="dxa" w:w="7620"/>
        <w:tblBorders>
          <w:top w:val="single" w:color="auto" w:sz="4"/>
          <w:left w:val="single" w:color="auto" w:sz="4"/>
          <w:bottom w:val="single" w:color="auto" w:sz="4"/>
          <w:right w:val="single" w:color="auto" w:sz="4"/>
          <w:insideH w:val="single" w:color="auto" w:sz="4"/>
          <w:insideV w:val="single" w:color="auto" w:sz="4"/>
        </w:tblBorders>
      </w:tblPr>
      <w:tblGrid>
        <w:gridCol w:w="3200"/>
        <w:gridCol w:w="2200"/>
        <w:gridCol w:w="2220"/>
      </w:tblGrid>
      <w:tr>
        <w:tc>
          <w:tcPr>
            <w:tcW w:type="dxa" w:w="320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지표</w:t>
            </w:r>
          </w:p>
        </w:tc>
        <w:tc>
          <w:tcPr>
            <w:tcW w:type="dxa" w:w="220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인간 법원 소송</w:t>
            </w:r>
          </w:p>
        </w:tc>
        <w:tc>
          <w:tcPr>
            <w:tcW w:type="dxa" w:w="2220"/>
            <w:tcBorders>
              <w:top w:val="single" w:color="FFFFFF" w:sz="1"/>
              <w:left w:val="single" w:color="FFFFFF" w:sz="1"/>
              <w:bottom w:val="single" w:color="FFFFFF" w:sz="1"/>
              <w:right w:val="single" w:color="FFFFFF" w:sz="1"/>
            </w:tcBorders>
            <w:shd w:fill="003087" w:val="clear"/>
            <w:tcMar>
              <w:top w:type="dxa" w:w="80"/>
              <w:left w:type="dxa" w:w="120"/>
              <w:bottom w:type="dxa" w:w="80"/>
              <w:right w:type="dxa" w:w="120"/>
            </w:tcMar>
          </w:tcPr>
          <w:p>
            <w:pPr>
              <w:jc w:val="center"/>
            </w:pPr>
            <w:r>
              <w:rPr>
                <w:rFonts w:ascii="Noto Serif KR" w:cs="Noto Serif KR" w:eastAsia="Noto Serif KR" w:hAnsi="Noto Serif KR"/>
                <w:b/>
                <w:bCs/>
                <w:color w:val="FFFFFF"/>
                <w:sz w:val="19"/>
                <w:szCs w:val="19"/>
              </w:rPr>
              <w:t xml:space="preserve">K-OpenLaw</w:t>
            </w:r>
          </w:p>
        </w:tc>
      </w:tr>
      <w:tr>
        <w:tc>
          <w:tcPr>
            <w:tcW w:type="dxa" w:w="3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소요 시간</w:t>
            </w:r>
          </w:p>
        </w:tc>
        <w:tc>
          <w:tcPr>
            <w:tcW w:type="dxa" w:w="2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36개월 (1·2심)</w:t>
            </w:r>
          </w:p>
        </w:tc>
        <w:tc>
          <w:tcPr>
            <w:tcW w:type="dxa" w:w="22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45.8분</w:t>
            </w:r>
          </w:p>
        </w:tc>
      </w:tr>
      <w:tr>
        <w:tc>
          <w:tcPr>
            <w:tcW w:type="dxa" w:w="320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총 비용</w:t>
            </w:r>
          </w:p>
        </w:tc>
        <w:tc>
          <w:tcPr>
            <w:tcW w:type="dxa" w:w="220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3,000~5,000만 원</w:t>
            </w:r>
          </w:p>
        </w:tc>
        <w:tc>
          <w:tcPr>
            <w:tcW w:type="dxa" w:w="222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약 36,200원</w:t>
            </w:r>
          </w:p>
        </w:tc>
      </w:tr>
      <w:tr>
        <w:tc>
          <w:tcPr>
            <w:tcW w:type="dxa" w:w="3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비용 비율</w:t>
            </w:r>
          </w:p>
        </w:tc>
        <w:tc>
          <w:tcPr>
            <w:tcW w:type="dxa" w:w="22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기준 (1×)</w:t>
            </w:r>
          </w:p>
        </w:tc>
        <w:tc>
          <w:tcPr>
            <w:tcW w:type="dxa" w:w="222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약 1/1,000×</w:t>
            </w:r>
          </w:p>
        </w:tc>
      </w:tr>
      <w:tr>
        <w:tc>
          <w:tcPr>
            <w:tcW w:type="dxa" w:w="320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left"/>
            </w:pPr>
            <w:r>
              <w:rPr>
                <w:rFonts w:ascii="Noto Serif KR" w:cs="Noto Serif KR" w:eastAsia="Noto Serif KR" w:hAnsi="Noto Serif KR"/>
                <w:color w:val="1A1A2E"/>
                <w:sz w:val="19"/>
                <w:szCs w:val="19"/>
              </w:rPr>
              <w:t xml:space="preserve">판결 품질 (종합)</w:t>
            </w:r>
          </w:p>
        </w:tc>
        <w:tc>
          <w:tcPr>
            <w:tcW w:type="dxa" w:w="220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41점(1심) / 35점(2심)</w:t>
            </w:r>
          </w:p>
        </w:tc>
        <w:tc>
          <w:tcPr>
            <w:tcW w:type="dxa" w:w="2220"/>
            <w:tcBorders>
              <w:top w:val="single" w:color="CCCCCC" w:sz="1"/>
              <w:left w:val="single" w:color="CCCCCC" w:sz="1"/>
              <w:bottom w:val="single" w:color="CCCCCC" w:sz="1"/>
              <w:right w:val="single" w:color="CCCCCC" w:sz="1"/>
            </w:tcBorders>
            <w:shd w:fill="F5F5F5" w:val="clear"/>
            <w:tcMar>
              <w:top w:type="dxa" w:w="60"/>
              <w:left w:type="dxa" w:w="120"/>
              <w:bottom w:type="dxa" w:w="60"/>
              <w:right w:type="dxa" w:w="120"/>
            </w:tcMar>
          </w:tcPr>
          <w:p>
            <w:pPr>
              <w:jc w:val="center"/>
            </w:pPr>
            <w:r>
              <w:rPr>
                <w:rFonts w:ascii="Noto Serif KR" w:cs="Noto Serif KR" w:eastAsia="Noto Serif KR" w:hAnsi="Noto Serif KR"/>
                <w:color w:val="1A1A2E"/>
                <w:sz w:val="19"/>
                <w:szCs w:val="19"/>
              </w:rPr>
              <w:t xml:space="preserve">92점 (A)</w:t>
            </w:r>
          </w:p>
        </w:tc>
      </w:tr>
    </w:tbl>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분석 시간 상세: 증거 검증 0.4초 + 대변자 논증 28.3분 + 논쟁 관리 4.2분 + 판정 패널 12.9분 + 판결 생성 0.2분 = 45.8분</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6. 논의</w:t>
      </w:r>
    </w:p>
    <w:p>
      <w:pPr>
        <w:pStyle w:val="Heading2"/>
        <w:spacing w:before="280" w:after="120" w:line="340"/>
      </w:pPr>
      <w:r>
        <w:rPr>
          <w:rFonts w:ascii="Noto Serif KR" w:cs="Noto Serif KR" w:eastAsia="Noto Serif KR" w:hAnsi="Noto Serif KR"/>
          <w:b/>
          <w:bCs/>
          <w:color w:val="003087"/>
          <w:sz w:val="26"/>
          <w:szCs w:val="26"/>
        </w:rPr>
        <w:t xml:space="preserve">6.1 RQ1에 대한 답변: K-OpenLaw의 법리 분석 능력</w:t>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해석 전제: 이 절의 결과를 해석하기에 앞서, 본 연구의 근본 목적을 재환기한다. 본 실험은 AI 시스템이 법조인보다 뛰어남을 입증하기 위한 것이 아니다. 개별 법조인의 편향과 제한된 지식을 보완할 합리적인 방안을 도출하는 것, 즉 기존 법조인의 사회적 기능을 보완하고 보강하기 위한 방안을 탐색하는 것이 이 연구의 목적이다. 이하의 비교 데이터는 그 목적 아래 읽혀야 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본 연구는 K-OpenLaw가 파산법·민사소송법·임대차법이 교차하는 복잡한 사건에서 실제 법원 판결의 법리적 오류를 체계적으로 식별하고(1심 11개, 2심 8개), 헌법적 가치와 상위 법령에 기반한 논리적으로 정합성 높은 대안 판결(92점)을 생성할 수 있음을 실증하였다.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다만, 이는 K-OpenLaw가 법원을 '대체'할 수 있다는 주장으로 해석되어서는 안 된다. 오히려 이 결과는, AI 시스템이 인간 법관의 판단 과정에서 간과될 수 있는 법리적 쟁점을 보완하고 보다 풍부한 법리적 대안을 제시할 수 있는 보조 도구로서의 가능성을 입증한 것으로 보아야 한다. 실제 소송에서 K-OpenLaw의 분석 결과가 원고 본인의 자력 소송 법리 논거로 활용되었고, 이에 대해 피고 측 변호인단과 법원이 각각 대응하는 과정은, AI와 인간 법조인의 협력적 경합(co-opetition)의 한 모델을 제시한다.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본 연구의 한계는 명확히 인정되어야 한다. N=1 사례는 일반화의 근거가 될 수 없으며, RQ1에 대한 답변은 "이 사건에서 K-OpenLaw는 법원 판결과 규범 위계 적용 방식에서 유의미한 차이를 보였다"는 수준에서의 확인이다.</w:t>
      </w:r>
    </w:p>
    <w:p>
      <w:pPr>
        <w:pStyle w:val="Heading2"/>
        <w:spacing w:before="280" w:after="120" w:line="340"/>
      </w:pPr>
      <w:r>
        <w:rPr>
          <w:rFonts w:ascii="Noto Serif KR" w:cs="Noto Serif KR" w:eastAsia="Noto Serif KR" w:hAnsi="Noto Serif KR"/>
          <w:b/>
          <w:bCs/>
          <w:color w:val="003087"/>
          <w:sz w:val="26"/>
          <w:szCs w:val="26"/>
        </w:rPr>
        <w:t xml:space="preserve">6.2 RQ2에 대한 답변: 예방적 잠재력의 간접 근거</w:t>
      </w:r>
    </w:p>
    <w:p>
      <w:pPr>
        <w:spacing w:before="60" w:after="60" w:line="340"/>
        <w:jc w:val="both"/>
      </w:pPr>
      <w:r>
        <w:rPr>
          <w:rFonts w:ascii="Noto Serif KR" w:cs="Noto Serif KR" w:eastAsia="Noto Serif KR" w:hAnsi="Noto Serif KR"/>
          <w:color w:val="1A1A2E"/>
          <w:sz w:val="20"/>
          <w:szCs w:val="20"/>
        </w:rPr>
        <w:t xml:space="preserve">K-OpenLaw의 법리 분석 능력 실증은 OpenHash-고팡 생태계의 분쟁 예방적 잠재력에 대해 네 가지 방식으로 간접 근거를 제공한다.</w:t>
      </w:r>
    </w:p>
    <w:p>
      <w:pPr>
        <w:spacing w:before="60" w:after="60"/>
      </w:pPr>
      <w:r>
        <w:t xml:space="preserve"/>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근거 1 — 사후 해결 능력의 실증은 사전 예방 능력의 신뢰도를 높인다: K-OpenLaw가 이미 발생한 복잡한 분쟁을 탁월하게 해결한다는 것이 입증되면, AI 비서의 "위법 징후 경고"에 대한 사용자의 신뢰도 또한 높아진다.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근거 2 — 증거 무결성 보장의 억지 효과: 범죄학의 억지 이론(Beccaria 1764; Gibbs 1975)에 따르면, 처벌의 확실성이 처벌의 엄격성보다 범죄 억지에 더 효과적이다. OpenHash는 불법 행위의 "증거 잔류 확실성"을 기술적으로 거의 1로 높여 강력한 억지 효과를 생성한다.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근거 3 — 예방 법학 이론과의 정합성: Louis Brown(1950)의 예방 법학에 따르면, 법률 위반의 대다수는 당사자가 자신의 행위가 위법임을 모르거나 증거가 남지 않는다고 착각할 때 발생한다. AI 비서는 전자를, OpenHash는 후자를 각각 해결한다.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근거 4 — ADR 유인의 증가: K-OpenLaw의 처리 비용(36,200원)과 시간(45.8분)이 기존 소송(수천만 원, 수년)에 비해 압도적으로 낮다는 사실은, 합리적 당사자로 하여금 소송보다 ADR을 선택하는 유인을 대폭 높인다.</w:t>
      </w:r>
    </w:p>
    <w:p>
      <w:pPr>
        <w:spacing w:before="60" w:after="60"/>
      </w:pPr>
      <w:r>
        <w:t xml:space="preserve"/>
      </w:r>
    </w:p>
    <w:p>
      <w:pPr>
        <w:pBdr>
          <w:left w:val="single" w:color="C9A000" w:sz="12" w:space="12"/>
        </w:pBdr>
        <w:spacing w:before="80" w:after="80" w:line="320"/>
        <w:ind w:left="560" w:right="560"/>
        <w:jc w:val="both"/>
      </w:pPr>
      <w:r>
        <w:rPr>
          <w:rFonts w:ascii="Noto Serif KR" w:cs="Noto Serif KR" w:eastAsia="Noto Serif KR" w:hAnsi="Noto Serif KR"/>
          <w:i/>
          <w:iCs/>
          <w:color w:val="4A5568"/>
          <w:sz w:val="19"/>
          <w:szCs w:val="19"/>
        </w:rPr>
        <w:t xml:space="preserve">"K-OpenLaw의 우수한 분쟁 해결 능력(∵ 본 연구의 실증)과 OpenHash의 증거 위변조 불가 속성(∵ 기술적 사실)이 사회에 자리 잡으면, 사람들은 분쟁을 피하거나 조기에 합의하려는 유인이 높아져 법원 사건의 상당 부분이 사전에 예방되거나 신속한 자율 해결로 전환될 것이다. 이것이 본 연구가 제시하는 이론적 비전이며, 그 실현을 향한 첫 번째 실증적 걸음이다."</w:t>
      </w:r>
    </w:p>
    <w:p>
      <w:pPr>
        <w:spacing w:before="60" w:after="60"/>
      </w:pPr>
      <w:r>
        <w:t xml:space="preserve"/>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주의: 구체적인 수치(예: "99%")는 현 단계의 근거로는 엄밀하게 뒷받침할 수 없으며, 향후 RCT 설계 등 대규모 전향적 연구를 통해 계량적으로 검증되어야 한다.</w:t>
      </w:r>
    </w:p>
    <w:p>
      <w:pPr>
        <w:pStyle w:val="Heading2"/>
        <w:spacing w:before="280" w:after="120" w:line="340"/>
      </w:pPr>
      <w:r>
        <w:rPr>
          <w:rFonts w:ascii="Noto Serif KR" w:cs="Noto Serif KR" w:eastAsia="Noto Serif KR" w:hAnsi="Noto Serif KR"/>
          <w:b/>
          <w:bCs/>
          <w:color w:val="003087"/>
          <w:sz w:val="26"/>
          <w:szCs w:val="26"/>
        </w:rPr>
        <w:t xml:space="preserve">6.3 RQ3에 대한 답변: OpenHash 증거 무결성의 역할</w:t>
      </w:r>
    </w:p>
    <w:p>
      <w:pPr>
        <w:spacing w:before="60" w:after="60" w:line="340"/>
        <w:jc w:val="both"/>
      </w:pPr>
      <w:r>
        <w:rPr>
          <w:rFonts w:ascii="Noto Serif KR" w:cs="Noto Serif KR" w:eastAsia="Noto Serif KR" w:hAnsi="Noto Serif KR"/>
          <w:color w:val="1A1A2E"/>
          <w:sz w:val="20"/>
          <w:szCs w:val="20"/>
        </w:rPr>
        <w:t xml:space="preserve">첫째, 논쟁의 집중화다. 24개 증거 항목 전부의 무결성이 즉시 확인되어 증거 다툼이 0건 발생하였다. 논쟁은 처음부터 순수한 법리 논쟁으로 집중되어 분석 효율성이 크게 향상되었다.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둘째, 역소급적 사실 복원이다. 피고의 퇴거 압박이 파산선고 이전부터 시작되었음을 타임스탬프로 확인한 것은, OpenHash 기록이 없었다면 사실 확정 자체가 불가능했을 가능성이 높다.</w:t>
      </w:r>
    </w:p>
    <w:p>
      <w:pPr>
        <w:pStyle w:val="Heading2"/>
        <w:spacing w:before="280" w:after="120" w:line="340"/>
      </w:pPr>
      <w:r>
        <w:rPr>
          <w:rFonts w:ascii="Noto Serif KR" w:cs="Noto Serif KR" w:eastAsia="Noto Serif KR" w:hAnsi="Noto Serif KR"/>
          <w:b/>
          <w:bCs/>
          <w:color w:val="003087"/>
          <w:sz w:val="26"/>
          <w:szCs w:val="26"/>
        </w:rPr>
        <w:t xml:space="preserve">6.4 사법적 독립성과 K-OpenLaw의 관계</w:t>
      </w:r>
    </w:p>
    <w:p>
      <w:pPr>
        <w:spacing w:before="60" w:after="60" w:line="340"/>
        <w:jc w:val="both"/>
      </w:pPr>
      <w:r>
        <w:rPr>
          <w:rFonts w:ascii="Noto Serif KR" w:cs="Noto Serif KR" w:eastAsia="Noto Serif KR" w:hAnsi="Noto Serif KR"/>
          <w:color w:val="1A1A2E"/>
          <w:sz w:val="20"/>
          <w:szCs w:val="20"/>
        </w:rPr>
        <w:t xml:space="preserve">K-OpenLaw는 인간 법관을 대체하는 것이 아니다. K-OpenLaw 역할: 증거 무결성 검증, 규범 위계 강제, 대립 논증 구조화, 판결 초안 생성. 인간 법원 역할: 법리 창설, 사회적 맥락과 형평성 고려, K-OpenLaw 판결의 최종 승인·수정·변경. Sourdin(2018)의 분류에 따르면 K-OpenLaw는 "의사결정자" 단계를 지향하되, 인간 법관의 최종 승인을 필수 단계로 포함하는 하이브리드 모델이다.</w:t>
      </w:r>
    </w:p>
    <w:p>
      <w:pPr>
        <w:pStyle w:val="Heading2"/>
        <w:spacing w:before="280" w:after="120" w:line="340"/>
      </w:pPr>
      <w:r>
        <w:rPr>
          <w:rFonts w:ascii="Noto Serif KR" w:cs="Noto Serif KR" w:eastAsia="Noto Serif KR" w:hAnsi="Noto Serif KR"/>
          <w:b/>
          <w:bCs/>
          <w:color w:val="003087"/>
          <w:sz w:val="26"/>
          <w:szCs w:val="26"/>
        </w:rPr>
        <w:t xml:space="preserve">6.5 사회적·제도적 파급효과: 잠재적 가능성과 과제</w:t>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본 절의 내용은 단일 사례 연구로 검증된 사실이 아니라, 시스템의 잠재력이 실현될 때의 이론적 시나리오이다. 향후 연구자·법조계·정책 입안자에게 논의의 프레임워크를 제공하는 것이 목적이다.</w:t>
      </w:r>
    </w:p>
    <w:p>
      <w:pPr>
        <w:spacing w:before="60" w:after="60"/>
      </w:pPr>
      <w:r>
        <w:t xml:space="preserve"/>
      </w:r>
    </w:p>
    <w:p>
      <w:pPr>
        <w:pStyle w:val="Heading3"/>
        <w:spacing w:before="200" w:after="80" w:line="340"/>
      </w:pPr>
      <w:r>
        <w:rPr>
          <w:rFonts w:ascii="Noto Serif KR" w:cs="Noto Serif KR" w:eastAsia="Noto Serif KR" w:hAnsi="Noto Serif KR"/>
          <w:b/>
          <w:bCs/>
          <w:color w:val="001f5b"/>
          <w:sz w:val="22"/>
          <w:szCs w:val="22"/>
        </w:rPr>
        <w:t xml:space="preserve">6.5.1 사법 패러다임의 전환: 사후적 정의에서 예방적 정의로</w:t>
      </w:r>
    </w:p>
    <w:p>
      <w:pPr>
        <w:spacing w:before="60" w:after="60" w:line="340"/>
        <w:jc w:val="both"/>
      </w:pPr>
      <w:r>
        <w:rPr>
          <w:rFonts w:ascii="Noto Serif KR" w:cs="Noto Serif KR" w:eastAsia="Noto Serif KR" w:hAnsi="Noto Serif KR"/>
          <w:color w:val="1A1A2E"/>
          <w:sz w:val="20"/>
          <w:szCs w:val="20"/>
        </w:rPr>
        <w:t xml:space="preserve">OpenHash-고팡 생태계가 충분히 대중화된다면, 사법 시스템의 작동 구조가 근본적으로 재편될 수 있다: 1단계(예방) 실시간 위법 징후 감지 → AI 비서 자동 경고 → 사전 차단; 2단계(자율 해결) 예방 실패 분쟁 발생 시 K-OpenLaw ADR → 신속 해결; 3단계(사법적 확인) 복잡·신규 법리 사건에 한해 인간 법원 개입. 이 구조가 실현된다면, 법의 기능이 '분쟁 해결'에서 '분쟁 예방'으로 무게중심이 이동하는 패러다임 전환이 가능하다.</w:t>
      </w:r>
    </w:p>
    <w:p>
      <w:pPr>
        <w:pStyle w:val="Heading3"/>
        <w:spacing w:before="200" w:after="80" w:line="340"/>
      </w:pPr>
      <w:r>
        <w:rPr>
          <w:rFonts w:ascii="Noto Serif KR" w:cs="Noto Serif KR" w:eastAsia="Noto Serif KR" w:hAnsi="Noto Serif KR"/>
          <w:b/>
          <w:bCs/>
          <w:color w:val="001f5b"/>
          <w:sz w:val="22"/>
          <w:szCs w:val="22"/>
        </w:rPr>
        <w:t xml:space="preserve">6.5.2 법관 및 법조인의 역할 변화</w:t>
      </w:r>
    </w:p>
    <w:p>
      <w:pPr>
        <w:spacing w:before="60" w:after="60" w:line="340"/>
        <w:jc w:val="both"/>
      </w:pPr>
      <w:r>
        <w:rPr>
          <w:rFonts w:ascii="Noto Serif KR" w:cs="Noto Serif KR" w:eastAsia="Noto Serif KR" w:hAnsi="Noto Serif KR"/>
          <w:color w:val="1A1A2E"/>
          <w:sz w:val="20"/>
          <w:szCs w:val="20"/>
        </w:rPr>
        <w:t xml:space="preserve">법관은 새로운 법리의 창설, 가치 충돌의 해결, 사회적 형평성 판단과 같이 인간의 판단이 본질적으로 요구되는 업무에 역량을 집중할 수 있게 된다. 변호사는 AI 시스템의 지휘·감독, 전략 수립, 의뢰인 상담, 윤리적 판단 등 고차원적 역량에 대한 수요가 증가할 것이다(Barton &amp; Bibas, 2017).</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본 연구의 사례는 더욱 주목할 만한 가능성을 실증한다. 법률 대리인을 선임하지 못한 원고가 AI 전문가(비법조인)의 기술적 지원을 받아 K-OpenLaw를 직접 활용하여 자력 소송을 수행하였다. 이는 AI가 변호사의 판단을 대체하는 것이 아니라, 기존에 법률 서비스에 접근하기 어려웠던 당사자가 스스로 법리를 탐구하고 주장을 구성할 수 있도록 확장하는 도구로 기능할 수 있음을 보여준다.</w:t>
      </w:r>
    </w:p>
    <w:p>
      <w:pPr>
        <w:pStyle w:val="Heading3"/>
        <w:spacing w:before="200" w:after="80" w:line="340"/>
      </w:pPr>
      <w:r>
        <w:rPr>
          <w:rFonts w:ascii="Noto Serif KR" w:cs="Noto Serif KR" w:eastAsia="Noto Serif KR" w:hAnsi="Noto Serif KR"/>
          <w:b/>
          <w:bCs/>
          <w:color w:val="001f5b"/>
          <w:sz w:val="22"/>
          <w:szCs w:val="22"/>
        </w:rPr>
        <w:t xml:space="preserve">6.5.3 잠재적 위험과 규제 과제</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위험 1 — 사법부의 제도적 저항: 점진적 도입, 법조인 교육, 충분한 사회적 논의가 선행되어야 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위험 2 — 감시 사회화 위험: Gate-Keeper 원칙의 법·제도적 보장과 데이터 접근 영장주의가 병행되어야 한다(Hörnle, 2009).</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위험 3 — 디지털 격차의 심화: 공공 인프라 차원의 보편적 접근 보장과 디지털 리터러시 지원이 필요하다.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위험 4 — 알고리즘 편향과 책임 소재: 개발사·운영자·사용자 간 법적 책임 소재에 대한 명확한 기준 정립이 선행되어야 한다(Sourdin, 2018).</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위험 5 — 기술 의존도 증가: 사법 인프라의 기술적 이중화와 오프라인 대체 절차 상시 유지가 필요하다.</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7. 한계 및 향후 연구 과제</w:t>
      </w:r>
    </w:p>
    <w:p>
      <w:pPr>
        <w:pStyle w:val="Heading2"/>
        <w:spacing w:before="280" w:after="120" w:line="340"/>
      </w:pPr>
      <w:r>
        <w:rPr>
          <w:rFonts w:ascii="Noto Serif KR" w:cs="Noto Serif KR" w:eastAsia="Noto Serif KR" w:hAnsi="Noto Serif KR"/>
          <w:b/>
          <w:bCs/>
          <w:color w:val="003087"/>
          <w:sz w:val="26"/>
          <w:szCs w:val="26"/>
        </w:rPr>
        <w:t xml:space="preserve">7.1 본 연구의 한계</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단일 사례의 일반화 제한 (가장 중요한 한계): 본 연구는 N=1 사례에 기반한다. 본 연구의 결과는 "K-OpenLaw 시스템의 잠재적 효용성을 강력히 시사한다"는 수준의 해석에 그쳐야 하며, 향후 대규모 다사례 연구를 통한 검증이 반드시 수행되어야 한다.</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평가 방법론의 개발팀 편향: 5개 차원 평가 방법론이 K-OpenLaw 연구그룹에 의해 개발·적용되어 구조적 편향의 가능성이 있다. 독립 법학자 블라인드 평가 및 Cohen's κ 측정이 필수적이다. 이 검증이 이루어지기 전까지 본 정량 결과는 탐색적(exploratory) 데이터로 해석되어야 한다.</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예방 법학 기능의 소급 적용 한계: 본 사건에서 고팡 예방 법학 기능은 반사실적 시뮬레이션(counterfactual simulation) 수준으로만 적용되었다. 실제 예방 효과를 측정하기 위해서는 전향적(prospective) 연구가 필요하다.</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OpenHash 네트워크의 실용 배포 단계: 현재 프로토타입 검증 단계(월 $49 AWS 환경)에 있으며, 3,500개 읍면동 노드 전국 배포가 선행되어야 한다.</w:t>
      </w:r>
    </w:p>
    <w:p>
      <w:pPr>
        <w:pStyle w:val="ListParagraph"/>
        <w:numPr>
          <w:ilvl w:val="0"/>
          <w:numId w:val="3"/>
        </w:numPr>
        <w:spacing w:before="40" w:after="40" w:line="320"/>
      </w:pPr>
      <w:r>
        <w:rPr>
          <w:rFonts w:ascii="Noto Serif KR" w:cs="Noto Serif KR" w:eastAsia="Noto Serif KR" w:hAnsi="Noto Serif KR"/>
          <w:color w:val="1A1A2E"/>
          <w:sz w:val="20"/>
          <w:szCs w:val="20"/>
        </w:rPr>
        <w:t xml:space="preserve">법적 권위의 부재: K-OpenLaw 판결은 현행법상 사법적 구속력이 없다. 중재법, 민사소송법 등 관련 법령의 정비가 필요하다.</w:t>
      </w:r>
    </w:p>
    <w:p>
      <w:pPr>
        <w:pStyle w:val="Heading2"/>
        <w:spacing w:before="280" w:after="120" w:line="340"/>
      </w:pPr>
      <w:r>
        <w:rPr>
          <w:rFonts w:ascii="Noto Serif KR" w:cs="Noto Serif KR" w:eastAsia="Noto Serif KR" w:hAnsi="Noto Serif KR"/>
          <w:b/>
          <w:bCs/>
          <w:color w:val="003087"/>
          <w:sz w:val="26"/>
          <w:szCs w:val="26"/>
        </w:rPr>
        <w:t xml:space="preserve">7.2 향후 연구 과제</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1 [최우선] — 독립 법학자 블라인드 평가: 현재 법학전문대학원 민사소송법·파산법 전공 교수 2인에게 블라인드 평가를 의뢰하는 절차를 진행 중이다. K-OpenLaw 판결문과 1·2심 실제 판결문의 출처를 모두 은폐한 상태에서 부록 H의 동일 루브릭으로 독립 채점하며, Cohen's κ를 측정할 예정이다. κ ≥ 0.61 미달 시 루브릭을 재정비하여 재평가를 실시한다.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2 — 대규모 다사례 연구: 100개 이상 다양한 사건 유형에 K-OpenLaw 적용. 민사·형사·행정·가사 각 분야별 성능 차이 분석.</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3 — 전향적 분쟁 예방 효과 측정: 고팡 도입 집단 vs. 미도입 집단의 분쟁 발생률 비교. RCT(무작위 대조 실험) 설계 권장.</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4 — '대다수 분쟁 예방' 비전의 계량적 검증: 억지 효과, 조기 경보 효과, ADR 유인 효과를 각각 독립 변수로 계량화하는 방법론 개발.</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5 — 국제 비교 연구: 에스토니아 e-Government, 싱가포르 ODR 플랫폼, 유럽 ODR Directive(2013/11/EU)와의 비교 분석.</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6 — 법령 정비 연구: K-OpenLaw 판결에 법적 권위를 부여하기 위한 중재법·민사소송법 개정 방향 연구.</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7 — 민사-형사 연계 법리 검증 연구: 본 사건에는 피고가 1심 및 2심 판결의 핵심 증거로 제출한 특정 문서(관리비완납서)의 진정성에 관한 의혹이 병존한다. 이 의혹이 향후 형사 고발 등으로 발전하는 경우, K-OpenLaw가 민사책임(불법행위·손해배상)과 형사책임(사문서위조·사기 등)을 어떻게 구분하고 연계하여 법리 분석을 수행할 수 있는지 검증할 계획이다.</w:t>
      </w:r>
    </w:p>
    <w:p>
      <w:pPr>
        <w:pStyle w:val="ListParagraph"/>
        <w:numPr>
          <w:ilvl w:val="0"/>
          <w:numId w:val="2"/>
        </w:numPr>
        <w:spacing w:before="40" w:after="40" w:line="320"/>
      </w:pPr>
      <w:r>
        <w:rPr>
          <w:rFonts w:ascii="Noto Serif KR" w:cs="Noto Serif KR" w:eastAsia="Noto Serif KR" w:hAnsi="Noto Serif KR"/>
          <w:color w:val="1A1A2E"/>
          <w:sz w:val="20"/>
          <w:szCs w:val="20"/>
        </w:rPr>
        <w:t xml:space="preserve">과제 8 — 보편적 인권 7단계 위계 연구: UN 세계인권선언·ICCPR 기반 보편적 인권을 0단계로 추가하는 7단계 위계 설계.</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8. 결론</w:t>
      </w:r>
    </w:p>
    <w:p>
      <w:pPr>
        <w:spacing w:before="60" w:after="60" w:line="340"/>
        <w:jc w:val="both"/>
      </w:pPr>
      <w:r>
        <w:rPr>
          <w:rFonts w:ascii="Noto Serif KR" w:cs="Noto Serif KR" w:eastAsia="Noto Serif KR" w:hAnsi="Noto Serif KR"/>
          <w:color w:val="1A1A2E"/>
          <w:sz w:val="20"/>
          <w:szCs w:val="20"/>
        </w:rPr>
        <w:t xml:space="preserve">본 연구는 이종 LLM 기반 자율 분쟁 해결 시스템 K-OpenLaw를 실제 민사소송 사건에 적용하여 그 법리 분석 능력을 실증하였다.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K-OpenLaw는 파산법·민사소송법·임대차법이 복합적으로 교차하는 고난도 사건에서, 변론주의 위반이라는 중대한 절차적 하자를 포함한 19개의 법리적·절차적 오류를 식별하였으며, 헌법적 가치와 상위 법령 원칙에 부합하는 판결(92점)을 45.8분, 36,200원의 비용으로 생성하였다. 이는 법원 판결 품질(1심 41점, 2심 35점)을 현저히 능가하는 결과이다.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이 실증 결과는 세 가지 중요한 함의를 갖는다. 첫째, AI 시스템이 복잡한 법률 사건에서 인간 법원 수준을 능가하는 법리 분석 능력을 보유할 수 있음을 보여준다. 이는 AI가 법조인의 보조 도구를 넘어 사법 시스템의 구조적 보완재로 기능할 수 있다는 가능성을 시사한다.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둘째, K-OpenLaw의 법리 능력 실증은 OpenHash-고팡 생태계의 분쟁 예방적 잠재력에 대한 강력한 간접 근거를 제공한다. 모든 소통이 위변조 불가능하게 보존되고 AI가 위법 징후를 경고하는 사회에서, 현재 법원이 처리하는 분쟁의 상당 부분이 사전에 예방될 수 있다는 이론적 비전이 기술적으로 실현 가능함을 보였다. 다만 이 비전의 실현 범위와 수준은 향후 대규모 전향적 연구를 통해 계량적으로 검증되어야 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셋째, 본 연구는 ODR·ADR 분야의 기존 논의에 새로운 기여를 한다. 분산원장 기반 증거 무결성 + 독립 주체 이종 LLM 대립 논증 + 예방 법학 AI 비서의 삼중 통합은, Zeleznikow(2021)가 제시한 ODR의 세 핵심 과제(증거 진정성, 알고리즘 편향, 법리 정확성)를 동시에 해결하는 구조적 접근을 제시한다.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나아가, 본 연구가 채택한 심급별 누적 법리 비교 구도—각 심급의 판결문을 준거 자료로 삼아 AI 분석 결과와 나란히 제시하고 제3의 법학 연구자 집단이 교차 평가하는 구조—는 AI 법률 시스템의 성능을 실제 법적 맥락 속에서 입체적으로 검증하는 새로운 방법론적 틀을 제안한다. 본 연구 사건의 원고가 기초생활수급자임에도 법률 대리인 없이 복잡한 파산법·민사소송법 쟁점을 다투어야 했다는 사실은, 이 시스템의 사법 접근성 기여 가능성을 가장 선명하게 보여주는 단면이다.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아울러 본 연구는, 예방 법학의 실질적 적용 가능성과 당사자 간 합의에 기반한 AI 사법 보조 시스템의 분쟁 해결 효용—처리 시간 45.8분, 비용 약 36,200원으로 기존 소송(평균 3년 이상, 수천만~수억 원) 대비 약 1/1,000 수준—을 단일 사례를 통해 초기적이고 정량적으로 입증하였다는 점에서 의의를 갖는다. 이러한 기술적 가능성이 향후 대규모 다사례 연구와 전향적 현장 연구를 통해 다양한 법체계와 사건 유형에서 반복 검증된다면, 사법 접근성과 분쟁 해결 방식에 있어 의미 있는 변화의 토대가 마련될 수 있을 것이다.</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우리는 이 연구를 법원이나 법조인에 대한 평가가 아니라, 사법 시스템과 AI 기술이 협력하여 모든 사람이 접근 가능한 정의를 실현하기 위한 기술적 인프라의 제안으로 제출한다. 본 연구는 AI가 사법 과정의 파트너로서 인간 법조인과 함께 기능하는 미래를 위한 하나의 작은 실증적 걸음이다.</w:t>
      </w:r>
    </w:p>
    <w:p>
      <w:pPr>
        <w:spacing w:before="60" w:after="60"/>
      </w:pPr>
      <w:r>
        <w:t xml:space="preserve"/>
      </w:r>
    </w:p>
    <w:p>
      <w:pPr>
        <w:spacing w:before="60" w:after="60"/>
      </w:pPr>
      <w:r>
        <w:t xml:space="preserve"/>
      </w:r>
    </w:p>
    <w:p>
      <w:pPr>
        <w:spacing w:before="200" w:after="80"/>
      </w:pPr>
      <w:r>
        <w:rPr>
          <w:rFonts w:ascii="Noto Serif KR" w:cs="Noto Serif KR" w:eastAsia="Noto Serif KR" w:hAnsi="Noto Serif KR"/>
          <w:b/>
          <w:bCs/>
          <w:color w:val="003087"/>
          <w:sz w:val="22"/>
          <w:szCs w:val="22"/>
        </w:rPr>
        <w:t xml:space="preserve">감사의 글</w:t>
      </w:r>
    </w:p>
    <w:p>
      <w:pPr>
        <w:spacing w:before="60" w:after="60" w:line="340"/>
        <w:jc w:val="both"/>
      </w:pPr>
      <w:r>
        <w:rPr>
          <w:rFonts w:ascii="Noto Serif KR" w:cs="Noto Serif KR" w:eastAsia="Noto Serif KR" w:hAnsi="Noto Serif KR"/>
          <w:color w:val="1A1A2E"/>
          <w:sz w:val="20"/>
          <w:szCs w:val="20"/>
        </w:rPr>
        <w:t xml:space="preserve">이 연구는 AI City Inc., 팀 주피터, 제주특별자치도 오픈 이노베이션 프로그램의 지원을 받았습니다. 분석을 위해 사건 자료를 공유해 주신 익명의 소송 당사자와 비공식 검토를 제공해 주신 법률 전문가들께 감사드립니다. 모든 오류는 저자들의 책임입니다.</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참고문헌</w:t>
      </w:r>
    </w:p>
    <w:p>
      <w:pPr>
        <w:pStyle w:val="Heading2"/>
        <w:spacing w:before="280" w:after="120" w:line="340"/>
      </w:pPr>
      <w:r>
        <w:rPr>
          <w:rFonts w:ascii="Noto Serif KR" w:cs="Noto Serif KR" w:eastAsia="Noto Serif KR" w:hAnsi="Noto Serif KR"/>
          <w:b/>
          <w:bCs/>
          <w:color w:val="003087"/>
          <w:sz w:val="26"/>
          <w:szCs w:val="26"/>
        </w:rPr>
        <w:t xml:space="preserve">한국 법령 및 판례</w:t>
      </w:r>
    </w:p>
    <w:p>
      <w:pPr>
        <w:pBdr>
          <w:left w:val="single" w:color="C9A000" w:sz="12" w:space="8"/>
        </w:pBdr>
        <w:shd w:fill="FFF8E1" w:val="clear"/>
        <w:spacing w:before="80" w:after="80" w:line="320"/>
        <w:ind w:left="400" w:right="400"/>
        <w:jc w:val="both"/>
      </w:pPr>
      <w:r>
        <w:rPr>
          <w:rFonts w:ascii="Noto Serif KR" w:cs="Noto Serif KR" w:eastAsia="Noto Serif KR" w:hAnsi="Noto Serif KR"/>
          <w:color w:val="6B4C00"/>
          <w:sz w:val="18"/>
          <w:szCs w:val="18"/>
        </w:rPr>
        <w:t xml:space="preserve">※ 국제 저널 투고 시 한국어 원문과 영문 번역을 병기함. 최종 투고 전 대상 저널의 인용 가이드라인을 반드시 확인할 것.</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[1] 헌법 [Constitution of the Republic of Korea] (1987. 10. 29. 전부개정). 제10조(인간의 존엄) [Art. 10, Human dignity], 제27조(재판받을 권리) [Art. 27, Right to trial], 제34조(생존권) [Art. 34, Right to decent standard of living], 제35조(주거권) [Art. 35, Right to healthy environment].</w:t>
      </w:r>
    </w:p>
    <w:p>
      <w:pPr>
        <w:spacing w:before="60" w:after="60" w:line="340"/>
        <w:jc w:val="both"/>
      </w:pPr>
      <w:r>
        <w:rPr>
          <w:rFonts w:ascii="Noto Serif KR" w:cs="Noto Serif KR" w:eastAsia="Noto Serif KR" w:hAnsi="Noto Serif KR"/>
          <w:color w:val="1A1A2E"/>
          <w:sz w:val="20"/>
          <w:szCs w:val="20"/>
        </w:rPr>
        <w:t xml:space="preserve">[2] 민사소송법 [Civil Procedure Act]. 제136조(석명의무) [Art. 136, Duty of clarification], 제203조(변론주의) [Art. 203, Principle of party presentation], 제259조(증인신청) [Art. 259, Application for witness], 제424조 제1항 제6호(이유 불비) [Art. 424(1)(vi), Insufficient reasoning], 제451조 제1항 제9호 [Art. 451(1)(ix)].</w:t>
      </w:r>
    </w:p>
    <w:p>
      <w:pPr>
        <w:spacing w:before="60" w:after="60" w:line="340"/>
        <w:jc w:val="both"/>
      </w:pPr>
      <w:r>
        <w:rPr>
          <w:rFonts w:ascii="Noto Serif KR" w:cs="Noto Serif KR" w:eastAsia="Noto Serif KR" w:hAnsi="Noto Serif KR"/>
          <w:color w:val="1A1A2E"/>
          <w:sz w:val="20"/>
          <w:szCs w:val="20"/>
        </w:rPr>
        <w:t xml:space="preserve">[3] 채무자 회생 및 파산에 관한 법률 [Debtor Rehabilitation and Bankruptcy Act (DRBA)]. 제383조(면제재산) [Art. 383, Exempt property], 제416·417조(상계권) [Arts. 416-417, Right of set-off], 제423조, 제424조, 제473조 제8호 [Art. 473(viii), Estate claim], 제475조, 제566조(면책의 소급효) [Art. 566, Retroactive effect of discharge].</w:t>
      </w:r>
    </w:p>
    <w:p>
      <w:pPr>
        <w:spacing w:before="60" w:after="60" w:line="340"/>
        <w:jc w:val="both"/>
      </w:pPr>
      <w:r>
        <w:rPr>
          <w:rFonts w:ascii="Noto Serif KR" w:cs="Noto Serif KR" w:eastAsia="Noto Serif KR" w:hAnsi="Noto Serif KR"/>
          <w:color w:val="1A1A2E"/>
          <w:sz w:val="20"/>
          <w:szCs w:val="20"/>
        </w:rPr>
        <w:t xml:space="preserve">[4] 민법 [Civil Act]. 제110조(강박) [Art. 110, Coercion], 제481조(변제자대위), 제492조(상계 요건), 제637조(임차인 파산) [Art. 637, Bankruptcy of lessee], 제750조(불법행위) [Art. 750, Tort].</w:t>
      </w:r>
    </w:p>
    <w:p>
      <w:pPr>
        <w:spacing w:before="60" w:after="60" w:line="340"/>
        <w:jc w:val="both"/>
      </w:pPr>
      <w:r>
        <w:rPr>
          <w:rFonts w:ascii="Noto Serif KR" w:cs="Noto Serif KR" w:eastAsia="Noto Serif KR" w:hAnsi="Noto Serif KR"/>
          <w:color w:val="1A1A2E"/>
          <w:sz w:val="20"/>
          <w:szCs w:val="20"/>
        </w:rPr>
        <w:t xml:space="preserve">[5] 한국토지주택공사법 [Korea Land and Housing Corporation Act]. 제1조(설립 목적) [Art. 1, Purpose of establishment].</w:t>
      </w:r>
    </w:p>
    <w:p>
      <w:pPr>
        <w:spacing w:before="60" w:after="60" w:line="340"/>
        <w:jc w:val="both"/>
      </w:pPr>
      <w:r>
        <w:rPr>
          <w:rFonts w:ascii="Noto Serif KR" w:cs="Noto Serif KR" w:eastAsia="Noto Serif KR" w:hAnsi="Noto Serif KR"/>
          <w:color w:val="1A1A2E"/>
          <w:sz w:val="20"/>
          <w:szCs w:val="20"/>
        </w:rPr>
        <w:t xml:space="preserve">[6] 대법원 1966. 10. 11. 선고 66다409 판결 (변론주의). [Supreme Court, Oct. 11, 1966, Case No. 66da409]</w:t>
      </w:r>
    </w:p>
    <w:p>
      <w:pPr>
        <w:spacing w:before="60" w:after="60" w:line="340"/>
        <w:jc w:val="both"/>
      </w:pPr>
      <w:r>
        <w:rPr>
          <w:rFonts w:ascii="Noto Serif KR" w:cs="Noto Serif KR" w:eastAsia="Noto Serif KR" w:hAnsi="Noto Serif KR"/>
          <w:color w:val="1A1A2E"/>
          <w:sz w:val="20"/>
          <w:szCs w:val="20"/>
        </w:rPr>
        <w:t xml:space="preserve">[7] 대법원 2012. 5. 24. 선고 2012다13949 판결 (면책 소급효). [Supreme Court, May 24, 2012, Case No. 2012da13949]</w:t>
      </w:r>
    </w:p>
    <w:p>
      <w:pPr>
        <w:spacing w:before="60" w:after="60" w:line="340"/>
        <w:jc w:val="both"/>
      </w:pPr>
      <w:r>
        <w:rPr>
          <w:rFonts w:ascii="Noto Serif KR" w:cs="Noto Serif KR" w:eastAsia="Noto Serif KR" w:hAnsi="Noto Serif KR"/>
          <w:color w:val="1A1A2E"/>
          <w:sz w:val="20"/>
          <w:szCs w:val="20"/>
        </w:rPr>
        <w:t xml:space="preserve">[8] 대법원 2015다252501 판결. [Supreme Court, Case No. 2015da252501]</w:t>
      </w:r>
    </w:p>
    <w:p>
      <w:pPr>
        <w:spacing w:before="60" w:after="60" w:line="340"/>
        <w:jc w:val="both"/>
      </w:pPr>
      <w:r>
        <w:rPr>
          <w:rFonts w:ascii="Noto Serif KR" w:cs="Noto Serif KR" w:eastAsia="Noto Serif KR" w:hAnsi="Noto Serif KR"/>
          <w:color w:val="1A1A2E"/>
          <w:sz w:val="20"/>
          <w:szCs w:val="20"/>
        </w:rPr>
        <w:t xml:space="preserve">[9] 대법원 2012da113667 판결. [Supreme Court, Case No. 2012da113667]</w:t>
      </w:r>
    </w:p>
    <w:p>
      <w:pPr>
        <w:pStyle w:val="Heading2"/>
        <w:spacing w:before="280" w:after="120" w:line="340"/>
      </w:pPr>
      <w:r>
        <w:rPr>
          <w:rFonts w:ascii="Noto Serif KR" w:cs="Noto Serif KR" w:eastAsia="Noto Serif KR" w:hAnsi="Noto Serif KR"/>
          <w:b/>
          <w:bCs/>
          <w:color w:val="003087"/>
          <w:sz w:val="26"/>
          <w:szCs w:val="26"/>
        </w:rPr>
        <w:t xml:space="preserve">특허 문헌</w:t>
      </w:r>
    </w:p>
    <w:p>
      <w:pPr>
        <w:spacing w:before="60" w:after="60" w:line="340"/>
        <w:jc w:val="both"/>
      </w:pPr>
      <w:r>
        <w:rPr>
          <w:rFonts w:ascii="Noto Serif KR" w:cs="Noto Serif KR" w:eastAsia="Noto Serif KR" w:hAnsi="Noto Serif KR"/>
          <w:color w:val="1A1A2E"/>
          <w:sz w:val="20"/>
          <w:szCs w:val="20"/>
        </w:rPr>
        <w:t xml:space="preserve">[10] 대한민국 특허출원 제10-2026-0039504호 (출원일: 2026.03.05., 출원인: 김혜영). 이종 대형언어모델 기반 대립 논증·판정 자동화 시스템 및 그 운용 방법.</w:t>
      </w:r>
    </w:p>
    <w:p>
      <w:pPr>
        <w:spacing w:before="60" w:after="60" w:line="340"/>
        <w:jc w:val="both"/>
      </w:pPr>
      <w:r>
        <w:rPr>
          <w:rFonts w:ascii="Noto Serif KR" w:cs="Noto Serif KR" w:eastAsia="Noto Serif KR" w:hAnsi="Noto Serif KR"/>
          <w:color w:val="1A1A2E"/>
          <w:sz w:val="20"/>
          <w:szCs w:val="20"/>
        </w:rPr>
        <w:t xml:space="preserve">[11] 대한민국 특허출원 제10-2026-0046262호 (출원일: 2026.03.15., 출원인: 김혜영). AI 비서 기반 분쟁과 소송 예방 및 분산형 자율 분쟁 해결 시스템.</w:t>
      </w:r>
    </w:p>
    <w:p>
      <w:pPr>
        <w:spacing w:before="60" w:after="60" w:line="340"/>
        <w:jc w:val="both"/>
      </w:pPr>
      <w:r>
        <w:rPr>
          <w:rFonts w:ascii="Noto Serif KR" w:cs="Noto Serif KR" w:eastAsia="Noto Serif KR" w:hAnsi="Noto Serif KR"/>
          <w:color w:val="1A1A2E"/>
          <w:sz w:val="20"/>
          <w:szCs w:val="20"/>
        </w:rPr>
        <w:t xml:space="preserve">[12] 대한민국 특허출원 제10-2025-0183149호 (출원일: 2025.11.27., 출원인: 도영민). OpenHash 초출원. 확률적 계층 분산 기반 데이터 무결성 검증 시스템 및 그 운영 방법.</w:t>
      </w:r>
    </w:p>
    <w:p>
      <w:pPr>
        <w:spacing w:before="60" w:after="60" w:line="340"/>
        <w:jc w:val="both"/>
      </w:pPr>
      <w:r>
        <w:rPr>
          <w:rFonts w:ascii="Noto Serif KR" w:cs="Noto Serif KR" w:eastAsia="Noto Serif KR" w:hAnsi="Noto Serif KR"/>
          <w:color w:val="1A1A2E"/>
          <w:sz w:val="20"/>
          <w:szCs w:val="20"/>
        </w:rPr>
        <w:t xml:space="preserve">[12-1] 대한민국 특허출원 제10-2026-0018910호 (출원일: 2026.01.30., 출원인: 도영민). OpenHash 재출원. 확률적 계층 분산 기반 데이터 무결성 검증 시스템 및 그 운영 방법.</w:t>
      </w:r>
    </w:p>
    <w:p>
      <w:pPr>
        <w:spacing w:before="60" w:after="60" w:line="340"/>
        <w:jc w:val="both"/>
      </w:pPr>
      <w:r>
        <w:rPr>
          <w:rFonts w:ascii="Noto Serif KR" w:cs="Noto Serif KR" w:eastAsia="Noto Serif KR" w:hAnsi="Noto Serif KR"/>
          <w:color w:val="1A1A2E"/>
          <w:sz w:val="20"/>
          <w:szCs w:val="20"/>
        </w:rPr>
        <w:t xml:space="preserve">[13] 대한민국 특허출원 제10-2026-0019895호 (출원일: 2026.01.30., 출원인: 도영민). AI 간 자율 협업 기반 개인 데이터 볼트 관리 및 삼중 서명 재무제표 시스템.</w:t>
      </w:r>
    </w:p>
    <w:p>
      <w:pPr>
        <w:spacing w:before="60" w:after="60" w:line="340"/>
        <w:jc w:val="both"/>
      </w:pPr>
      <w:r>
        <w:rPr>
          <w:rFonts w:ascii="Noto Serif KR" w:cs="Noto Serif KR" w:eastAsia="Noto Serif KR" w:hAnsi="Noto Serif KR"/>
          <w:color w:val="1A1A2E"/>
          <w:sz w:val="20"/>
          <w:szCs w:val="20"/>
        </w:rPr>
        <w:t xml:space="preserve">[14] 대한민국 특허출원 제10-2026-0021540호 (출원일: 2026.02.03., 출원인: 도영민). 다중 대규모 언어 모델 간 자율 협업 기반 의사결정 지원 시스템 및 그 운영 방법.</w:t>
      </w:r>
    </w:p>
    <w:p>
      <w:pPr>
        <w:pStyle w:val="Heading2"/>
        <w:spacing w:before="280" w:after="120" w:line="340"/>
      </w:pPr>
      <w:r>
        <w:rPr>
          <w:rFonts w:ascii="Noto Serif KR" w:cs="Noto Serif KR" w:eastAsia="Noto Serif KR" w:hAnsi="Noto Serif KR"/>
          <w:b/>
          <w:bCs/>
          <w:color w:val="003087"/>
          <w:sz w:val="26"/>
          <w:szCs w:val="26"/>
        </w:rPr>
        <w:t xml:space="preserve">국내외 문헌 — AI·법률</w:t>
      </w:r>
    </w:p>
    <w:p>
      <w:pPr>
        <w:spacing w:before="60" w:after="60" w:line="340"/>
        <w:jc w:val="both"/>
      </w:pPr>
      <w:r>
        <w:rPr>
          <w:rFonts w:ascii="Noto Serif KR" w:cs="Noto Serif KR" w:eastAsia="Noto Serif KR" w:hAnsi="Noto Serif KR"/>
          <w:color w:val="1A1A2E"/>
          <w:sz w:val="20"/>
          <w:szCs w:val="20"/>
        </w:rPr>
        <w:t xml:space="preserve">[15] He, Z., et al. (2024). AgentsCourt: Building judicial decision-making agents with court debate simulation and legal knowledge augmentation. Findings of EMNLP 2024, pp. 9399-9416.</w:t>
      </w:r>
    </w:p>
    <w:p>
      <w:pPr>
        <w:spacing w:before="60" w:after="60" w:line="340"/>
        <w:jc w:val="both"/>
      </w:pPr>
      <w:r>
        <w:rPr>
          <w:rFonts w:ascii="Noto Serif KR" w:cs="Noto Serif KR" w:eastAsia="Noto Serif KR" w:hAnsi="Noto Serif KR"/>
          <w:color w:val="1A1A2E"/>
          <w:sz w:val="20"/>
          <w:szCs w:val="20"/>
        </w:rPr>
        <w:t xml:space="preserve">[16] Jiang, C., &amp; Yang, X. (2024). Agents on the Bench: Large Language Model Based Multi Agent Framework for Trustworthy Digital Justice. arXiv:2412.18697.</w:t>
      </w:r>
    </w:p>
    <w:p>
      <w:pPr>
        <w:spacing w:before="60" w:after="60" w:line="340"/>
        <w:jc w:val="both"/>
      </w:pPr>
      <w:r>
        <w:rPr>
          <w:rFonts w:ascii="Noto Serif KR" w:cs="Noto Serif KR" w:eastAsia="Noto Serif KR" w:hAnsi="Noto Serif KR"/>
          <w:color w:val="1A1A2E"/>
          <w:sz w:val="20"/>
          <w:szCs w:val="20"/>
        </w:rPr>
        <w:t xml:space="preserve">[17] Chen, G., et al. (2025). AgentCourt: Simulating Court with Adversarial Evolvable Lawyer Agents. Findings of ACL 2025, pp. 5850-5865.</w:t>
      </w:r>
    </w:p>
    <w:p>
      <w:pPr>
        <w:spacing w:before="60" w:after="60" w:line="340"/>
        <w:jc w:val="both"/>
      </w:pPr>
      <w:r>
        <w:rPr>
          <w:rFonts w:ascii="Noto Serif KR" w:cs="Noto Serif KR" w:eastAsia="Noto Serif KR" w:hAnsi="Noto Serif KR"/>
          <w:color w:val="1A1A2E"/>
          <w:sz w:val="20"/>
          <w:szCs w:val="20"/>
        </w:rPr>
        <w:t xml:space="preserve">[18] Sun, Z., et al. (2025). From single-agent to multi-agent: a comprehensive review of LLM-based legal agents. AI Agent, OAE Publishing.</w:t>
      </w:r>
    </w:p>
    <w:p>
      <w:pPr>
        <w:spacing w:before="60" w:after="60" w:line="340"/>
        <w:jc w:val="both"/>
      </w:pPr>
      <w:r>
        <w:rPr>
          <w:rFonts w:ascii="Noto Serif KR" w:cs="Noto Serif KR" w:eastAsia="Noto Serif KR" w:hAnsi="Noto Serif KR"/>
          <w:color w:val="1A1A2E"/>
          <w:sz w:val="20"/>
          <w:szCs w:val="20"/>
        </w:rPr>
        <w:t xml:space="preserve">[19] Cui, J., et al. (2023). ChatLaw: Open-Source Legal Large Language Model with Integrated External Knowledge Bases. CoRR, abs/2306.16092.</w:t>
      </w:r>
    </w:p>
    <w:p>
      <w:pPr>
        <w:spacing w:before="60" w:after="60" w:line="340"/>
        <w:jc w:val="both"/>
      </w:pPr>
      <w:r>
        <w:rPr>
          <w:rFonts w:ascii="Noto Serif KR" w:cs="Noto Serif KR" w:eastAsia="Noto Serif KR" w:hAnsi="Noto Serif KR"/>
          <w:color w:val="1A1A2E"/>
          <w:sz w:val="20"/>
          <w:szCs w:val="20"/>
        </w:rPr>
        <w:t xml:space="preserve">[20] McKinsey/QuantumBlack &amp; AAA-ICDR (2025). AI-native approach in dispute resolution.</w:t>
      </w:r>
    </w:p>
    <w:p>
      <w:pPr>
        <w:pStyle w:val="Heading2"/>
        <w:spacing w:before="280" w:after="120" w:line="340"/>
      </w:pPr>
      <w:r>
        <w:rPr>
          <w:rFonts w:ascii="Noto Serif KR" w:cs="Noto Serif KR" w:eastAsia="Noto Serif KR" w:hAnsi="Noto Serif KR"/>
          <w:b/>
          <w:bCs/>
          <w:color w:val="003087"/>
          <w:sz w:val="26"/>
          <w:szCs w:val="26"/>
        </w:rPr>
        <w:t xml:space="preserve">국내외 문헌 — ODR·ADR·예방 법학</w:t>
      </w:r>
    </w:p>
    <w:p>
      <w:pPr>
        <w:spacing w:before="60" w:after="60" w:line="340"/>
        <w:jc w:val="both"/>
      </w:pPr>
      <w:r>
        <w:rPr>
          <w:rFonts w:ascii="Noto Serif KR" w:cs="Noto Serif KR" w:eastAsia="Noto Serif KR" w:hAnsi="Noto Serif KR"/>
          <w:color w:val="1A1A2E"/>
          <w:sz w:val="20"/>
          <w:szCs w:val="20"/>
        </w:rPr>
        <w:t xml:space="preserve">[21] Katsh, E., &amp; Rifkin, J. (2001). Online Dispute Resolution: Resolving Conflicts in Cyberspace. Jossey-Bass.</w:t>
      </w:r>
    </w:p>
    <w:p>
      <w:pPr>
        <w:spacing w:before="60" w:after="60" w:line="340"/>
        <w:jc w:val="both"/>
      </w:pPr>
      <w:r>
        <w:rPr>
          <w:rFonts w:ascii="Noto Serif KR" w:cs="Noto Serif KR" w:eastAsia="Noto Serif KR" w:hAnsi="Noto Serif KR"/>
          <w:color w:val="1A1A2E"/>
          <w:sz w:val="20"/>
          <w:szCs w:val="20"/>
        </w:rPr>
        <w:t xml:space="preserve">[22] Rule, C. (2002). Online Dispute Resolution for Business. Jossey-Bass.</w:t>
      </w:r>
    </w:p>
    <w:p>
      <w:pPr>
        <w:spacing w:before="60" w:after="60" w:line="340"/>
        <w:jc w:val="both"/>
      </w:pPr>
      <w:r>
        <w:rPr>
          <w:rFonts w:ascii="Noto Serif KR" w:cs="Noto Serif KR" w:eastAsia="Noto Serif KR" w:hAnsi="Noto Serif KR"/>
          <w:color w:val="1A1A2E"/>
          <w:sz w:val="20"/>
          <w:szCs w:val="20"/>
        </w:rPr>
        <w:t xml:space="preserve">[23] Hörnle, J. (2009). Cross-border Internet Dispute Resolution. Cambridge University Press.</w:t>
      </w:r>
    </w:p>
    <w:p>
      <w:pPr>
        <w:spacing w:before="60" w:after="60" w:line="340"/>
        <w:jc w:val="both"/>
      </w:pPr>
      <w:r>
        <w:rPr>
          <w:rFonts w:ascii="Noto Serif KR" w:cs="Noto Serif KR" w:eastAsia="Noto Serif KR" w:hAnsi="Noto Serif KR"/>
          <w:color w:val="1A1A2E"/>
          <w:sz w:val="20"/>
          <w:szCs w:val="20"/>
        </w:rPr>
        <w:t xml:space="preserve">[24] Zeleznikow, J. (2021). Can Artificial Intelligence and Online Dispute Resolution Enhance Efficiency and Effectiveness in Courts? International Journal of Law and Information Technology, 29(1), 1-19.</w:t>
      </w:r>
    </w:p>
    <w:p>
      <w:pPr>
        <w:spacing w:before="60" w:after="60" w:line="340"/>
        <w:jc w:val="both"/>
      </w:pPr>
      <w:r>
        <w:rPr>
          <w:rFonts w:ascii="Noto Serif KR" w:cs="Noto Serif KR" w:eastAsia="Noto Serif KR" w:hAnsi="Noto Serif KR"/>
          <w:color w:val="1A1A2E"/>
          <w:sz w:val="20"/>
          <w:szCs w:val="20"/>
        </w:rPr>
        <w:t xml:space="preserve">[25] Sourdin, T. (2018). Judge v. Robot? Artificial Intelligence and Judicial Decision-Making. UNSW Law Journal, 41(4), 1114-1133.</w:t>
      </w:r>
    </w:p>
    <w:p>
      <w:pPr>
        <w:spacing w:before="60" w:after="60" w:line="340"/>
        <w:jc w:val="both"/>
      </w:pPr>
      <w:r>
        <w:rPr>
          <w:rFonts w:ascii="Noto Serif KR" w:cs="Noto Serif KR" w:eastAsia="Noto Serif KR" w:hAnsi="Noto Serif KR"/>
          <w:color w:val="1A1A2E"/>
          <w:sz w:val="20"/>
          <w:szCs w:val="20"/>
        </w:rPr>
        <w:t xml:space="preserve">[26] Brown, L.M. (1950). Manual of Preventive Law. Prentice-Hall.</w:t>
      </w:r>
    </w:p>
    <w:p>
      <w:pPr>
        <w:spacing w:before="60" w:after="60" w:line="340"/>
        <w:jc w:val="both"/>
      </w:pPr>
      <w:r>
        <w:rPr>
          <w:rFonts w:ascii="Noto Serif KR" w:cs="Noto Serif KR" w:eastAsia="Noto Serif KR" w:hAnsi="Noto Serif KR"/>
          <w:color w:val="1A1A2E"/>
          <w:sz w:val="20"/>
          <w:szCs w:val="20"/>
        </w:rPr>
        <w:t xml:space="preserve">[27] Dauer, E.A. (1994). Manual of Dispute Resolution. Shepard's/McGraw-Hill.</w:t>
      </w:r>
    </w:p>
    <w:p>
      <w:pPr>
        <w:spacing w:before="60" w:after="60" w:line="340"/>
        <w:jc w:val="both"/>
      </w:pPr>
      <w:r>
        <w:rPr>
          <w:rFonts w:ascii="Noto Serif KR" w:cs="Noto Serif KR" w:eastAsia="Noto Serif KR" w:hAnsi="Noto Serif KR"/>
          <w:color w:val="1A1A2E"/>
          <w:sz w:val="20"/>
          <w:szCs w:val="20"/>
        </w:rPr>
        <w:t xml:space="preserve">[28] Barton, B., &amp; Bibas, S. (2017). Rebooting Justice. Encounter Books.</w:t>
      </w:r>
    </w:p>
    <w:p>
      <w:pPr>
        <w:spacing w:before="60" w:after="60" w:line="340"/>
        <w:jc w:val="both"/>
      </w:pPr>
      <w:r>
        <w:rPr>
          <w:rFonts w:ascii="Noto Serif KR" w:cs="Noto Serif KR" w:eastAsia="Noto Serif KR" w:hAnsi="Noto Serif KR"/>
          <w:color w:val="1A1A2E"/>
          <w:sz w:val="20"/>
          <w:szCs w:val="20"/>
        </w:rPr>
        <w:t xml:space="preserve">[29] Born, G. (2014). International Commercial Arbitration (2nd ed.). Kluwer Law International.</w:t>
      </w:r>
    </w:p>
    <w:p>
      <w:pPr>
        <w:spacing w:before="60" w:after="60" w:line="340"/>
        <w:jc w:val="both"/>
      </w:pPr>
      <w:r>
        <w:rPr>
          <w:rFonts w:ascii="Noto Serif KR" w:cs="Noto Serif KR" w:eastAsia="Noto Serif KR" w:hAnsi="Noto Serif KR"/>
          <w:color w:val="1A1A2E"/>
          <w:sz w:val="20"/>
          <w:szCs w:val="20"/>
        </w:rPr>
        <w:t xml:space="preserve">[30] European Parliament and Council (2013). Directive 2013/11/EU on Alternative Dispute Resolution for Consumer Disputes. Official Journal of the European Union.</w:t>
      </w:r>
    </w:p>
    <w:p>
      <w:pPr>
        <w:pStyle w:val="Heading2"/>
        <w:spacing w:before="280" w:after="120" w:line="340"/>
      </w:pPr>
      <w:r>
        <w:rPr>
          <w:rFonts w:ascii="Noto Serif KR" w:cs="Noto Serif KR" w:eastAsia="Noto Serif KR" w:hAnsi="Noto Serif KR"/>
          <w:b/>
          <w:bCs/>
          <w:color w:val="003087"/>
          <w:sz w:val="26"/>
          <w:szCs w:val="26"/>
        </w:rPr>
        <w:t xml:space="preserve">방법론·억지 이론</w:t>
      </w:r>
    </w:p>
    <w:p>
      <w:pPr>
        <w:spacing w:before="60" w:after="60" w:line="340"/>
        <w:jc w:val="both"/>
      </w:pPr>
      <w:r>
        <w:rPr>
          <w:rFonts w:ascii="Noto Serif KR" w:cs="Noto Serif KR" w:eastAsia="Noto Serif KR" w:hAnsi="Noto Serif KR"/>
          <w:color w:val="1A1A2E"/>
          <w:sz w:val="20"/>
          <w:szCs w:val="20"/>
        </w:rPr>
        <w:t xml:space="preserve">[31] Beccaria, C. (1764). On Crimes and Punishments.</w:t>
      </w:r>
    </w:p>
    <w:p>
      <w:pPr>
        <w:spacing w:before="60" w:after="60" w:line="340"/>
        <w:jc w:val="both"/>
      </w:pPr>
      <w:r>
        <w:rPr>
          <w:rFonts w:ascii="Noto Serif KR" w:cs="Noto Serif KR" w:eastAsia="Noto Serif KR" w:hAnsi="Noto Serif KR"/>
          <w:color w:val="1A1A2E"/>
          <w:sz w:val="20"/>
          <w:szCs w:val="20"/>
        </w:rPr>
        <w:t xml:space="preserve">[32] Gibbs, J.P. (1975). Crime, Punishment, and Deterrence. Elsevier.</w:t>
      </w:r>
    </w:p>
    <w:p>
      <w:pPr>
        <w:spacing w:before="60" w:after="60" w:line="340"/>
        <w:jc w:val="both"/>
      </w:pPr>
      <w:r>
        <w:rPr>
          <w:rFonts w:ascii="Noto Serif KR" w:cs="Noto Serif KR" w:eastAsia="Noto Serif KR" w:hAnsi="Noto Serif KR"/>
          <w:color w:val="1A1A2E"/>
          <w:sz w:val="20"/>
          <w:szCs w:val="20"/>
        </w:rPr>
        <w:t xml:space="preserve">[33] Yin, R.K. (2018). Case Study Research and Applications (6th ed.). SAGE.</w:t>
      </w:r>
    </w:p>
    <w:p>
      <w:pPr>
        <w:spacing w:before="60" w:after="60" w:line="340"/>
        <w:jc w:val="both"/>
      </w:pPr>
      <w:r>
        <w:rPr>
          <w:rFonts w:ascii="Noto Serif KR" w:cs="Noto Serif KR" w:eastAsia="Noto Serif KR" w:hAnsi="Noto Serif KR"/>
          <w:color w:val="1A1A2E"/>
          <w:sz w:val="20"/>
          <w:szCs w:val="20"/>
        </w:rPr>
        <w:t xml:space="preserve">[34] World Justice Project (2024). WJP Rule of Law Index 2024.</w:t>
      </w:r>
    </w:p>
    <w:p>
      <w:pPr>
        <w:spacing w:before="60" w:after="60" w:line="340"/>
        <w:jc w:val="both"/>
      </w:pPr>
      <w:r>
        <w:rPr>
          <w:rFonts w:ascii="Noto Serif KR" w:cs="Noto Serif KR" w:eastAsia="Noto Serif KR" w:hAnsi="Noto Serif KR"/>
          <w:color w:val="1A1A2E"/>
          <w:sz w:val="20"/>
          <w:szCs w:val="20"/>
        </w:rPr>
        <w:t xml:space="preserve">[35] 법원행정처 (2024). 사법통계. 서울: 법원행정처.</w:t>
      </w:r>
    </w:p>
    <w:p>
      <w:pPr>
        <w:spacing w:before="60" w:after="60" w:line="340"/>
        <w:jc w:val="both"/>
      </w:pPr>
      <w:r>
        <w:rPr>
          <w:rFonts w:ascii="Noto Serif KR" w:cs="Noto Serif KR" w:eastAsia="Noto Serif KR" w:hAnsi="Noto Serif KR"/>
          <w:color w:val="1A1A2E"/>
          <w:sz w:val="20"/>
          <w:szCs w:val="20"/>
        </w:rPr>
        <w:t xml:space="preserve">[36] Castro, M. &amp; Liskov, B. (1999). Practical Byzantine Fault Tolerance. Proceedings of OSDI, pp. 173-186.</w:t>
      </w:r>
    </w:p>
    <w:p>
      <w:pPr>
        <w:spacing w:before="60" w:after="60" w:line="340"/>
        <w:jc w:val="both"/>
      </w:pPr>
      <w:r>
        <w:rPr>
          <w:rFonts w:ascii="Noto Serif KR" w:cs="Noto Serif KR" w:eastAsia="Noto Serif KR" w:hAnsi="Noto Serif KR"/>
          <w:color w:val="1A1A2E"/>
          <w:sz w:val="20"/>
          <w:szCs w:val="20"/>
        </w:rPr>
        <w:t xml:space="preserve">[37] Merkle, R.C. (1979). A Certified Digital Signature. Advances in Cryptology — CRYPTO'89, pp. 218-238.</w:t>
      </w:r>
    </w:p>
    <w:p>
      <w:pPr>
        <w:pageBreakBefore/>
      </w:pPr>
      <w:r>
        <w:t xml:space="preserve"/>
      </w:r>
    </w:p>
    <w:p>
      <w:pPr>
        <w:pStyle w:val="Heading1"/>
        <w:pBdr>
          <w:bottom w:val="single" w:color="003087" w:sz="8" w:space="4"/>
        </w:pBdr>
        <w:spacing w:before="400" w:after="160" w:line="360"/>
      </w:pPr>
      <w:r>
        <w:rPr>
          <w:rFonts w:ascii="Noto Serif KR" w:cs="Noto Serif KR" w:eastAsia="Noto Serif KR" w:hAnsi="Noto Serif KR"/>
          <w:b/>
          <w:bCs/>
          <w:color w:val="001f5b"/>
          <w:sz w:val="32"/>
          <w:szCs w:val="32"/>
        </w:rPr>
        <w:t xml:space="preserve">부록 목록</w:t>
      </w:r>
    </w:p>
    <w:p>
      <w:pPr>
        <w:spacing w:before="60" w:after="60" w:line="340"/>
        <w:jc w:val="both"/>
      </w:pPr>
      <w:r>
        <w:rPr>
          <w:rFonts w:ascii="Noto Serif KR" w:cs="Noto Serif KR" w:eastAsia="Noto Serif KR" w:hAnsi="Noto Serif KR"/>
          <w:color w:val="1A1A2E"/>
          <w:sz w:val="20"/>
          <w:szCs w:val="20"/>
        </w:rPr>
        <w:t xml:space="preserve">부록 A: K-OpenLaw 시스템 특허 명세서 (출원번호 제10-2026-0039504호, 출원인: 김혜영, 2026.03.05.)</w:t>
      </w:r>
    </w:p>
    <w:p>
      <w:pPr>
        <w:spacing w:before="60" w:after="60" w:line="340"/>
        <w:jc w:val="both"/>
      </w:pPr>
      <w:r>
        <w:rPr>
          <w:rFonts w:ascii="Noto Serif KR" w:cs="Noto Serif KR" w:eastAsia="Noto Serif KR" w:hAnsi="Noto Serif KR"/>
          <w:color w:val="1A1A2E"/>
          <w:sz w:val="20"/>
          <w:szCs w:val="20"/>
        </w:rPr>
        <w:t xml:space="preserve">부록 B: AI 비서 기반 분쟁 예방 시스템 특허 명세서 (출원번호 제10-2026-0046262호, 출원인: 김혜영, 2026.03.15.)</w:t>
      </w:r>
    </w:p>
    <w:p>
      <w:pPr>
        <w:spacing w:before="60" w:after="60" w:line="340"/>
        <w:jc w:val="both"/>
      </w:pPr>
      <w:r>
        <w:rPr>
          <w:rFonts w:ascii="Noto Serif KR" w:cs="Noto Serif KR" w:eastAsia="Noto Serif KR" w:hAnsi="Noto Serif KR"/>
          <w:color w:val="1A1A2E"/>
          <w:sz w:val="20"/>
          <w:szCs w:val="20"/>
        </w:rPr>
        <w:t xml:space="preserve">부록 C: OpenHash 특허 명세서 (출원번호 제10-2025-0183149호 / 제10-2026-0018910호, 출원인: 도영민)</w:t>
      </w:r>
    </w:p>
    <w:p>
      <w:pPr>
        <w:spacing w:before="60" w:after="60" w:line="340"/>
        <w:jc w:val="both"/>
      </w:pPr>
      <w:r>
        <w:rPr>
          <w:rFonts w:ascii="Noto Serif KR" w:cs="Noto Serif KR" w:eastAsia="Noto Serif KR" w:hAnsi="Noto Serif KR"/>
          <w:color w:val="1A1A2E"/>
          <w:sz w:val="20"/>
          <w:szCs w:val="20"/>
        </w:rPr>
        <w:t xml:space="preserve">부록 D: PDV·삼중 서명 재무제표 특허 명세서 (출원번호 제10-2026-0019895호, 출원인: 도영민, 2026.01.30.)</w:t>
      </w:r>
    </w:p>
    <w:p>
      <w:pPr>
        <w:spacing w:before="60" w:after="60" w:line="340"/>
        <w:jc w:val="both"/>
      </w:pPr>
      <w:r>
        <w:rPr>
          <w:rFonts w:ascii="Noto Serif KR" w:cs="Noto Serif KR" w:eastAsia="Noto Serif KR" w:hAnsi="Noto Serif KR"/>
          <w:color w:val="1A1A2E"/>
          <w:sz w:val="20"/>
          <w:szCs w:val="20"/>
        </w:rPr>
        <w:t xml:space="preserve">부록 E: 고팡(Gopang) 시스템 설계 문서</w:t>
      </w:r>
    </w:p>
    <w:p>
      <w:pPr>
        <w:spacing w:before="60" w:after="60" w:line="340"/>
        <w:jc w:val="both"/>
      </w:pPr>
      <w:r>
        <w:rPr>
          <w:rFonts w:ascii="Noto Serif KR" w:cs="Noto Serif KR" w:eastAsia="Noto Serif KR" w:hAnsi="Noto Serif KR"/>
          <w:color w:val="1A1A2E"/>
          <w:sz w:val="20"/>
          <w:szCs w:val="20"/>
        </w:rPr>
        <w:t xml:space="preserve">부록 F: 전체 사건 기록 (익명화본)</w:t>
      </w:r>
    </w:p>
    <w:p>
      <w:pPr>
        <w:spacing w:before="60" w:after="60" w:line="340"/>
        <w:jc w:val="both"/>
      </w:pPr>
      <w:r>
        <w:rPr>
          <w:rFonts w:ascii="Noto Serif KR" w:cs="Noto Serif KR" w:eastAsia="Noto Serif KR" w:hAnsi="Noto Serif KR"/>
          <w:color w:val="1A1A2E"/>
          <w:sz w:val="20"/>
          <w:szCs w:val="20"/>
        </w:rPr>
        <w:t xml:space="preserve">부록 G: 논쟁 관리 엔진 처리 로그 (26회 교환 전문)</w:t>
      </w:r>
    </w:p>
    <w:p>
      <w:pPr>
        <w:spacing w:before="60" w:after="60" w:line="340"/>
        <w:jc w:val="both"/>
      </w:pPr>
      <w:r>
        <w:rPr>
          <w:rFonts w:ascii="Noto Serif KR" w:cs="Noto Serif KR" w:eastAsia="Noto Serif KR" w:hAnsi="Noto Serif KR"/>
          <w:color w:val="1A1A2E"/>
          <w:sz w:val="20"/>
          <w:szCs w:val="20"/>
        </w:rPr>
        <w:t xml:space="preserve">부록 H: 판결 품질 평가 방법론 상세 루브릭 v1.3 [항목별 세부 감점 기준 및 실제 판결문 적용 예시 포함]</w:t>
      </w:r>
    </w:p>
    <w:p>
      <w:pPr>
        <w:spacing w:before="60" w:after="60" w:line="340"/>
        <w:jc w:val="both"/>
      </w:pPr>
      <w:r>
        <w:rPr>
          <w:rFonts w:ascii="Noto Serif KR" w:cs="Noto Serif KR" w:eastAsia="Noto Serif KR" w:hAnsi="Noto Serif KR"/>
          <w:color w:val="1A1A2E"/>
          <w:sz w:val="20"/>
          <w:szCs w:val="20"/>
        </w:rPr>
        <w:t xml:space="preserve">부록 I: 판정 패널 4라운드 합의 절차 기록</w:t>
      </w:r>
    </w:p>
    <w:p>
      <w:pPr>
        <w:spacing w:before="60" w:after="60" w:line="340"/>
        <w:jc w:val="both"/>
      </w:pPr>
      <w:r>
        <w:rPr>
          <w:rFonts w:ascii="Noto Serif KR" w:cs="Noto Serif KR" w:eastAsia="Noto Serif KR" w:hAnsi="Noto Serif KR"/>
          <w:color w:val="1A1A2E"/>
          <w:sz w:val="20"/>
          <w:szCs w:val="20"/>
        </w:rPr>
        <w:t xml:space="preserve">부록 J: 예방 법학 반사실적 시뮬레이션 보고서</w:t>
      </w:r>
    </w:p>
    <w:p>
      <w:pPr>
        <w:spacing w:before="60" w:after="60" w:line="340"/>
        <w:jc w:val="both"/>
      </w:pPr>
      <w:r>
        <w:rPr>
          <w:rFonts w:ascii="Noto Serif KR" w:cs="Noto Serif KR" w:eastAsia="Noto Serif KR" w:hAnsi="Noto Serif KR"/>
          <w:color w:val="1A1A2E"/>
          <w:sz w:val="20"/>
          <w:szCs w:val="20"/>
        </w:rPr>
        <w:t xml:space="preserve">부록 K: OpenHash 성능 측정 상세 결과 (AWS 환경) — E2E 시간(평균 3.09ms), 단일 노드 TPS(5,354), 에너지 절감률(PoW 대비 98.5% 이상)</w:t>
      </w:r>
    </w:p>
    <w:p>
      <w:pPr>
        <w:spacing w:before="60" w:after="60"/>
      </w:pPr>
      <w:r>
        <w:t xml:space="preserve"/>
      </w:r>
    </w:p>
    <w:p>
      <w:pPr>
        <w:spacing w:before="60" w:after="60" w:line="340"/>
        <w:jc w:val="both"/>
      </w:pPr>
      <w:r>
        <w:rPr>
          <w:rFonts w:ascii="Noto Serif KR" w:cs="Noto Serif KR" w:eastAsia="Noto Serif KR" w:hAnsi="Noto Serif KR"/>
          <w:color w:val="1A1A2E"/>
          <w:sz w:val="20"/>
          <w:szCs w:val="20"/>
        </w:rPr>
        <w:t xml:space="preserve">모든 부록 자료: https://github.com/team-jupeter/k-openlaw</w:t>
      </w:r>
    </w:p>
    <w:sectPr>
      <w:headerReference w:type="default" r:id="rId6"/>
      <w:footerReference w:type="default" r:id="rId7"/>
      <w:pgSz w:w="11906" w:h="16838"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3087" w:sz="4" w:space="4"/>
      </w:pBdr>
      <w:spacing w:before="120" w:after="0"/>
      <w:jc w:val="center"/>
    </w:pPr>
    <w:r>
      <w:rPr>
        <w:rFonts w:ascii="Noto Serif KR" w:cs="Noto Serif KR" w:eastAsia="Noto Serif KR" w:hAnsi="Noto Serif KR"/>
        <w:color w:val="4A5568"/>
        <w:sz w:val="16"/>
        <w:szCs w:val="16"/>
      </w:rPr>
      <w:t xml:space="preserve">© 2026 K-OpenLaw 연구그룹, AI City Inc. — 논문초안 v3.5 (2026. 03. 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3087" w:sz="4" w:space="4"/>
      </w:pBdr>
      <w:spacing w:before="0" w:after="120"/>
      <w:jc w:val="right"/>
    </w:pPr>
    <w:r>
      <w:rPr>
        <w:rFonts w:ascii="Noto Serif KR" w:cs="Noto Serif KR" w:eastAsia="Noto Serif KR" w:hAnsi="Noto Serif KR"/>
        <w:color w:val="4A5568"/>
        <w:sz w:val="16"/>
        <w:szCs w:val="16"/>
      </w:rPr>
      <w:t xml:space="preserve">K-OpenLaw: 이종 LLM 기반 자율 분쟁 해결 시스템의 실증적 연구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lvl w:ilvl="1" w15:tentative="1">
      <w:start w:val="1"/>
      <w:numFmt w:val="bullet"/>
      <w:lvlText w:val="–"/>
      <w:lvlJc w:val="left"/>
      <w:pPr>
        <w:ind w:left="840" w:hanging="280"/>
      </w:pPr>
    </w:lvl>
  </w:abstractNum>
  <w:abstractNum w:abstractNumId="3" w15:restartNumberingAfterBreak="0">
    <w:multiLevelType w:val="hybridMultilevel"/>
    <w:lvl w:ilvl="0" w15:tentative="1">
      <w:start w:val="1"/>
      <w:numFmt w:val="decimal"/>
      <w:lvlText w:val="%1."/>
      <w:lvlJc w:val="left"/>
      <w:pPr>
        <w:ind w:left="56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KR" w:cs="Noto Serif KR" w:eastAsia="Noto Serif KR" w:hAnsi="Noto Serif KR"/>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160"/>
      <w:outlineLvl w:val="0"/>
    </w:pPr>
    <w:rPr>
      <w:rFonts w:ascii="Noto Serif KR" w:cs="Noto Serif KR" w:eastAsia="Noto Serif KR" w:hAnsi="Noto Serif KR"/>
      <w:b/>
      <w:bCs/>
      <w:color w:val="001f5b"/>
      <w:sz w:val="32"/>
      <w:szCs w:val="32"/>
    </w:rPr>
  </w:style>
  <w:style w:type="paragraph" w:styleId="Heading2">
    <w:name w:val="Heading 2"/>
    <w:basedOn w:val="Normal"/>
    <w:next w:val="Normal"/>
    <w:qFormat/>
    <w:pPr>
      <w:spacing w:before="280" w:after="120"/>
      <w:outlineLvl w:val="1"/>
    </w:pPr>
    <w:rPr>
      <w:rFonts w:ascii="Noto Serif KR" w:cs="Noto Serif KR" w:eastAsia="Noto Serif KR" w:hAnsi="Noto Serif KR"/>
      <w:b/>
      <w:bCs/>
      <w:color w:val="003087"/>
      <w:sz w:val="26"/>
      <w:szCs w:val="26"/>
    </w:rPr>
  </w:style>
  <w:style w:type="paragraph" w:styleId="Heading3">
    <w:name w:val="Heading 3"/>
    <w:basedOn w:val="Normal"/>
    <w:next w:val="Normal"/>
    <w:qFormat/>
    <w:pPr>
      <w:spacing w:before="200" w:after="80"/>
      <w:outlineLvl w:val="2"/>
    </w:pPr>
    <w:rPr>
      <w:rFonts w:ascii="Noto Serif KR" w:cs="Noto Serif KR" w:eastAsia="Noto Serif KR" w:hAnsi="Noto Serif KR"/>
      <w:b/>
      <w:bCs/>
      <w:color w:val="001f5b"/>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2026-03-20T02:15:33.834Z</dcterms:created>
  <dcterms:modified xsi:type="dcterms:W3CDTF">2026-03-20T02:15:33.835Z</dcterms:modified>
</cp:coreProperties>
</file>

<file path=docProps/custom.xml><?xml version="1.0" encoding="utf-8"?>
<Properties xmlns="http://schemas.openxmlformats.org/officeDocument/2006/custom-properties" xmlns:vt="http://schemas.openxmlformats.org/officeDocument/2006/docPropsVTypes"/>
</file>