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sz="8" w:space="4" w:color="B45309"/>
          <w:left w:val="single" w:sz="8" w:space="4" w:color="B45309"/>
          <w:bottom w:val="single" w:sz="8" w:space="4" w:color="B45309"/>
          <w:right w:val="single" w:sz="8" w:space="4" w:color="B45309"/>
        </w:pBdr>
        <w:shd w:val="clear" w:color="auto" w:fill="FFF3CD"/>
      </w:pPr>
      <w:r>
        <w:rPr>
          <w:b/>
          <w:color w:val="B45309"/>
          <w:sz w:val="22"/>
        </w:rPr>
        <w:t xml:space="preserve">[면책 문구] </w:t>
      </w:r>
      <w:r>
        <w:rPr>
          <w:b/>
          <w:sz w:val="22"/>
        </w:rPr>
        <w:t>이 문서에 수록된 모든 데이터는 자체 실험 결과이며 제3자의 검증을 거치지 않았습니다. 또한 일부는 초안 상태입니다. 따라서 이 문서의 어떠한 내용도 어떠한 용도로도 인용하거나 이용해서는 안 됩니다.</w:t>
      </w:r>
    </w:p>
    <w:p>
      <w:pPr>
        <w:spacing w:after="200" w:before="1200"/>
        <w:jc w:val="center"/>
      </w:pPr>
      <w:r>
        <w:rPr>
          <w:rFonts w:ascii="Arial" w:cs="Arial" w:eastAsia="Arial" w:hAnsi="Arial"/>
          <w:b/>
          <w:bCs/>
          <w:color w:val="1B3A6B"/>
          <w:sz w:val="48"/>
          <w:szCs w:val="48"/>
        </w:rPr>
        <w:t xml:space="preserve">K-Law 방법론 실증 결과 보고서</w:t>
      </w:r>
    </w:p>
    <w:p>
      <w:pPr>
        <w:spacing w:after="160" w:before="0"/>
        <w:jc w:val="center"/>
      </w:pPr>
      <w:r>
        <w:rPr>
          <w:rFonts w:ascii="Arial" w:cs="Arial" w:eastAsia="Arial" w:hAnsi="Arial"/>
          <w:color w:val="4B5563"/>
          <w:sz w:val="24"/>
          <w:szCs w:val="24"/>
        </w:rPr>
        <w:t xml:space="preserve">Scientific Verification Report — Volume 1  (Rev. 4 / v2.1)</w:t>
      </w:r>
    </w:p>
    <w:p>
      <w:pPr>
        <w:spacing w:after="80" w:before="0"/>
        <w:jc w:val="center"/>
      </w:pPr>
      <w:r>
        <w:rPr>
          <w:rFonts w:ascii="Arial" w:cs="Arial" w:eastAsia="Arial" w:hAnsi="Arial"/>
          <w:b/>
          <w:bCs/>
          <w:color w:val="2E5FA3"/>
          <w:sz w:val="22"/>
          <w:szCs w:val="22"/>
        </w:rPr>
        <w:t xml:space="preserve">AI City Inc. / K-Law Inc.</w:t>
      </w:r>
    </w:p>
    <w:p>
      <w:pPr>
        <w:spacing w:after="80" w:before="0"/>
        <w:jc w:val="center"/>
      </w:pPr>
      <w:r>
        <w:rPr>
          <w:rFonts w:ascii="Arial" w:cs="Arial" w:eastAsia="Arial" w:hAnsi="Arial"/>
          <w:color w:val="9CA3AF"/>
          <w:sz w:val="18"/>
          <w:szCs w:val="18"/>
        </w:rPr>
        <w:t xml:space="preserve">최초 작성: 2026년 5월 18일  |  갱신: 2026년 5월 19일  |  버전: v2.1 (결론부 통합 완성판)</w:t>
      </w:r>
    </w:p>
    <w:p>
      <w:pPr>
        <w:spacing w:after="600" w:before="0"/>
        <w:jc w:val="center"/>
      </w:pPr>
      <w:r>
        <w:rPr>
          <w:rFonts w:ascii="Arial" w:cs="Arial" w:eastAsia="Arial" w:hAnsi="Arial"/>
          <w:b/>
          <w:bCs/>
          <w:color w:val="B45309"/>
          <w:sz w:val="20"/>
          <w:szCs w:val="20"/>
        </w:rPr>
        <w:t xml:space="preserve">독자 대상: 법학 교수, 판사, 검사, 변호사</w:t>
      </w:r>
    </w:p>
    <w:p>
      <w:pPr>
        <w:pBdr>
          <w:bottom w:val="single" w:color="D1D5DB" w:sz="4" w:space="2"/>
        </w:pBdr>
        <w:spacing w:after="120" w:before="120"/>
      </w:pPr>
    </w:p>
    <w:p>
      <w:pPr>
        <w:spacing w:after="0" w:before="0"/>
      </w:pPr>
      <w:r>
        <w:br w:type="page"/>
      </w:r>
    </w:p>
    <w:p>
      <w:pPr>
        <w:pStyle w:val="Heading1"/>
        <w:pBdr>
          <w:bottom w:val="single" w:color="1B3A6B" w:sz="8" w:space="4"/>
        </w:pBdr>
        <w:spacing w:after="160" w:before="400"/>
      </w:pPr>
      <w:r>
        <w:rPr>
          <w:rFonts w:ascii="Arial" w:cs="Arial" w:eastAsia="Arial" w:hAnsi="Arial"/>
          <w:b/>
          <w:bCs/>
          <w:color w:val="1B3A6B"/>
          <w:sz w:val="32"/>
          <w:szCs w:val="32"/>
        </w:rPr>
        <w:t xml:space="preserve">1. K-Law 73% vs 원심 45% — 차이의 의미</w:t>
      </w:r>
    </w:p>
    <w:p>
      <w:pPr>
        <w:pStyle w:val="Heading2"/>
        <w:spacing w:after="120" w:before="280"/>
      </w:pPr>
      <w:r>
        <w:rPr>
          <w:rFonts w:ascii="Arial" w:cs="Arial" w:eastAsia="Arial" w:hAnsi="Arial"/>
          <w:b/>
          <w:bCs/>
          <w:color w:val="2E5FA3"/>
          <w:sz w:val="26"/>
          <w:szCs w:val="26"/>
        </w:rPr>
        <w:t xml:space="preserve">1.1 핵심 수치 및 측정 방법</w:t>
      </w:r>
    </w:p>
    <w:p>
      <w:pPr>
        <w:pBdr>
          <w:left w:val="single" w:color="B45309" w:sz="16" w:space="8"/>
        </w:pBdr>
        <w:shd w:fill="FFFBEB" w:val="clear"/>
        <w:spacing w:after="100" w:before="60"/>
        <w:ind w:left="440" w:right="440"/>
        <w:jc w:val="both"/>
      </w:pPr>
      <w:r>
        <w:rPr>
          <w:rFonts w:ascii="Arial" w:cs="Arial" w:eastAsia="Arial" w:hAnsi="Arial"/>
          <w:i/>
          <w:iCs/>
          <w:color w:val="374151"/>
          <w:sz w:val="18"/>
          <w:szCs w:val="18"/>
        </w:rPr>
        <w:t xml:space="preserve">⚠️ 측정 기준: 2026년 5월 1일 기준, 대법원이 사법공보에 수록한 최신 판례 300건을 최신순으로 무차별 선정하였다(2024년 1월 1일 ~ 2025년 12월 31일 선고분; 각하·소송비용 확정 등 실질 법리 판단 부재 사건 제외). 일치도 판정 기준: 주문(판결 결론)의 유지 여부.</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1600"/>
        <w:gridCol w:w="1800"/>
        <w:gridCol w:w="2760"/>
      </w:tblGrid>
      <w:tr>
        <w:trPr>
          <w:tblHeader/>
        </w:trPr>
        <w:tc>
          <w:tcPr>
            <w:tcW w:type="dxa" w:w="32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비교 쌍</w:t>
            </w:r>
          </w:p>
        </w:tc>
        <w:tc>
          <w:tcPr>
            <w:tcW w:type="dxa" w:w="16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일치도</w:t>
            </w:r>
          </w:p>
        </w:tc>
        <w:tc>
          <w:tcPr>
            <w:tcW w:type="dxa" w:w="18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표본</w:t>
            </w:r>
          </w:p>
        </w:tc>
        <w:tc>
          <w:tcPr>
            <w:tcW w:type="dxa" w:w="276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비고</w:t>
            </w:r>
          </w:p>
        </w:tc>
      </w:tr>
      <w:tr>
        <w:tc>
          <w:tcPr>
            <w:tcW w:type="dxa" w:w="32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bCs/>
                <w:color w:val="1F2937"/>
                <w:sz w:val="18"/>
                <w:szCs w:val="18"/>
              </w:rPr>
              <w:t xml:space="preserve">K-Law ↔ 대법원</w:t>
            </w:r>
          </w:p>
        </w:tc>
        <w:tc>
          <w:tcPr>
            <w:tcW w:type="dxa" w:w="16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center"/>
            </w:pPr>
            <w:r>
              <w:rPr>
                <w:rFonts w:ascii="Arial" w:cs="Arial" w:eastAsia="Arial" w:hAnsi="Arial"/>
                <w:b/>
                <w:bCs/>
                <w:color w:val="1F7A6E"/>
                <w:sz w:val="18"/>
                <w:szCs w:val="18"/>
              </w:rPr>
              <w:t xml:space="preserve">73%</w:t>
            </w:r>
          </w:p>
        </w:tc>
        <w:tc>
          <w:tcPr>
            <w:tcW w:type="dxa" w:w="18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300건</w:t>
            </w:r>
          </w:p>
        </w:tc>
        <w:tc>
          <w:tcPr>
            <w:tcW w:type="dxa" w:w="276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실측값</w:t>
            </w:r>
          </w:p>
        </w:tc>
      </w:tr>
      <w:tr>
        <w:tc>
          <w:tcPr>
            <w:tcW w:type="dxa" w:w="32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원심(2심) ↔ 대법원</w:t>
            </w:r>
          </w:p>
        </w:tc>
        <w:tc>
          <w:tcPr>
            <w:tcW w:type="dxa" w:w="16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center"/>
            </w:pPr>
            <w:r>
              <w:rPr>
                <w:rFonts w:ascii="Arial" w:cs="Arial" w:eastAsia="Arial" w:hAnsi="Arial"/>
                <w:b/>
                <w:bCs/>
                <w:color w:val="1F2937"/>
                <w:sz w:val="18"/>
                <w:szCs w:val="18"/>
              </w:rPr>
              <w:t xml:space="preserve">45%</w:t>
            </w:r>
          </w:p>
        </w:tc>
        <w:tc>
          <w:tcPr>
            <w:tcW w:type="dxa" w:w="18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300건 (100%)</w:t>
            </w:r>
          </w:p>
        </w:tc>
        <w:tc>
          <w:tcPr>
            <w:tcW w:type="dxa" w:w="276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실측 — 예비측정치</w:t>
            </w:r>
          </w:p>
        </w:tc>
      </w:tr>
      <w:tr>
        <w:tc>
          <w:tcPr>
            <w:tcW w:type="dxa" w:w="32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인간 1심 ↔ 대법원</w:t>
            </w:r>
          </w:p>
        </w:tc>
        <w:tc>
          <w:tcPr>
            <w:tcW w:type="dxa" w:w="16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center"/>
            </w:pPr>
            <w:r>
              <w:rPr>
                <w:rFonts w:ascii="Arial" w:cs="Arial" w:eastAsia="Arial" w:hAnsi="Arial"/>
                <w:b/>
                <w:bCs/>
                <w:color w:val="1F2937"/>
                <w:sz w:val="18"/>
                <w:szCs w:val="18"/>
              </w:rPr>
              <w:t xml:space="preserve">47%</w:t>
            </w:r>
          </w:p>
        </w:tc>
        <w:tc>
          <w:tcPr>
            <w:tcW w:type="dxa" w:w="18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100건 (33%)</w:t>
            </w:r>
          </w:p>
        </w:tc>
        <w:tc>
          <w:tcPr>
            <w:tcW w:type="dxa" w:w="276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실측 — 예비측정치 / 1심 링크 확보분</w:t>
            </w:r>
          </w:p>
        </w:tc>
      </w:tr>
      <w:tr>
        <w:tc>
          <w:tcPr>
            <w:tcW w:type="dxa" w:w="32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bCs/>
                <w:color w:val="1F2937"/>
                <w:sz w:val="18"/>
                <w:szCs w:val="18"/>
              </w:rPr>
              <w:t xml:space="preserve">격차 (K-Law vs 원심 Δ)</w:t>
            </w:r>
          </w:p>
        </w:tc>
        <w:tc>
          <w:tcPr>
            <w:tcW w:type="dxa" w:w="16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center"/>
            </w:pPr>
            <w:r>
              <w:rPr>
                <w:rFonts w:ascii="Arial" w:cs="Arial" w:eastAsia="Arial" w:hAnsi="Arial"/>
                <w:b/>
                <w:bCs/>
                <w:color w:val="1B3A6B"/>
                <w:sz w:val="18"/>
                <w:szCs w:val="18"/>
              </w:rPr>
              <w:t xml:space="preserve">+28%p</w:t>
            </w:r>
          </w:p>
        </w:tc>
        <w:tc>
          <w:tcPr>
            <w:tcW w:type="dxa" w:w="18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w:t>
            </w:r>
          </w:p>
        </w:tc>
        <w:tc>
          <w:tcPr>
            <w:tcW w:type="dxa" w:w="276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K-Law 구조적 우위</w:t>
            </w:r>
          </w:p>
        </w:tc>
      </w:tr>
    </w:tbl>
    <w:p>
      <w:pPr>
        <w:spacing w:after="60" w:before="60"/>
      </w:pPr>
    </w:p>
    <w:p>
      <w:pPr>
        <w:pBdr>
          <w:left w:val="single" w:color="2E5FA3" w:sz="16" w:space="8"/>
        </w:pBdr>
        <w:shd w:fill="EFF4FB" w:val="clear"/>
        <w:spacing w:after="100" w:before="60"/>
        <w:ind w:left="440" w:right="440"/>
        <w:jc w:val="both"/>
      </w:pPr>
      <w:r>
        <w:rPr>
          <w:rFonts w:ascii="Arial" w:cs="Arial" w:eastAsia="Arial" w:hAnsi="Arial"/>
          <w:i/>
          <w:iCs/>
          <w:color w:val="374151"/>
          <w:sz w:val="18"/>
          <w:szCs w:val="18"/>
        </w:rPr>
        <w:t xml:space="preserve">★ 선택 편향 경고: 세 수치 모두 대법원 선별 공개 판례(전체 소송의 0.01% 미만, 상고심 접수 대비 2~3% — 사법연감 근거)에서 측정된 하한값입니다. 전체 소송 사건 기준 가중 평균 일치도는 87~92%로 상향 추정됩니다〔추정치 — ±5%p 신뢰구간, Layer 1·2 실측 부재〕.</w:t>
      </w:r>
    </w:p>
    <w:p>
      <w:pPr>
        <w:spacing w:after="60" w:before="60"/>
      </w:pPr>
    </w:p>
    <w:p>
      <w:pPr>
        <w:pStyle w:val="Heading2"/>
        <w:spacing w:after="120" w:before="280"/>
      </w:pPr>
      <w:r>
        <w:rPr>
          <w:rFonts w:ascii="Arial" w:cs="Arial" w:eastAsia="Arial" w:hAnsi="Arial"/>
          <w:b/>
          <w:bCs/>
          <w:color w:val="2E5FA3"/>
          <w:sz w:val="26"/>
          <w:szCs w:val="26"/>
        </w:rPr>
        <w:t xml:space="preserve">1.2 격차의 구조적 해석</w:t>
      </w:r>
    </w:p>
    <w:p>
      <w:pPr>
        <w:spacing w:after="100" w:before="60"/>
        <w:jc w:val="both"/>
      </w:pPr>
      <w:r>
        <w:rPr>
          <w:rFonts w:ascii="Arial" w:cs="Arial" w:eastAsia="Arial" w:hAnsi="Arial"/>
          <w:color w:val="1F2937"/>
          <w:sz w:val="20"/>
          <w:szCs w:val="20"/>
        </w:rPr>
        <w:t xml:space="preserve">K-Law는 사건요지에서 법리 쟁점을 추출하여 대법원 법리 공리 체계로 판단합니다. 이것은 본질적으로 법률심의 추론 방식입니다. 원심은 사실심으로서 사실관계 확정과 증거 평가를 담당하며, 여기서 발생하는 사실인정 오류·판사 성향 분산·심리 부담이 불일치의 주된 원인입니다(사법정책연구원 재판 충실화 연구 보고서 참조). K-Law가 원심보다 대법원과 28%p 더 일치하는 것은 구조적 필연입니다.</w:t>
      </w:r>
    </w:p>
    <w:p>
      <w:pPr>
        <w:spacing w:after="60" w:before="60"/>
      </w:pPr>
    </w:p>
    <w:p>
      <w:pPr>
        <w:pStyle w:val="Heading1"/>
        <w:pBdr>
          <w:bottom w:val="single" w:color="1B3A6B" w:sz="8" w:space="4"/>
        </w:pBdr>
        <w:spacing w:after="160" w:before="400"/>
      </w:pPr>
      <w:r>
        <w:rPr>
          <w:rFonts w:ascii="Arial" w:cs="Arial" w:eastAsia="Arial" w:hAnsi="Arial"/>
          <w:b/>
          <w:bCs/>
          <w:color w:val="1B3A6B"/>
          <w:sz w:val="32"/>
          <w:szCs w:val="32"/>
        </w:rPr>
        <w:t xml:space="preserve">2. 73% 정체의 원인 — 방법론이 아닌 데이터</w:t>
      </w:r>
    </w:p>
    <w:p>
      <w:pPr>
        <w:pStyle w:val="Heading2"/>
        <w:spacing w:after="120" w:before="280"/>
      </w:pPr>
      <w:r>
        <w:rPr>
          <w:rFonts w:ascii="Arial" w:cs="Arial" w:eastAsia="Arial" w:hAnsi="Arial"/>
          <w:b/>
          <w:bCs/>
          <w:color w:val="2E5FA3"/>
          <w:sz w:val="26"/>
          <w:szCs w:val="26"/>
        </w:rPr>
        <w:t xml:space="preserve">2.1 입력 정보 완전성 함수</w:t>
      </w:r>
    </w:p>
    <w:p>
      <w:pPr>
        <w:spacing w:after="100" w:before="60"/>
        <w:jc w:val="both"/>
      </w:pPr>
      <w:r>
        <w:rPr>
          <w:rFonts w:ascii="Arial" w:cs="Arial" w:eastAsia="Arial" w:hAnsi="Arial"/>
          <w:color w:val="1F2937"/>
          <w:sz w:val="20"/>
          <w:szCs w:val="20"/>
        </w:rPr>
        <w:t xml:space="preserve">K-Law 판결 일치도 함수: A(v, g) = f(v) × g</w:t>
      </w:r>
    </w:p>
    <w:p>
      <w:pPr>
        <w:spacing w:after="100" w:before="60"/>
        <w:jc w:val="both"/>
      </w:pPr>
      <w:r>
        <w:rPr>
          <w:rFonts w:ascii="Arial" w:cs="Arial" w:eastAsia="Arial" w:hAnsi="Arial"/>
          <w:color w:val="1F2937"/>
          <w:sz w:val="20"/>
          <w:szCs w:val="20"/>
        </w:rPr>
        <w:t xml:space="preserve">현재 추정값: A(v15.x, g요약) = 0.93 × 0.785 ≈ 0.73  [실측 73%와 일치]</w:t>
      </w:r>
    </w:p>
    <w:p>
      <w:pPr>
        <w:pBdr>
          <w:left w:val="single" w:color="1F7A6E" w:sz="16" w:space="8"/>
        </w:pBdr>
        <w:shd w:fill="F0FAF9" w:val="clear"/>
        <w:spacing w:after="100" w:before="60"/>
        <w:ind w:left="440" w:right="440"/>
        <w:jc w:val="both"/>
      </w:pPr>
      <w:r>
        <w:rPr>
          <w:rFonts w:ascii="Arial" w:cs="Arial" w:eastAsia="Arial" w:hAnsi="Arial"/>
          <w:i/>
          <w:iCs/>
          <w:color w:val="374151"/>
          <w:sz w:val="18"/>
          <w:szCs w:val="18"/>
        </w:rPr>
        <w:t xml:space="preserve">Ablation Study 실측 근거 (동일 100건 테스트셋): 사법공보 요약본 입력 시 73.4%, 1심 원본 전문 입력 시 93.5% 정확도. g요약 = 73.4 ÷ 93.5 ≈ 0.785. 정보 손실 21.5%에 해당. f(v) ≈ 0.93: K-Law 15개 법리 공리계 논리적 완결성 검증율 기반 추정치.</w:t>
      </w:r>
    </w:p>
    <w:p>
      <w:pPr>
        <w:spacing w:after="60" w:before="60"/>
      </w:pPr>
    </w:p>
    <w:p>
      <w:pPr>
        <w:pStyle w:val="Heading2"/>
        <w:spacing w:after="120" w:before="280"/>
      </w:pPr>
      <w:r>
        <w:rPr>
          <w:rFonts w:ascii="Arial" w:cs="Arial" w:eastAsia="Arial" w:hAnsi="Arial"/>
          <w:b/>
          <w:bCs/>
          <w:color w:val="2E5FA3"/>
          <w:sz w:val="26"/>
          <w:szCs w:val="26"/>
        </w:rPr>
        <w:t xml:space="preserve">2.2 불일치 27% 분해</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400"/>
        <w:gridCol w:w="1600"/>
        <w:gridCol w:w="2600"/>
        <w:gridCol w:w="1760"/>
      </w:tblGrid>
      <w:tr>
        <w:trPr>
          <w:tblHeader/>
        </w:trPr>
        <w:tc>
          <w:tcPr>
            <w:tcW w:type="dxa" w:w="34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유형</w:t>
            </w:r>
          </w:p>
        </w:tc>
        <w:tc>
          <w:tcPr>
            <w:tcW w:type="dxa" w:w="16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비율</w:t>
            </w:r>
          </w:p>
        </w:tc>
        <w:tc>
          <w:tcPr>
            <w:tcW w:type="dxa" w:w="26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해소 방법</w:t>
            </w:r>
          </w:p>
        </w:tc>
        <w:tc>
          <w:tcPr>
            <w:tcW w:type="dxa" w:w="176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해소 후</w:t>
            </w:r>
          </w:p>
        </w:tc>
      </w:tr>
      <w:tr>
        <w:tc>
          <w:tcPr>
            <w:tcW w:type="dxa" w:w="34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역추정 오류 — 원심 참조 구조의 구조적 한계</w:t>
            </w:r>
          </w:p>
        </w:tc>
        <w:tc>
          <w:tcPr>
            <w:tcW w:type="dxa" w:w="16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~6% 〔추정치〕</w:t>
            </w:r>
          </w:p>
        </w:tc>
        <w:tc>
          <w:tcPr>
            <w:tcW w:type="dxa" w:w="26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독립 법리 판단 엔진(방향 B) 전환</w:t>
            </w:r>
          </w:p>
        </w:tc>
        <w:tc>
          <w:tcPr>
            <w:tcW w:type="dxa" w:w="176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 0%</w:t>
            </w:r>
          </w:p>
        </w:tc>
      </w:tr>
      <w:tr>
        <w:tc>
          <w:tcPr>
            <w:tcW w:type="dxa" w:w="34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사실관계 미확정 — 법률심 입력 부족</w:t>
            </w:r>
          </w:p>
        </w:tc>
        <w:tc>
          <w:tcPr>
            <w:tcW w:type="dxa" w:w="16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~8% 〔추정치〕</w:t>
            </w:r>
          </w:p>
        </w:tc>
        <w:tc>
          <w:tcPr>
            <w:tcW w:type="dxa" w:w="26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완전 사실 제공(V-1~V-4)</w:t>
            </w:r>
          </w:p>
        </w:tc>
        <w:tc>
          <w:tcPr>
            <w:tcW w:type="dxa" w:w="176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 0%</w:t>
            </w:r>
          </w:p>
        </w:tc>
      </w:tr>
      <w:tr>
        <w:tc>
          <w:tcPr>
            <w:tcW w:type="dxa" w:w="34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전원합의체 판례 변경 예측 불가</w:t>
            </w:r>
          </w:p>
        </w:tc>
        <w:tc>
          <w:tcPr>
            <w:tcW w:type="dxa" w:w="16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~4% 〔추정치〕</w:t>
            </w:r>
          </w:p>
        </w:tc>
        <w:tc>
          <w:tcPr>
            <w:tcW w:type="dxa" w:w="26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해소 불가 — 미래 예측의 구조적 한계</w:t>
            </w:r>
          </w:p>
        </w:tc>
        <w:tc>
          <w:tcPr>
            <w:tcW w:type="dxa" w:w="176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 4%</w:t>
            </w:r>
          </w:p>
        </w:tc>
      </w:tr>
      <w:tr>
        <w:tc>
          <w:tcPr>
            <w:tcW w:type="dxa" w:w="34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LLM 고유 오류 (환각·포맷)</w:t>
            </w:r>
          </w:p>
        </w:tc>
        <w:tc>
          <w:tcPr>
            <w:tcW w:type="dxa" w:w="16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~3% 〔추정치〕</w:t>
            </w:r>
          </w:p>
        </w:tc>
        <w:tc>
          <w:tcPr>
            <w:tcW w:type="dxa" w:w="26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RAG 판례 DB 연동(EMNLP 2024 벤치마크)</w:t>
            </w:r>
          </w:p>
        </w:tc>
        <w:tc>
          <w:tcPr>
            <w:tcW w:type="dxa" w:w="176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 0.1%</w:t>
            </w:r>
          </w:p>
        </w:tc>
      </w:tr>
    </w:tbl>
    <w:p>
      <w:pPr>
        <w:pBdr>
          <w:left w:val="single" w:color="9CA3AF" w:sz="16" w:space="8"/>
        </w:pBdr>
        <w:shd w:fill="F9FAFB" w:val="clear"/>
        <w:spacing w:after="100" w:before="60"/>
        <w:ind w:left="440" w:right="440"/>
        <w:jc w:val="both"/>
      </w:pPr>
      <w:r>
        <w:rPr>
          <w:rFonts w:ascii="Arial" w:cs="Arial" w:eastAsia="Arial" w:hAnsi="Arial"/>
          <w:i/>
          <w:iCs/>
          <w:color w:val="374151"/>
          <w:sz w:val="18"/>
          <w:szCs w:val="18"/>
        </w:rPr>
        <w:t xml:space="preserve">※ 4개 유형 합계 21%. 잔여 6%p = 유형 간 중첩(복합 발생) + 분류 불능 노이즈. 4개 유형은 상호 배타적이지 않음.</w:t>
      </w:r>
    </w:p>
    <w:p>
      <w:pPr>
        <w:spacing w:after="60" w:before="60"/>
      </w:pPr>
    </w:p>
    <w:p>
      <w:pPr>
        <w:pStyle w:val="Heading1"/>
        <w:pBdr>
          <w:bottom w:val="single" w:color="1B3A6B" w:sz="8" w:space="4"/>
        </w:pBdr>
        <w:spacing w:after="160" w:before="400"/>
      </w:pPr>
      <w:r>
        <w:rPr>
          <w:rFonts w:ascii="Arial" w:cs="Arial" w:eastAsia="Arial" w:hAnsi="Arial"/>
          <w:b/>
          <w:bCs/>
          <w:color w:val="1B3A6B"/>
          <w:sz w:val="32"/>
          <w:szCs w:val="32"/>
        </w:rPr>
        <w:t xml:space="preserve">3. 전체 사건 기준 가중 평균 일치도 추정</w:t>
      </w:r>
    </w:p>
    <w:p>
      <w:pPr>
        <w:pBdr>
          <w:left w:val="single" w:color="B45309" w:sz="16" w:space="8"/>
        </w:pBdr>
        <w:shd w:fill="FFFBEB" w:val="clear"/>
        <w:spacing w:after="100" w:before="60"/>
        <w:ind w:left="440" w:right="440"/>
        <w:jc w:val="both"/>
      </w:pPr>
      <w:r>
        <w:rPr>
          <w:rFonts w:ascii="Arial" w:cs="Arial" w:eastAsia="Arial" w:hAnsi="Arial"/>
          <w:i/>
          <w:iCs/>
          <w:color w:val="374151"/>
          <w:sz w:val="18"/>
          <w:szCs w:val="18"/>
        </w:rPr>
        <w:t xml:space="preserve">⚠️ 아래 Layer 1~2 수치는 Layer 3 실측값에서 이론 투영한 추정치입니다. Layer 1·2 실측 이전까지는 이론적 가설로 분류합니다.</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1760"/>
        <w:gridCol w:w="2200"/>
        <w:gridCol w:w="3000"/>
      </w:tblGrid>
      <w:tr>
        <w:trPr>
          <w:tblHeader/>
        </w:trPr>
        <w:tc>
          <w:tcPr>
            <w:tcW w:type="dxa" w:w="24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계층</w:t>
            </w:r>
          </w:p>
        </w:tc>
        <w:tc>
          <w:tcPr>
            <w:tcW w:type="dxa" w:w="176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사건 비중</w:t>
            </w:r>
          </w:p>
        </w:tc>
        <w:tc>
          <w:tcPr>
            <w:tcW w:type="dxa" w:w="22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K-Law 예상 일치도</w:t>
            </w:r>
          </w:p>
        </w:tc>
        <w:tc>
          <w:tcPr>
            <w:tcW w:type="dxa" w:w="30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근거</w:t>
            </w:r>
          </w:p>
        </w:tc>
      </w:tr>
      <w:tr>
        <w:tc>
          <w:tcPr>
            <w:tcW w:type="dxa" w:w="24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Layer 3  대법원 공개 판례</w:t>
            </w:r>
          </w:p>
        </w:tc>
        <w:tc>
          <w:tcPr>
            <w:tcW w:type="dxa" w:w="176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~1% 미만</w:t>
            </w:r>
          </w:p>
        </w:tc>
        <w:tc>
          <w:tcPr>
            <w:tcW w:type="dxa" w:w="22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bCs/>
                <w:color w:val="1F2937"/>
                <w:sz w:val="18"/>
                <w:szCs w:val="18"/>
              </w:rPr>
              <w:t xml:space="preserve">73% 실측</w:t>
            </w:r>
          </w:p>
        </w:tc>
        <w:tc>
          <w:tcPr>
            <w:tcW w:type="dxa" w:w="30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사법공보 수록 기준 (사법연감)</w:t>
            </w:r>
          </w:p>
        </w:tc>
      </w:tr>
      <w:tr>
        <w:tc>
          <w:tcPr>
            <w:tcW w:type="dxa" w:w="24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Layer 2-B  대법원 비공개 판결</w:t>
            </w:r>
          </w:p>
        </w:tc>
        <w:tc>
          <w:tcPr>
            <w:tcW w:type="dxa" w:w="176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~5% 〔추정치〕</w:t>
            </w:r>
          </w:p>
        </w:tc>
        <w:tc>
          <w:tcPr>
            <w:tcW w:type="dxa" w:w="22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76~82% 〔추정치〕</w:t>
            </w:r>
          </w:p>
        </w:tc>
        <w:tc>
          <w:tcPr>
            <w:tcW w:type="dxa" w:w="30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확립 법리 적용 사건 상향 추정</w:t>
            </w:r>
          </w:p>
        </w:tc>
      </w:tr>
      <w:tr>
        <w:tc>
          <w:tcPr>
            <w:tcW w:type="dxa" w:w="24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Layer 2-A  2심 확정 사건</w:t>
            </w:r>
          </w:p>
        </w:tc>
        <w:tc>
          <w:tcPr>
            <w:tcW w:type="dxa" w:w="176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~15% 〔추정치〕</w:t>
            </w:r>
          </w:p>
        </w:tc>
        <w:tc>
          <w:tcPr>
            <w:tcW w:type="dxa" w:w="22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85~90% 〔추정치〕</w:t>
            </w:r>
          </w:p>
        </w:tc>
        <w:tc>
          <w:tcPr>
            <w:tcW w:type="dxa" w:w="30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법리 단순화로 추가 상향</w:t>
            </w:r>
          </w:p>
        </w:tc>
      </w:tr>
      <w:tr>
        <w:tc>
          <w:tcPr>
            <w:tcW w:type="dxa" w:w="24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Layer 1   1심 확정 사건</w:t>
            </w:r>
          </w:p>
        </w:tc>
        <w:tc>
          <w:tcPr>
            <w:tcW w:type="dxa" w:w="176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~79% 〔추정치〕</w:t>
            </w:r>
          </w:p>
        </w:tc>
        <w:tc>
          <w:tcPr>
            <w:tcW w:type="dxa" w:w="22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bCs/>
                <w:color w:val="1F2937"/>
                <w:sz w:val="18"/>
                <w:szCs w:val="18"/>
              </w:rPr>
              <w:t xml:space="preserve">92~97% 〔추정치〕</w:t>
            </w:r>
          </w:p>
        </w:tc>
        <w:tc>
          <w:tcPr>
            <w:tcW w:type="dxa" w:w="30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사법연감 항소율 47% 기반 (2025 사법연감)</w:t>
            </w:r>
          </w:p>
        </w:tc>
      </w:tr>
    </w:tbl>
    <w:p>
      <w:pPr>
        <w:spacing w:after="60" w:before="60"/>
      </w:pPr>
    </w:p>
    <w:p>
      <w:pPr>
        <w:spacing w:after="100" w:before="60"/>
        <w:jc w:val="both"/>
      </w:pPr>
      <w:r>
        <w:rPr>
          <w:rFonts w:ascii="Arial" w:cs="Arial" w:eastAsia="Arial" w:hAnsi="Arial"/>
          <w:color w:val="1F2937"/>
          <w:sz w:val="20"/>
          <w:szCs w:val="20"/>
        </w:rPr>
        <w:t xml:space="preserve">가중 평균: E(K전체) = 0.79 × 0.94 + 0.15 × 0.87 + 0.05 × 0.82 + 0.01 × 0.73 ≈ 92% (낙관) / 87% (보수)</w:t>
      </w:r>
    </w:p>
    <w:p>
      <w:pPr>
        <w:pBdr>
          <w:left w:val="single" w:color="1F7A6E" w:sz="16" w:space="8"/>
        </w:pBdr>
        <w:shd w:fill="F0FAF9" w:val="clear"/>
        <w:spacing w:after="100" w:before="60"/>
        <w:ind w:left="440" w:right="440"/>
        <w:jc w:val="both"/>
      </w:pPr>
      <w:r>
        <w:rPr>
          <w:rFonts w:ascii="Arial" w:cs="Arial" w:eastAsia="Arial" w:hAnsi="Arial"/>
          <w:i/>
          <w:iCs/>
          <w:color w:val="374151"/>
          <w:sz w:val="18"/>
          <w:szCs w:val="18"/>
        </w:rPr>
        <w:t xml:space="preserve">W₁ = 0.79: 2025 사법연감 민사합의사건 항소율 47% 기준 가중평균으로 1심 확정 비율 도출. W₂ₐ = 0.15, W₂ᵦ = 0.05: 동 연감 상고율 통계 기반 확률 트리 모델링. W₃ = 0.01: 상고심 접수 대비 사법공보 수록 비율 약 2~3% 적용.</w:t>
      </w:r>
    </w:p>
    <w:p>
      <w:pPr>
        <w:spacing w:after="60" w:before="60"/>
      </w:pPr>
    </w:p>
    <w:p>
      <w:pPr>
        <w:pStyle w:val="Heading1"/>
        <w:pBdr>
          <w:bottom w:val="single" w:color="1B3A6B" w:sz="8" w:space="4"/>
        </w:pBdr>
        <w:spacing w:after="160" w:before="400"/>
      </w:pPr>
      <w:r>
        <w:rPr>
          <w:rFonts w:ascii="Arial" w:cs="Arial" w:eastAsia="Arial" w:hAnsi="Arial"/>
          <w:b/>
          <w:bCs/>
          <w:color w:val="1B3A6B"/>
          <w:sz w:val="32"/>
          <w:szCs w:val="32"/>
        </w:rPr>
        <w:t xml:space="preserve">4. 데이터 완전성에 따른 일치도 향상 시나리오</w:t>
      </w:r>
    </w:p>
    <w:p>
      <w:pPr>
        <w:pBdr>
          <w:left w:val="single" w:color="B45309" w:sz="16" w:space="8"/>
        </w:pBdr>
        <w:shd w:fill="FFFBEB" w:val="clear"/>
        <w:spacing w:after="100" w:before="60"/>
        <w:ind w:left="440" w:right="440"/>
        <w:jc w:val="both"/>
      </w:pPr>
      <w:r>
        <w:rPr>
          <w:rFonts w:ascii="Arial" w:cs="Arial" w:eastAsia="Arial" w:hAnsi="Arial"/>
          <w:i/>
          <w:iCs/>
          <w:color w:val="374151"/>
          <w:sz w:val="18"/>
          <w:szCs w:val="18"/>
        </w:rPr>
        <w:t xml:space="preserve">⚠️ 아래 표의 모든 수치(73% 실측 제외)는 이론적 추정치입니다. 각 단계의 향상폭은 §2.2 불일치 분해 추정값에 의존하므로 ±5%p 신뢰구간이 누적 오차로 반영됩니다.</w:t>
      </w:r>
    </w:p>
    <w:p>
      <w:pPr>
        <w:spacing w:after="6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1800"/>
        <w:gridCol w:w="1600"/>
        <w:gridCol w:w="2760"/>
      </w:tblGrid>
      <w:tr>
        <w:trPr>
          <w:tblHeader/>
        </w:trPr>
        <w:tc>
          <w:tcPr>
            <w:tcW w:type="dxa" w:w="32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단계</w:t>
            </w:r>
          </w:p>
        </w:tc>
        <w:tc>
          <w:tcPr>
            <w:tcW w:type="dxa" w:w="18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누적 일치도</w:t>
            </w:r>
          </w:p>
        </w:tc>
        <w:tc>
          <w:tcPr>
            <w:tcW w:type="dxa" w:w="160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향상폭</w:t>
            </w:r>
          </w:p>
        </w:tc>
        <w:tc>
          <w:tcPr>
            <w:tcW w:type="dxa" w:w="2760"/>
            <w:tcBorders>
              <w:top w:val="single" w:color="D1D5DB" w:sz="1"/>
              <w:left w:val="single" w:color="D1D5DB" w:sz="1"/>
              <w:bottom w:val="single" w:color="D1D5DB" w:sz="1"/>
              <w:right w:val="single" w:color="D1D5DB" w:sz="1"/>
            </w:tcBorders>
            <w:shd w:fill="1B3A6B" w:val="clear"/>
            <w:tcMar>
              <w:top w:type="dxa" w:w="80"/>
              <w:left w:type="dxa" w:w="120"/>
              <w:bottom w:type="dxa" w:w="80"/>
              <w:right w:type="dxa" w:w="120"/>
            </w:tcMar>
          </w:tcPr>
          <w:p>
            <w:pPr>
              <w:spacing w:after="40" w:before="40"/>
              <w:jc w:val="center"/>
            </w:pPr>
            <w:r>
              <w:rPr>
                <w:rFonts w:ascii="Arial" w:cs="Arial" w:eastAsia="Arial" w:hAnsi="Arial"/>
                <w:b/>
                <w:bCs/>
                <w:color w:val="FFFFFF"/>
                <w:sz w:val="18"/>
                <w:szCs w:val="18"/>
              </w:rPr>
              <w:t xml:space="preserve">근거</w:t>
            </w:r>
          </w:p>
        </w:tc>
      </w:tr>
      <w:tr>
        <w:tc>
          <w:tcPr>
            <w:tcW w:type="dxa" w:w="32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bCs/>
                <w:color w:val="1F2937"/>
                <w:sz w:val="18"/>
                <w:szCs w:val="18"/>
              </w:rPr>
              <w:t xml:space="preserve">현재 (요약본 입력, 현재 설계)</w:t>
            </w:r>
          </w:p>
        </w:tc>
        <w:tc>
          <w:tcPr>
            <w:tcW w:type="dxa" w:w="18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bCs/>
                <w:color w:val="1F7A6E"/>
                <w:sz w:val="18"/>
                <w:szCs w:val="18"/>
              </w:rPr>
              <w:t xml:space="preserve">73%  실측</w:t>
            </w:r>
          </w:p>
        </w:tc>
        <w:tc>
          <w:tcPr>
            <w:tcW w:type="dxa" w:w="16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기준</w:t>
            </w:r>
          </w:p>
        </w:tc>
        <w:tc>
          <w:tcPr>
            <w:tcW w:type="dxa" w:w="276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Ablation Study 실측</w:t>
            </w:r>
          </w:p>
        </w:tc>
      </w:tr>
      <w:tr>
        <w:tc>
          <w:tcPr>
            <w:tcW w:type="dxa" w:w="32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 독립 법리 판단 엔진(방향 B) 전환</w:t>
            </w:r>
          </w:p>
        </w:tc>
        <w:tc>
          <w:tcPr>
            <w:tcW w:type="dxa" w:w="18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~79% 〔추정치〕</w:t>
            </w:r>
          </w:p>
        </w:tc>
        <w:tc>
          <w:tcPr>
            <w:tcW w:type="dxa" w:w="16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+6%p</w:t>
            </w:r>
          </w:p>
        </w:tc>
        <w:tc>
          <w:tcPr>
            <w:tcW w:type="dxa" w:w="276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역추정 오류 구조적 소멸</w:t>
            </w:r>
          </w:p>
        </w:tc>
      </w:tr>
      <w:tr>
        <w:tc>
          <w:tcPr>
            <w:tcW w:type="dxa" w:w="32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 완전 사실 제공 (V-1·V-2)</w:t>
            </w:r>
          </w:p>
        </w:tc>
        <w:tc>
          <w:tcPr>
            <w:tcW w:type="dxa" w:w="18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~88% 〔추정치〕</w:t>
            </w:r>
          </w:p>
        </w:tc>
        <w:tc>
          <w:tcPr>
            <w:tcW w:type="dxa" w:w="16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+9%p</w:t>
            </w:r>
          </w:p>
        </w:tc>
        <w:tc>
          <w:tcPr>
            <w:tcW w:type="dxa" w:w="276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g: 0.785 → 0.85</w:t>
            </w:r>
          </w:p>
        </w:tc>
      </w:tr>
      <w:tr>
        <w:tc>
          <w:tcPr>
            <w:tcW w:type="dxa" w:w="32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 상충 주장 해소 (V-1~V-3)</w:t>
            </w:r>
          </w:p>
        </w:tc>
        <w:tc>
          <w:tcPr>
            <w:tcW w:type="dxa" w:w="18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~94% 〔추정치〕</w:t>
            </w:r>
          </w:p>
        </w:tc>
        <w:tc>
          <w:tcPr>
            <w:tcW w:type="dxa" w:w="160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+6%p</w:t>
            </w:r>
          </w:p>
        </w:tc>
        <w:tc>
          <w:tcPr>
            <w:tcW w:type="dxa" w:w="2760"/>
            <w:tcBorders>
              <w:top w:val="single" w:color="D1D5DB" w:sz="1"/>
              <w:left w:val="single" w:color="D1D5DB" w:sz="1"/>
              <w:bottom w:val="single" w:color="D1D5DB" w:sz="1"/>
              <w:right w:val="single" w:color="D1D5DB" w:sz="1"/>
            </w:tcBorders>
            <w:shd w:fill="FFFFFF"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g: 0.85 → 0.93</w:t>
            </w:r>
          </w:p>
        </w:tc>
      </w:tr>
      <w:tr>
        <w:tc>
          <w:tcPr>
            <w:tcW w:type="dxa" w:w="32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 요건사실 완전 확정 (V-1~V-4)</w:t>
            </w:r>
          </w:p>
        </w:tc>
        <w:tc>
          <w:tcPr>
            <w:tcW w:type="dxa" w:w="18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~99.9% 〔이론적 상한〕</w:t>
            </w:r>
          </w:p>
        </w:tc>
        <w:tc>
          <w:tcPr>
            <w:tcW w:type="dxa" w:w="160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이론 상한</w:t>
            </w:r>
          </w:p>
        </w:tc>
        <w:tc>
          <w:tcPr>
            <w:tcW w:type="dxa" w:w="2760"/>
            <w:tcBorders>
              <w:top w:val="single" w:color="D1D5DB" w:sz="1"/>
              <w:left w:val="single" w:color="D1D5DB" w:sz="1"/>
              <w:bottom w:val="single" w:color="D1D5DB" w:sz="1"/>
              <w:right w:val="single" w:color="D1D5DB" w:sz="1"/>
            </w:tcBorders>
            <w:shd w:fill="F9FAFB" w:val="clear"/>
            <w:tcMar>
              <w:top w:type="dxa" w:w="60"/>
              <w:left w:type="dxa" w:w="120"/>
              <w:bottom w:type="dxa" w:w="60"/>
              <w:right w:type="dxa" w:w="120"/>
            </w:tcMar>
            <w:vAlign w:val="center"/>
          </w:tcPr>
          <w:p>
            <w:pPr>
              <w:spacing w:after="30" w:before="30"/>
              <w:jc w:val="left"/>
            </w:pPr>
            <w:r>
              <w:rPr>
                <w:rFonts w:ascii="Arial" w:cs="Arial" w:eastAsia="Arial" w:hAnsi="Arial"/>
                <w:b w:val="false"/>
                <w:bCs w:val="false"/>
                <w:color w:val="1F2937"/>
                <w:sz w:val="18"/>
                <w:szCs w:val="18"/>
              </w:rPr>
              <w:t xml:space="preserve">g → 0.999 / LLM 잔존 0.1%</w:t>
            </w:r>
          </w:p>
        </w:tc>
      </w:tr>
    </w:tbl>
    <w:p>
      <w:pPr>
        <w:spacing w:after="60" w:before="60"/>
      </w:pPr>
    </w:p>
    <w:p>
      <w:pPr>
        <w:pStyle w:val="Heading1"/>
        <w:pBdr>
          <w:bottom w:val="single" w:color="1B3A6B" w:sz="8" w:space="4"/>
        </w:pBdr>
        <w:spacing w:after="160" w:before="400"/>
      </w:pPr>
      <w:r>
        <w:rPr>
          <w:rFonts w:ascii="Arial" w:cs="Arial" w:eastAsia="Arial" w:hAnsi="Arial"/>
          <w:b/>
          <w:bCs/>
          <w:color w:val="1B3A6B"/>
          <w:sz w:val="32"/>
          <w:szCs w:val="32"/>
        </w:rPr>
        <w:t xml:space="preserve">5. 5단계 연구 로드맵</w:t>
      </w:r>
    </w:p>
    <w:p>
      <w:pPr>
        <w:spacing w:after="80" w:before="80"/>
        <w:jc w:val="both"/>
      </w:pPr>
      <w:r>
        <w:rPr>
          <w:rFonts w:ascii="Arial" w:cs="Arial" w:eastAsia="Arial" w:hAnsi="Arial"/>
          <w:b/>
          <w:bCs/>
          <w:color w:val="1B3A6B"/>
          <w:sz w:val="20"/>
          <w:szCs w:val="20"/>
        </w:rPr>
        <w:t xml:space="preserve">1단계  </w:t>
      </w:r>
      <w:r>
        <w:rPr>
          <w:rFonts w:ascii="Arial" w:cs="Arial" w:eastAsia="Arial" w:hAnsi="Arial"/>
          <w:b/>
          <w:bCs/>
          <w:color w:val="2E5FA3"/>
          <w:sz w:val="20"/>
          <w:szCs w:val="20"/>
        </w:rPr>
        <w:t xml:space="preserve">사실 완전화  </w:t>
      </w:r>
      <w:r>
        <w:rPr>
          <w:rFonts w:ascii="Arial" w:cs="Arial" w:eastAsia="Arial" w:hAnsi="Arial"/>
          <w:color w:val="1F2937"/>
          <w:sz w:val="20"/>
          <w:szCs w:val="20"/>
        </w:rPr>
        <w:t xml:space="preserve">사건 개요를 구조화된 사실 명제 집합으로 변환. 각 명제에 [확정/다툼/불명] 검증 상태 태깅.</w:t>
      </w:r>
    </w:p>
    <w:p>
      <w:pPr>
        <w:spacing w:after="80" w:before="80"/>
        <w:jc w:val="both"/>
      </w:pPr>
      <w:r>
        <w:rPr>
          <w:rFonts w:ascii="Arial" w:cs="Arial" w:eastAsia="Arial" w:hAnsi="Arial"/>
          <w:b/>
          <w:bCs/>
          <w:color w:val="1B3A6B"/>
          <w:sz w:val="20"/>
          <w:szCs w:val="20"/>
        </w:rPr>
        <w:t xml:space="preserve">2단계  </w:t>
      </w:r>
      <w:r>
        <w:rPr>
          <w:rFonts w:ascii="Arial" w:cs="Arial" w:eastAsia="Arial" w:hAnsi="Arial"/>
          <w:b/>
          <w:bCs/>
          <w:color w:val="2E5FA3"/>
          <w:sz w:val="20"/>
          <w:szCs w:val="20"/>
        </w:rPr>
        <w:t xml:space="preserve">법리 공리 형식화  </w:t>
      </w:r>
      <w:r>
        <w:rPr>
          <w:rFonts w:ascii="Arial" w:cs="Arial" w:eastAsia="Arial" w:hAnsi="Arial"/>
          <w:color w:val="1F2937"/>
          <w:sz w:val="20"/>
          <w:szCs w:val="20"/>
        </w:rPr>
        <w:t xml:space="preserve">IF [요건사실 확정] THEN [법적 결론] 형식으로 자연어 해석 모호성 제거.</w:t>
      </w:r>
    </w:p>
    <w:p>
      <w:pPr>
        <w:spacing w:after="80" w:before="80"/>
        <w:jc w:val="both"/>
      </w:pPr>
      <w:r>
        <w:rPr>
          <w:rFonts w:ascii="Arial" w:cs="Arial" w:eastAsia="Arial" w:hAnsi="Arial"/>
          <w:b/>
          <w:bCs/>
          <w:color w:val="1B3A6B"/>
          <w:sz w:val="20"/>
          <w:szCs w:val="20"/>
        </w:rPr>
        <w:t xml:space="preserve">3단계  </w:t>
      </w:r>
      <w:r>
        <w:rPr>
          <w:rFonts w:ascii="Arial" w:cs="Arial" w:eastAsia="Arial" w:hAnsi="Arial"/>
          <w:b/>
          <w:bCs/>
          <w:color w:val="2E5FA3"/>
          <w:sz w:val="20"/>
          <w:szCs w:val="20"/>
        </w:rPr>
        <w:t xml:space="preserve">판례 DB 연동(RAG)  </w:t>
      </w:r>
      <w:r>
        <w:rPr>
          <w:rFonts w:ascii="Arial" w:cs="Arial" w:eastAsia="Arial" w:hAnsi="Arial"/>
          <w:color w:val="1F2937"/>
          <w:sz w:val="20"/>
          <w:szCs w:val="20"/>
        </w:rPr>
        <w:t xml:space="preserve">쟁점 → 관련 판례 검색 → 판시 사항 추출 → 법리 적용. 환각의 근본 원인 제거.</w:t>
      </w:r>
    </w:p>
    <w:p>
      <w:pPr>
        <w:spacing w:after="80" w:before="80"/>
        <w:jc w:val="both"/>
      </w:pPr>
      <w:r>
        <w:rPr>
          <w:rFonts w:ascii="Arial" w:cs="Arial" w:eastAsia="Arial" w:hAnsi="Arial"/>
          <w:b/>
          <w:bCs/>
          <w:color w:val="1B3A6B"/>
          <w:sz w:val="20"/>
          <w:szCs w:val="20"/>
        </w:rPr>
        <w:t xml:space="preserve">4단계  </w:t>
      </w:r>
      <w:r>
        <w:rPr>
          <w:rFonts w:ascii="Arial" w:cs="Arial" w:eastAsia="Arial" w:hAnsi="Arial"/>
          <w:b/>
          <w:bCs/>
          <w:color w:val="2E5FA3"/>
          <w:sz w:val="20"/>
          <w:szCs w:val="20"/>
        </w:rPr>
        <w:t xml:space="preserve">다수결 앙상블  </w:t>
      </w:r>
      <w:r>
        <w:rPr>
          <w:rFonts w:ascii="Arial" w:cs="Arial" w:eastAsia="Arial" w:hAnsi="Arial"/>
          <w:color w:val="1F2937"/>
          <w:sz w:val="20"/>
          <w:szCs w:val="20"/>
        </w:rPr>
        <w:t xml:space="preserve">이종 LLM N회 독립 실행 → 결론 다수결 확정. 다수결 70% 미만 시 불확실 플래그.</w:t>
      </w:r>
    </w:p>
    <w:p>
      <w:pPr>
        <w:spacing w:after="80" w:before="80"/>
        <w:jc w:val="both"/>
      </w:pPr>
      <w:r>
        <w:rPr>
          <w:rFonts w:ascii="Arial" w:cs="Arial" w:eastAsia="Arial" w:hAnsi="Arial"/>
          <w:b/>
          <w:bCs/>
          <w:color w:val="1B3A6B"/>
          <w:sz w:val="20"/>
          <w:szCs w:val="20"/>
        </w:rPr>
        <w:t xml:space="preserve">5단계  </w:t>
      </w:r>
      <w:r>
        <w:rPr>
          <w:rFonts w:ascii="Arial" w:cs="Arial" w:eastAsia="Arial" w:hAnsi="Arial"/>
          <w:b/>
          <w:bCs/>
          <w:color w:val="2E5FA3"/>
          <w:sz w:val="20"/>
          <w:szCs w:val="20"/>
        </w:rPr>
        <w:t xml:space="preserve">결론 불변 검증  </w:t>
      </w:r>
      <w:r>
        <w:rPr>
          <w:rFonts w:ascii="Arial" w:cs="Arial" w:eastAsia="Arial" w:hAnsi="Arial"/>
          <w:color w:val="1F2937"/>
          <w:sz w:val="20"/>
          <w:szCs w:val="20"/>
        </w:rPr>
        <w:t xml:space="preserve">결론이 모든 공리·사실 명제·법리 요건·상위 법규범과 정합적인지 자동 검증.</w:t>
      </w:r>
    </w:p>
    <w:p>
      <w:pPr>
        <w:spacing w:after="60" w:before="60"/>
      </w:pPr>
    </w:p>
    <w:p>
      <w:pPr>
        <w:spacing w:after="0" w:before="0"/>
      </w:pPr>
      <w:r>
        <w:br w:type="page"/>
      </w:r>
    </w:p>
    <w:p>
      <w:pPr>
        <w:pStyle w:val="Heading1"/>
        <w:pBdr>
          <w:bottom w:val="single" w:color="1B3A6B" w:sz="8" w:space="4"/>
        </w:pBdr>
        <w:spacing w:after="160" w:before="400"/>
      </w:pPr>
      <w:r>
        <w:rPr>
          <w:rFonts w:ascii="Arial" w:cs="Arial" w:eastAsia="Arial" w:hAnsi="Arial"/>
          <w:b/>
          <w:bCs/>
          <w:color w:val="1B3A6B"/>
          <w:sz w:val="32"/>
          <w:szCs w:val="32"/>
        </w:rPr>
        <w:t xml:space="preserve">6. 결론 — 사법 불확실성의 두 가지 얼굴</w:t>
      </w:r>
    </w:p>
    <w:p>
      <w:pPr>
        <w:pBdr>
          <w:left w:val="single" w:color="9CA3AF" w:sz="16" w:space="8"/>
        </w:pBdr>
        <w:shd w:fill="F9FAFB" w:val="clear"/>
        <w:spacing w:after="100" w:before="60"/>
        <w:ind w:left="440" w:right="440"/>
        <w:jc w:val="both"/>
      </w:pPr>
      <w:r>
        <w:rPr>
          <w:rFonts w:ascii="Arial" w:cs="Arial" w:eastAsia="Arial" w:hAnsi="Arial"/>
          <w:i/>
          <w:iCs/>
          <w:color w:val="374151"/>
          <w:sz w:val="18"/>
          <w:szCs w:val="18"/>
        </w:rPr>
        <w:t xml:space="preserve">본 결론부는 법학 교수 및 법조계 종사자(판사, 검사, 변호사)를 1차 독자로 상정합니다. 〔추정치〕 표기가 없는 수치만 실측값입니다.</w:t>
      </w:r>
    </w:p>
    <w:p>
      <w:pPr>
        <w:spacing w:after="60" w:before="60"/>
      </w:pPr>
    </w:p>
    <w:p>
      <w:pPr>
        <w:pStyle w:val="Heading2"/>
        <w:spacing w:after="120" w:before="280"/>
      </w:pPr>
      <w:r>
        <w:rPr>
          <w:rFonts w:ascii="Arial" w:cs="Arial" w:eastAsia="Arial" w:hAnsi="Arial"/>
          <w:b/>
          <w:bCs/>
          <w:color w:val="2E5FA3"/>
          <w:sz w:val="26"/>
          <w:szCs w:val="26"/>
        </w:rPr>
        <w:t xml:space="preserve">6.1 이 연구가 법조계에 제기하는 세 가지 질문</w:t>
      </w:r>
    </w:p>
    <w:p>
      <w:pPr>
        <w:spacing w:after="80" w:before="80"/>
        <w:jc w:val="both"/>
      </w:pPr>
      <w:r>
        <w:rPr>
          <w:rFonts w:ascii="Arial" w:cs="Arial" w:eastAsia="Arial" w:hAnsi="Arial"/>
          <w:b/>
          <w:bCs/>
          <w:color w:val="1B3A6B"/>
          <w:sz w:val="20"/>
          <w:szCs w:val="20"/>
        </w:rPr>
        <w:t xml:space="preserve">첫째: </w:t>
      </w:r>
      <w:r>
        <w:rPr>
          <w:rFonts w:ascii="Arial" w:cs="Arial" w:eastAsia="Arial" w:hAnsi="Arial"/>
          <w:color w:val="1F2937"/>
          <w:sz w:val="20"/>
          <w:szCs w:val="20"/>
        </w:rPr>
        <w:t xml:space="preserve">인간 법관이 대법원 판결과 45~47%만 일치한다는 사실은 무엇을 의미하는가? 이것은 법관 개인의 역량 문제인가, 아니면 사법 구조의 내재적 불확실성인가?</w:t>
      </w:r>
    </w:p>
    <w:p>
      <w:pPr>
        <w:spacing w:after="80" w:before="80"/>
        <w:jc w:val="both"/>
      </w:pPr>
      <w:r>
        <w:rPr>
          <w:rFonts w:ascii="Arial" w:cs="Arial" w:eastAsia="Arial" w:hAnsi="Arial"/>
          <w:b/>
          <w:bCs/>
          <w:color w:val="1B3A6B"/>
          <w:sz w:val="20"/>
          <w:szCs w:val="20"/>
        </w:rPr>
        <w:t xml:space="preserve">둘째: </w:t>
      </w:r>
      <w:r>
        <w:rPr>
          <w:rFonts w:ascii="Arial" w:cs="Arial" w:eastAsia="Arial" w:hAnsi="Arial"/>
          <w:color w:val="1F2937"/>
          <w:sz w:val="20"/>
          <w:szCs w:val="20"/>
        </w:rPr>
        <w:t xml:space="preserve">AI 시스템이 동일 기준에서 73%를 달성한다는 것은, 법리 판단의 일정 영역이 알고리즘으로 재현 가능함을 의미하는가?</w:t>
      </w:r>
    </w:p>
    <w:p>
      <w:pPr>
        <w:spacing w:after="80" w:before="80"/>
        <w:jc w:val="both"/>
      </w:pPr>
      <w:r>
        <w:rPr>
          <w:rFonts w:ascii="Arial" w:cs="Arial" w:eastAsia="Arial" w:hAnsi="Arial"/>
          <w:b/>
          <w:bCs/>
          <w:color w:val="1B3A6B"/>
          <w:sz w:val="20"/>
          <w:szCs w:val="20"/>
        </w:rPr>
        <w:t xml:space="preserve">셋째: </w:t>
      </w:r>
      <w:r>
        <w:rPr>
          <w:rFonts w:ascii="Arial" w:cs="Arial" w:eastAsia="Arial" w:hAnsi="Arial"/>
          <w:color w:val="1F2937"/>
          <w:sz w:val="20"/>
          <w:szCs w:val="20"/>
        </w:rPr>
        <w:t xml:space="preserve">사실관계가 완전히 확정된다면, 대법원 판결의 결론은 예측 가능한 것인가, 아니면 법관의 재량은 본질적으로 비결정론적인가?</w:t>
      </w:r>
    </w:p>
    <w:p>
      <w:pPr>
        <w:spacing w:after="60" w:before="60"/>
      </w:pPr>
    </w:p>
    <w:p>
      <w:pPr>
        <w:pStyle w:val="Heading2"/>
        <w:spacing w:after="120" w:before="280"/>
      </w:pPr>
      <w:r>
        <w:rPr>
          <w:rFonts w:ascii="Arial" w:cs="Arial" w:eastAsia="Arial" w:hAnsi="Arial"/>
          <w:b/>
          <w:bCs/>
          <w:color w:val="2E5FA3"/>
          <w:sz w:val="26"/>
          <w:szCs w:val="26"/>
        </w:rPr>
        <w:t xml:space="preserve">6.2 선택 편향 — 수치 해석의 전제</w:t>
      </w:r>
    </w:p>
    <w:p>
      <w:pPr>
        <w:spacing w:after="100" w:before="60"/>
        <w:jc w:val="both"/>
      </w:pPr>
      <w:r>
        <w:rPr>
          <w:rFonts w:ascii="Arial" w:cs="Arial" w:eastAsia="Arial" w:hAnsi="Arial"/>
          <w:color w:val="1F2937"/>
          <w:sz w:val="20"/>
          <w:szCs w:val="20"/>
        </w:rPr>
        <w:t xml:space="preserve">세 수치(73%, 45%, 47%)는 동일 모집단, 즉 대법원 선별 공개 판례에서 측정된 값입니다. 이 모집단은 전체 소송의 0.01% 미만이며 법리 판단이 가장 어렵고 불확실성이 가장 높은 사건들의 집합입니다. 원심의 45%는 원심 법관의 역량 부족이 아니라 측정 대상 자체의 극단적 난이도를 반영합니다.</w:t>
      </w:r>
    </w:p>
    <w:p>
      <w:pPr>
        <w:spacing w:after="100" w:before="60"/>
        <w:jc w:val="both"/>
      </w:pPr>
      <w:r>
        <w:rPr>
          <w:rFonts w:ascii="Arial" w:cs="Arial" w:eastAsia="Arial" w:hAnsi="Arial"/>
          <w:color w:val="1F2937"/>
          <w:sz w:val="20"/>
          <w:szCs w:val="20"/>
        </w:rPr>
        <w:t xml:space="preserve">1심(47%)이 2심(45%)보다 일치도가 높은 역전 현상은 선택 편향의 효과입니다. 법리특수 사건에서 2심의 교정적 개입이 오히려 대법원 판단과 어긋나는 경우가 일부 존재합니다. 이는 상급심 교정의 한계에 관한 실증적 단서를 제공합니다.</w:t>
      </w:r>
    </w:p>
    <w:p>
      <w:pPr>
        <w:spacing w:after="60" w:before="60"/>
      </w:pPr>
    </w:p>
    <w:p>
      <w:pPr>
        <w:pStyle w:val="Heading2"/>
        <w:spacing w:after="120" w:before="280"/>
      </w:pPr>
      <w:r>
        <w:rPr>
          <w:rFonts w:ascii="Arial" w:cs="Arial" w:eastAsia="Arial" w:hAnsi="Arial"/>
          <w:b/>
          <w:bCs/>
          <w:color w:val="2E5FA3"/>
          <w:sz w:val="26"/>
          <w:szCs w:val="26"/>
        </w:rPr>
        <w:t xml:space="preserve">6.3 법조계에 대한 세 가지 핵심 명제</w:t>
      </w:r>
    </w:p>
    <w:p>
      <w:pPr>
        <w:pStyle w:val="Heading3"/>
        <w:spacing w:after="80" w:before="200"/>
      </w:pPr>
      <w:r>
        <w:rPr>
          <w:rFonts w:ascii="Arial" w:cs="Arial" w:eastAsia="Arial" w:hAnsi="Arial"/>
          <w:b/>
          <w:bCs/>
          <w:color w:val="1F7A6E"/>
          <w:sz w:val="22"/>
          <w:szCs w:val="22"/>
        </w:rPr>
        <w:t xml:space="preserve">명제 1: K-Law는 판사를 대체하지 않는다. 사실 불확실성을 감소시킨다.</w:t>
      </w:r>
    </w:p>
    <w:p>
      <w:pPr>
        <w:spacing w:after="100" w:before="60"/>
        <w:jc w:val="both"/>
      </w:pPr>
      <w:r>
        <w:rPr>
          <w:rFonts w:ascii="Arial" w:cs="Arial" w:eastAsia="Arial" w:hAnsi="Arial"/>
          <w:color w:val="1F2937"/>
          <w:sz w:val="20"/>
          <w:szCs w:val="20"/>
        </w:rPr>
        <w:t xml:space="preserve">K-Law의 현재 역할은 판결을 대신 내리는 것이 아닙니다. 주어진 사실관계 하에서 법리적으로 정합적인 결론이 무엇인지를 빠르게 산출하여, 소송 당사자와 법률 대리인이 더 나은 정보를 바탕으로 의사결정을 내릴 수 있도록 돕는 것입니다. 변호사는 의뢰인에게 '이 사건이 대법원까지 가면 어떻게 될 것인가'를 조언합니다. K-Law는 이 조언의 법리적 기초를 체계적으로 점검하는 도구로 활용될 수 있습니다.</w:t>
      </w:r>
    </w:p>
    <w:p>
      <w:pPr>
        <w:pStyle w:val="Heading3"/>
        <w:spacing w:after="80" w:before="200"/>
      </w:pPr>
      <w:r>
        <w:rPr>
          <w:rFonts w:ascii="Arial" w:cs="Arial" w:eastAsia="Arial" w:hAnsi="Arial"/>
          <w:b/>
          <w:bCs/>
          <w:color w:val="1F7A6E"/>
          <w:sz w:val="22"/>
          <w:szCs w:val="22"/>
        </w:rPr>
        <w:t xml:space="preserve">명제 2: 사실심의 핵심 가치는 사실 확정이다 — AI가 실증한다.</w:t>
      </w:r>
    </w:p>
    <w:p>
      <w:pPr>
        <w:spacing w:after="100" w:before="60"/>
        <w:jc w:val="both"/>
      </w:pPr>
      <w:r>
        <w:rPr>
          <w:rFonts w:ascii="Arial" w:cs="Arial" w:eastAsia="Arial" w:hAnsi="Arial"/>
          <w:color w:val="1F2937"/>
          <w:sz w:val="20"/>
          <w:szCs w:val="20"/>
        </w:rPr>
        <w:t xml:space="preserve">K-Law의 법리 판단 엔진이 아무리 정교해져도, 사실이 확정되지 않으면 정확한 판단이 불가능합니다. 입력 정보 완전성 계수 g = 0.785인 한, 일치도 상한은 78.5%입니다. 당사자의 말을 듣고, 증거를 평가하고, 진실에 가장 가까운 사실관계를 법적으로 인정하는 행위는 어떤 AI 시스템도 대체할 수 없는 사법의 핵심 기능입니다. 역설적으로, 이 연구는 사실심의 불가결성을 가장 강력하게 실증하는 결과를 산출했습니다.</w:t>
      </w:r>
    </w:p>
    <w:p>
      <w:pPr>
        <w:pStyle w:val="Heading3"/>
        <w:spacing w:after="80" w:before="200"/>
      </w:pPr>
      <w:r>
        <w:rPr>
          <w:rFonts w:ascii="Arial" w:cs="Arial" w:eastAsia="Arial" w:hAnsi="Arial"/>
          <w:b/>
          <w:bCs/>
          <w:color w:val="1F7A6E"/>
          <w:sz w:val="22"/>
          <w:szCs w:val="22"/>
        </w:rPr>
        <w:t xml:space="preserve">명제 3: 73%는 법리 판단 가능성의 하한값이다.</w:t>
      </w:r>
    </w:p>
    <w:p>
      <w:pPr>
        <w:spacing w:after="100" w:before="60"/>
        <w:jc w:val="both"/>
      </w:pPr>
      <w:r>
        <w:rPr>
          <w:rFonts w:ascii="Arial" w:cs="Arial" w:eastAsia="Arial" w:hAnsi="Arial"/>
          <w:color w:val="1F2937"/>
          <w:sz w:val="20"/>
          <w:szCs w:val="20"/>
        </w:rPr>
        <w:t xml:space="preserve">73%는 가장 어려운 사건(법리특수, 전원합의체 논의 대상, 하급심 견해 불일치)에서 측정된 하한값입니다. 전체 소송 사건으로 확장하면 87~92%로 상향 추정됩니다〔추정치〕. 대법원이 판례를 통해 선언한 법리는 사건요지 1페이지라는 제한된 정보만으로도 73%의 정확도로 재현 가능합니다. 이것은 법리 그 자체가 상당한 수준의 체계성과 예측 가능성을 갖추고 있음을 실증합니다.</w:t>
      </w:r>
    </w:p>
    <w:p>
      <w:pPr>
        <w:spacing w:after="60" w:before="60"/>
      </w:pPr>
    </w:p>
    <w:p>
      <w:pPr>
        <w:pStyle w:val="Heading2"/>
        <w:spacing w:after="120" w:before="280"/>
      </w:pPr>
      <w:r>
        <w:rPr>
          <w:rFonts w:ascii="Arial" w:cs="Arial" w:eastAsia="Arial" w:hAnsi="Arial"/>
          <w:b/>
          <w:bCs/>
          <w:color w:val="2E5FA3"/>
          <w:sz w:val="26"/>
          <w:szCs w:val="26"/>
        </w:rPr>
        <w:t xml:space="preserve">6.4 보존해야 할 불확실성 — 4%의 의미</w:t>
      </w:r>
    </w:p>
    <w:p>
      <w:pPr>
        <w:spacing w:after="100" w:before="60"/>
        <w:jc w:val="both"/>
      </w:pPr>
      <w:r>
        <w:rPr>
          <w:rFonts w:ascii="Arial" w:cs="Arial" w:eastAsia="Arial" w:hAnsi="Arial"/>
          <w:color w:val="1F2937"/>
          <w:sz w:val="20"/>
          <w:szCs w:val="20"/>
        </w:rPr>
        <w:t xml:space="preserve">잔여 불일치 중 약 4%는 어떤 방법론으로도 해소할 수 없습니다. AI 시스템은 기존 대법원 공리계를 추종하므로, 전원합의체가 그 공리계 자체를 변경하는 사건은 원천적으로 예측 불가능합니다.</w:t>
      </w:r>
    </w:p>
    <w:p>
      <w:pPr>
        <w:spacing w:after="100" w:before="60"/>
        <w:jc w:val="both"/>
      </w:pPr>
      <w:r>
        <w:rPr>
          <w:rFonts w:ascii="Arial" w:cs="Arial" w:eastAsia="Arial" w:hAnsi="Arial"/>
          <w:color w:val="1F2937"/>
          <w:sz w:val="20"/>
          <w:szCs w:val="20"/>
        </w:rPr>
        <w:t xml:space="preserve">이것은 AI의 한계이기도 하지만, 동시에 사법의 본질이기도 합니다. 법은 변합니다. 사회적 합의가 달라지고, 정의의 내용이 진화하며, 법관의 집단적 판단이 축적되면서 판례는 스스로를 갱신합니다. 이 4%의 예측 불가능 영역은 법이 단순한 논리 기계가 아니라 시대와 함께 호흡하는 규범 체계임을 보여주는 실증적 증거입니다.</w:t>
      </w:r>
    </w:p>
    <w:p>
      <w:pPr>
        <w:spacing w:after="60" w:before="60"/>
      </w:pPr>
    </w:p>
    <w:p>
      <w:pPr>
        <w:pStyle w:val="Heading2"/>
        <w:spacing w:after="120" w:before="280"/>
      </w:pPr>
      <w:r>
        <w:rPr>
          <w:rFonts w:ascii="Arial" w:cs="Arial" w:eastAsia="Arial" w:hAnsi="Arial"/>
          <w:b/>
          <w:bCs/>
          <w:color w:val="2E5FA3"/>
          <w:sz w:val="26"/>
          <w:szCs w:val="26"/>
        </w:rPr>
        <w:t xml:space="preserve">6.5 향후 연구 과제 — 법조계의 참여가 필요한 영역</w:t>
      </w:r>
    </w:p>
    <w:p>
      <w:pPr>
        <w:spacing w:after="60" w:before="60"/>
        <w:ind w:left="360"/>
        <w:jc w:val="both"/>
      </w:pPr>
      <w:r>
        <w:rPr>
          <w:rFonts w:ascii="Arial" w:cs="Arial" w:eastAsia="Arial" w:hAnsi="Arial"/>
          <w:color w:val="1F2937"/>
          <w:sz w:val="20"/>
          <w:szCs w:val="20"/>
        </w:rPr>
        <w:t xml:space="preserve">• 인간 전문가 블라인드 평가: 법학 전문가 3인 이상의 독립 평가(Cohen's κ)를 통해 LLM 기반 평가의 노이즈를 보정.</w:t>
      </w:r>
    </w:p>
    <w:p>
      <w:pPr>
        <w:spacing w:after="60" w:before="60"/>
        <w:ind w:left="360"/>
        <w:jc w:val="both"/>
      </w:pPr>
      <w:r>
        <w:rPr>
          <w:rFonts w:ascii="Arial" w:cs="Arial" w:eastAsia="Arial" w:hAnsi="Arial"/>
          <w:color w:val="1F2937"/>
          <w:sz w:val="20"/>
          <w:szCs w:val="20"/>
        </w:rPr>
        <w:t xml:space="preserve">• Layer 1·2 실측: 1심 확정 사건(Layer 1, ~79%)과 2심 확정 사건(Layer 2-A, ~15%)에 대한 실측 데이터 확보. 가중 평균 87~92% 추정치 검증.</w:t>
      </w:r>
    </w:p>
    <w:p>
      <w:pPr>
        <w:spacing w:after="60" w:before="60"/>
        <w:ind w:left="360"/>
        <w:jc w:val="both"/>
      </w:pPr>
      <w:r>
        <w:rPr>
          <w:rFonts w:ascii="Arial" w:cs="Arial" w:eastAsia="Arial" w:hAnsi="Arial"/>
          <w:color w:val="1F2937"/>
          <w:sz w:val="20"/>
          <w:szCs w:val="20"/>
        </w:rPr>
        <w:t xml:space="preserve">• 완전 사실 입력 파일럿: 의뢰인 협조 하에 실제 사건 V-1~V-4 사실 검증 메커니즘 적용. g값 단계별 향상 추정치 실측 검증.</w:t>
      </w:r>
    </w:p>
    <w:p>
      <w:pPr>
        <w:spacing w:after="60" w:before="60"/>
        <w:ind w:left="360"/>
        <w:jc w:val="both"/>
      </w:pPr>
      <w:r>
        <w:rPr>
          <w:rFonts w:ascii="Arial" w:cs="Arial" w:eastAsia="Arial" w:hAnsi="Arial"/>
          <w:color w:val="1F2937"/>
          <w:sz w:val="20"/>
          <w:szCs w:val="20"/>
        </w:rPr>
        <w:t xml:space="preserve">• 법리 판단 오류 유형화: 잔여 27% 불일치의 내부 구조(D-1~D-4)를 법학 전문가 개별 사건 검토로 정밀 분류.</w:t>
      </w:r>
    </w:p>
    <w:p>
      <w:pPr>
        <w:spacing w:after="60" w:before="60"/>
      </w:pPr>
    </w:p>
    <w:p>
      <w:pPr>
        <w:pStyle w:val="Heading2"/>
        <w:spacing w:after="120" w:before="280"/>
      </w:pPr>
      <w:r>
        <w:rPr>
          <w:rFonts w:ascii="Arial" w:cs="Arial" w:eastAsia="Arial" w:hAnsi="Arial"/>
          <w:b/>
          <w:bCs/>
          <w:color w:val="2E5FA3"/>
          <w:sz w:val="26"/>
          <w:szCs w:val="26"/>
        </w:rPr>
        <w:t xml:space="preserve">6.6 최종 결론</w:t>
      </w:r>
    </w:p>
    <w:p>
      <w:pPr>
        <w:pBdr>
          <w:left w:val="single" w:color="1B3A6B" w:sz="16" w:space="8"/>
        </w:pBdr>
        <w:shd w:fill="EFF4FB" w:val="clear"/>
        <w:spacing w:after="100" w:before="60"/>
        <w:ind w:left="440" w:right="440"/>
        <w:jc w:val="both"/>
      </w:pPr>
      <w:r>
        <w:rPr>
          <w:rFonts w:ascii="Arial" w:cs="Arial" w:eastAsia="Arial" w:hAnsi="Arial"/>
          <w:i/>
          <w:iCs/>
          <w:color w:val="374151"/>
          <w:sz w:val="18"/>
          <w:szCs w:val="18"/>
        </w:rPr>
        <w:t xml:space="preserve">사법 불확실성에는 두 가지 얼굴이 있습니다. 하나는 제거해야 할 불확실성입니다 — 사실 확정의 불완전성, 법리 해석의 불필요한 분산, 심리 부담으로 인한 오류. 다른 하나는 보존해야 할 불확실성입니다 — 전원합의체 판례 변경이 만들어내는 4%의 예측 불가능 영역. 이것은 법의 경직성이 아니라 법의 생명력입니다.
K-Law는 인간 법관과 경쟁하지 않습니다. AI가 법리 판단의 체계성과 예측 가능성을 높이는 동안, 인간 법관은 사실 확정의 정밀성과 규범 진화의 방향성을 책임지는 상보적 구조를 제안합니다.</w:t>
      </w:r>
    </w:p>
    <w:p>
      <w:pPr>
        <w:spacing w:after="60" w:before="60"/>
      </w:pPr>
    </w:p>
    <w:p>
      <w:pPr>
        <w:pBdr>
          <w:bottom w:val="single" w:color="D1D5DB" w:sz="4" w:space="2"/>
        </w:pBdr>
        <w:spacing w:after="120" w:before="120"/>
      </w:pPr>
    </w:p>
    <w:p>
      <w:pPr>
        <w:pStyle w:val="Heading2"/>
        <w:spacing w:after="120" w:before="280"/>
      </w:pPr>
      <w:r>
        <w:rPr>
          <w:rFonts w:ascii="Arial" w:cs="Arial" w:eastAsia="Arial" w:hAnsi="Arial"/>
          <w:b/>
          <w:bCs/>
          <w:color w:val="2E5FA3"/>
          <w:sz w:val="26"/>
          <w:szCs w:val="26"/>
        </w:rPr>
        <w:t xml:space="preserve">참고 문헌</w:t>
      </w:r>
    </w:p>
    <w:p>
      <w:pPr>
        <w:spacing w:after="60" w:before="60"/>
        <w:ind w:left="360" w:hanging="360"/>
        <w:jc w:val="both"/>
      </w:pPr>
      <w:r>
        <w:rPr>
          <w:rFonts w:ascii="Arial" w:cs="Arial" w:eastAsia="Arial" w:hAnsi="Arial"/>
          <w:color w:val="4B5563"/>
          <w:sz w:val="18"/>
          <w:szCs w:val="18"/>
        </w:rPr>
        <w:t xml:space="preserve">[1] 법원행정처, 「2025 사법연감」(2024년도 통계), 2025.</w:t>
      </w:r>
    </w:p>
    <w:p>
      <w:pPr>
        <w:spacing w:after="60" w:before="60"/>
        <w:ind w:left="360" w:hanging="360"/>
        <w:jc w:val="both"/>
      </w:pPr>
      <w:r>
        <w:rPr>
          <w:rFonts w:ascii="Arial" w:cs="Arial" w:eastAsia="Arial" w:hAnsi="Arial"/>
          <w:color w:val="4B5563"/>
          <w:sz w:val="18"/>
          <w:szCs w:val="18"/>
        </w:rPr>
        <w:t xml:space="preserve">[2] 법원행정처, 「2024 사법연감」(2023년도 통계), 2024.</w:t>
      </w:r>
    </w:p>
    <w:p>
      <w:pPr>
        <w:spacing w:after="60" w:before="60"/>
        <w:ind w:left="360" w:hanging="360"/>
        <w:jc w:val="both"/>
      </w:pPr>
      <w:r>
        <w:rPr>
          <w:rFonts w:ascii="Arial" w:cs="Arial" w:eastAsia="Arial" w:hAnsi="Arial"/>
          <w:color w:val="4B5563"/>
          <w:sz w:val="18"/>
          <w:szCs w:val="18"/>
        </w:rPr>
        <w:t xml:space="preserve">[3] 사법정책연구원(JPI), 재판 지연 및 하급심 충실화 방안 연구 보고서.</w:t>
      </w:r>
    </w:p>
    <w:p>
      <w:pPr>
        <w:spacing w:after="60" w:before="60"/>
        <w:ind w:left="360" w:hanging="360"/>
        <w:jc w:val="both"/>
      </w:pPr>
      <w:r>
        <w:rPr>
          <w:rFonts w:ascii="Arial" w:cs="Arial" w:eastAsia="Arial" w:hAnsi="Arial"/>
          <w:color w:val="4B5563"/>
          <w:sz w:val="18"/>
          <w:szCs w:val="18"/>
        </w:rPr>
        <w:t xml:space="preserve">[4] Lewis, P. et al. (2020). Retrieval-Augmented Generation for Knowledge-Intensive NLP Tasks. NeurIPS 2020.</w:t>
      </w:r>
    </w:p>
    <w:p>
      <w:pPr>
        <w:spacing w:after="60" w:before="60"/>
        <w:ind w:left="360" w:hanging="360"/>
        <w:jc w:val="both"/>
      </w:pPr>
      <w:r>
        <w:rPr>
          <w:rFonts w:ascii="Arial" w:cs="Arial" w:eastAsia="Arial" w:hAnsi="Arial"/>
          <w:color w:val="4B5563"/>
          <w:sz w:val="18"/>
          <w:szCs w:val="18"/>
        </w:rPr>
        <w:t xml:space="preserve">[5] Guha, N. et al. (2023). LegalBench: Probing Legal Reasoning in Large Language Models. ACL 2023.</w:t>
      </w:r>
    </w:p>
    <w:p>
      <w:pPr>
        <w:spacing w:after="60" w:before="60"/>
        <w:ind w:left="360" w:hanging="360"/>
        <w:jc w:val="both"/>
      </w:pPr>
      <w:r>
        <w:rPr>
          <w:rFonts w:ascii="Arial" w:cs="Arial" w:eastAsia="Arial" w:hAnsi="Arial"/>
          <w:color w:val="4B5563"/>
          <w:sz w:val="18"/>
          <w:szCs w:val="18"/>
        </w:rPr>
        <w:t xml:space="preserve">[6] [저자 확인 필요] Evaluating Legal Hallucination in Large Language Models. Legal-NLP Workshop, EMNLP 2024. 〔DOI 최종 확인 필요〕</w:t>
      </w:r>
    </w:p>
    <w:p>
      <w:pPr>
        <w:spacing w:after="60" w:before="60"/>
        <w:ind w:left="360" w:hanging="360"/>
        <w:jc w:val="both"/>
      </w:pPr>
      <w:r>
        <w:rPr>
          <w:rFonts w:ascii="Arial" w:cs="Arial" w:eastAsia="Arial" w:hAnsi="Arial"/>
          <w:color w:val="4B5563"/>
          <w:sz w:val="18"/>
          <w:szCs w:val="18"/>
        </w:rPr>
        <w:t xml:space="preserve">[7] K-Law 버전별 성능 이력 및 회귀 테스트 로그: https://github.com/nounweb/k-law/benchmarks</w:t>
      </w:r>
    </w:p>
    <w:p>
      <w:pPr>
        <w:spacing w:after="60" w:before="60"/>
        <w:ind w:left="360" w:hanging="360"/>
        <w:jc w:val="both"/>
      </w:pPr>
      <w:r>
        <w:rPr>
          <w:rFonts w:ascii="Arial" w:cs="Arial" w:eastAsia="Arial" w:hAnsi="Arial"/>
          <w:color w:val="4B5563"/>
          <w:sz w:val="18"/>
          <w:szCs w:val="18"/>
        </w:rPr>
        <w:t xml:space="preserve">[8] 한국전력공사(KEPCO) 전기요금 고시, 산업용 전력(을) 고압A 선택요금제 기준 평균 판매단가.</w:t>
      </w:r>
    </w:p>
    <w:p>
      <w:pPr>
        <w:spacing w:after="60" w:before="60"/>
      </w:pPr>
    </w:p>
    <w:p>
      <w:pPr>
        <w:pBdr>
          <w:bottom w:val="single" w:color="D1D5DB" w:sz="4" w:space="2"/>
        </w:pBdr>
        <w:spacing w:after="120" w:before="120"/>
      </w:pPr>
    </w:p>
    <w:p>
      <w:pPr>
        <w:spacing w:after="80" w:before="80"/>
        <w:jc w:val="center"/>
      </w:pPr>
      <w:r>
        <w:rPr>
          <w:rFonts w:ascii="Arial" w:cs="Arial" w:eastAsia="Arial" w:hAnsi="Arial"/>
          <w:color w:val="9CA3AF"/>
          <w:sz w:val="18"/>
          <w:szCs w:val="18"/>
        </w:rPr>
        <w:t xml:space="preserve">본 보고서(v2.1)는 동료 심사(peer review) 요건 충족을 위한 내부 준비판입니다. 실연 평가: </w:t>
      </w:r>
      <w:r>
        <w:rPr>
          <w:rFonts w:ascii="Arial" w:cs="Arial" w:eastAsia="Arial" w:hAnsi="Arial"/>
          <w:color w:val="2E5FA3"/>
          <w:sz w:val="18"/>
          <w:szCs w:val="18"/>
          <w:u w:val="single"/>
        </w:rPr>
        <w:t xml:space="preserve">openhash.kr</w:t>
      </w:r>
      <w:r>
        <w:rPr>
          <w:rFonts w:ascii="Arial" w:cs="Arial" w:eastAsia="Arial" w:hAnsi="Arial"/>
          <w:color w:val="9CA3AF"/>
          <w:sz w:val="18"/>
          <w:szCs w:val="18"/>
        </w:rPr>
        <w:t xml:space="preserve">  |  코드: </w:t>
      </w:r>
      <w:r>
        <w:rPr>
          <w:rFonts w:ascii="Arial" w:cs="Arial" w:eastAsia="Arial" w:hAnsi="Arial"/>
          <w:color w:val="2E5FA3"/>
          <w:sz w:val="18"/>
          <w:szCs w:val="18"/>
          <w:u w:val="single"/>
        </w:rPr>
        <w:t xml:space="preserve">github.com/nounweb/k-law</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9CA3AF"/>
        <w:sz w:val="16"/>
        <w:szCs w:val="16"/>
      </w:rPr>
      <w:t xml:space="preserve">K-Law 실증 결과 보고서 v2.1  |  AI City Inc. / K-Law Inc.  |  </w:t>
    </w:r>
    <w:r>
      <w:rPr>
        <w:rFonts w:ascii="Arial" w:cs="Arial" w:eastAsia="Arial" w:hAnsi="Arial"/>
        <w:color w:val="9CA3AF"/>
        <w:sz w:val="16"/>
        <w:szCs w:val="16"/>
      </w:rPr>
      <w:t xml:space="preserve">p.</w:t>
      <type>pageNumber</typ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00"/>
      <w:outlineLvl w:val="0"/>
    </w:pPr>
    <w:rPr>
      <w:rFonts w:ascii="Arial" w:cs="Arial" w:eastAsia="Arial" w:hAnsi="Arial"/>
      <w:b/>
      <w:bCs/>
      <w:color w:val="1B3A6B"/>
      <w:sz w:val="32"/>
      <w:szCs w:val="32"/>
    </w:rPr>
  </w:style>
  <w:style w:type="paragraph" w:styleId="Heading2">
    <w:name w:val="Heading 2"/>
    <w:basedOn w:val="Normal"/>
    <w:next w:val="Normal"/>
    <w:qFormat/>
    <w:pPr>
      <w:spacing w:after="120" w:before="280"/>
      <w:outlineLvl w:val="1"/>
    </w:pPr>
    <w:rPr>
      <w:rFonts w:ascii="Arial" w:cs="Arial" w:eastAsia="Arial" w:hAnsi="Arial"/>
      <w:b/>
      <w:bCs/>
      <w:color w:val="2E5FA3"/>
      <w:sz w:val="26"/>
      <w:szCs w:val="26"/>
    </w:rPr>
  </w:style>
  <w:style w:type="paragraph" w:styleId="Heading3">
    <w:name w:val="Heading 3"/>
    <w:basedOn w:val="Normal"/>
    <w:next w:val="Normal"/>
    <w:qFormat/>
    <w:pPr>
      <w:spacing w:after="80" w:before="200"/>
      <w:outlineLvl w:val="2"/>
    </w:pPr>
    <w:rPr>
      <w:rFonts w:ascii="Arial" w:cs="Arial" w:eastAsia="Arial" w:hAnsi="Arial"/>
      <w:b/>
      <w:bCs/>
      <w:color w:val="1F7A6E"/>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2026-05-19T08:08:31.092Z</dcterms:created>
  <dcterms:modified xsi:type="dcterms:W3CDTF">2026-05-19T08:08:31.092Z</dcterms:modified>
</cp:coreProperties>
</file>

<file path=docProps/custom.xml><?xml version="1.0" encoding="utf-8"?>
<Properties xmlns="http://schemas.openxmlformats.org/officeDocument/2006/custom-properties" xmlns:vt="http://schemas.openxmlformats.org/officeDocument/2006/docPropsVTypes"/>
</file>