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rFonts w:ascii="Arial" w:cs="Arial" w:eastAsia="Arial" w:hAnsi="Arial"/>
          <w:b/>
          <w:bCs/>
          <w:color w:val="1F4E79"/>
          <w:sz w:val="48"/>
          <w:szCs w:val="48"/>
        </w:rPr>
        <w:t xml:space="preserve">POLÍTICA DE HOME OFFICE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[Nome da Empresa]  |  Versão 1.0  |  14/06/2026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OBJETIVO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Estabelecer as diretrizes, requisitos e responsabilidades para a modalidade de trabalho em home office (teletrabalho), garantindo produtividade, segurança da informação, bem-estar e cumprimento das obrigações legais previstas na CLT.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ABRANGÊNCIA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Esta política aplica-se a todos os colaboradores elegíveis ao regime de home office, conforme definição do gestor imediato e aprovação do RH.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MODALIDADES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Modalidade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Descrição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Home Office Total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Colaborador trabalha 100% remotamente, com visitas presenciais programadas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Híbrido Fixo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Dias fixos presenciais e remotos definidos com o gestor (ex: 3x presencial / 2x remoto)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Híbrido Flexível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Colaborador escolhe os dias, respeitando mínimo de dias presenciais por mês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Eventual / Ad hoc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Home office pontual, autorizado caso a caso pelo gestor</w:t>
            </w:r>
          </w:p>
        </w:tc>
      </w:tr>
    </w:tbl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CRITÉRIOS DE ELEGIBILIDADE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Ter no mínimo 3 meses de empresa (período de experiência cumprido)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Possuir avaliação de desempenho satisfatória no último ciclo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Função compatível com o trabalho remoto (a critério do gestor e RH)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Dispor de espaço adequado, internet de qualidade e equipamento mínimo necessário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Colaboradores em processo de PIP (Plano de Melhoria de Desempenho) não são elegíveis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INFRAESTRUTURA E RESPONSABILIDADES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5.1 De responsabilidade do colaborador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Internet banda larga estável (mínimo 30 Mbps recomendado)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Espaço silencioso, iluminado e ergonomicamente adequado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Mesa, cadeira e condições para trabalho sem distrações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Energia elétrica e backup de conexão para reuniões críticas</w:t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5.2 De responsabilidade da empresa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Notebook corporativo e acessórios essenciais (mouse, headset)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Licenças de software e acesso às ferramentas de trabalho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VPN corporativa para acesso seguro aos sistemas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Suporte técnico remoto de TI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Nota: Auxílio-home-office no valor de R$ [valor]/mês para custeio de internet e energia — sujeito a tributação conforme legislação vigente.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6. JORNADA E DISPONIBILIDADE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jornada contratual não se altera em home office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Colaborador deve estar disponível no horário comercial e responder comunicações em até [X] minutos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Registro de ponto pelo sistema [nome do sistema] — obrigatório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Reuniões com câmera ligada são esperadas, salvo alinhamento prévio com o gestor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Ausências e saídas devem ser comunicadas ao gestor com antecedência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7. SEGURANÇA DA INFORMAÇÃO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Sempre utilizar VPN corporativa ao acessar sistemas da empresa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Proibido usar redes Wi-Fi públicas (cafés, aeroportos) para trabalho sem VPN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Tela bloqueada quando o colaborador se afastar do computador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Documentos físicos com dados sensíveis devem ser destruídos de forma segura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Incidentes de segurança (perda de equipamento, acesso suspeito) devem ser reportados imediatamente ao TI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8. SAÚDE E ERGONOMIA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empresa recomenda pausas de 5 a 10 minutos a cada hora de trabalho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Configuração ergonômica: tela na altura dos olhos, cadeira com apoio lombar, pés apoiados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Colaboradores em home office têm os mesmos direitos em caso de acidente de trabalho — comunicar ao RH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 RH pode realizar visitas ou solicitar fotos do local de trabalho para validação das condições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9. REVOGAÇÃO DO HOME OFFICE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 empresa pode revogar ou suspender o home office, com aviso de 15 dias, nos seguintes casos: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Queda de produtividade ou desempenho abaixo do esperado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Descumprimento das diretrizes desta política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Necessidade operacional ou mudança de função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Decisão estratégica da empresa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10. DISPOSIÇÕES GERAIS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Esta política é complementar ao contrato de trabalho e ao Manual do Colaborador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Casos omissos serão avaliados pelo RH em conjunto com o gestor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 empresa reserva-se o direito de atualizar esta política a qualquer tempo, com comunicação prévia de 15 dias</w:t>
      </w:r>
    </w:p>
    <w:p>
      <w:pPr>
        <w:pBdr>
          <w:bottom w:val="single" w:color="2E75B6" w:sz="6" w:space="1"/>
        </w:pBdr>
        <w:spacing w:after="160" w:before="160"/>
      </w:pPr>
    </w:p>
    <w:p>
      <w:pPr>
        <w:pStyle w:val="Heading1"/>
        <w:spacing w:after="160" w:before="30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11. ACEITE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Li, compreendi e concordo com os termos desta Política de Home Office.</w:t>
      </w:r>
    </w:p>
    <w:p>
      <w:pPr>
        <w:spacing w:after="80" w:before="720"/>
      </w:pPr>
      <w:r>
        <w:rPr>
          <w:rFonts w:ascii="Arial" w:cs="Arial" w:eastAsia="Arial" w:hAnsi="Arial"/>
          <w:sz w:val="22"/>
          <w:szCs w:val="22"/>
        </w:rPr>
        <w:t xml:space="preserve">Colaborador: _______________________________     Data: ___/___/______</w:t>
      </w:r>
    </w:p>
    <w:p>
      <w:pPr>
        <w:spacing w:after="80" w:before="200"/>
      </w:pPr>
      <w:r>
        <w:rPr>
          <w:rFonts w:ascii="Arial" w:cs="Arial" w:eastAsia="Arial" w:hAnsi="Arial"/>
          <w:sz w:val="22"/>
          <w:szCs w:val="22"/>
        </w:rPr>
        <w:t xml:space="preserve">Gestor: ____________________________________     Data: ___/___/______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2026-06-14T02:00:59.535Z</dcterms:created>
  <dcterms:modified xsi:type="dcterms:W3CDTF">2026-06-14T02:00:59.535Z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