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60" w:line="276" w:lineRule="auto"/>
      </w:pPr>
      <w:r>
        <w:rPr>
          <w:rFonts w:ascii="Arial" w:hAnsi="Arial" w:cs="Arial" w:eastAsia="Arial"/>
          <w:b w:val="0"/>
          <w:i w:val="0"/>
          <w:color w:val="4C39CA"/>
          <w:sz w:val="26"/>
        </w:rPr>
        <w:t>Company-wide rules for all commission plans:</w:t>
      </w:r>
    </w:p>
    <w:p>
      <w:pPr>
        <w:keepNext/>
        <w:spacing w:before="0" w:after="0" w:line="240" w:lineRule="auto"/>
      </w:pPr>
      <w:r>
        <w:rPr>
          <w:rFonts w:ascii="Arial" w:hAnsi="Arial" w:cs="Arial" w:eastAsia="Arial"/>
          <w:b w:val="0"/>
          <w:i w:val="0"/>
          <w:color w:val="110663"/>
          <w:sz w:val="64"/>
        </w:rPr>
        <w:t>Commission policy</w:t>
      </w:r>
    </w:p>
    <w:p>
      <w:pPr>
        <w:pBdr>
          <w:bottom w:val="single" w:sz="24" w:space="1" w:color="46D3F7"/>
        </w:pBdr>
        <w:spacing w:before="120" w:after="160" w:line="276" w:lineRule="auto"/>
        <w:ind w:right="7726"/>
      </w:pPr>
    </w:p>
    <w:p>
      <w:pPr>
        <w:spacing w:before="0" w:after="360" w:line="276" w:lineRule="auto"/>
      </w:pPr>
      <w:r>
        <w:rPr>
          <w:rFonts w:ascii="Arial" w:hAnsi="Arial" w:cs="Arial" w:eastAsia="Arial"/>
          <w:b w:val="0"/>
          <w:i w:val="0"/>
          <w:color w:val="A1A0BD"/>
          <w:sz w:val="22"/>
        </w:rPr>
        <w:t>Template with guidance · Free from Prowi</w:t>
      </w:r>
    </w:p>
    <w:p>
      <w:pPr>
        <w:pBdr>
          <w:top w:val="single" w:sz="4" w:space="6" w:color="F4F1FE"/>
          <w:left w:val="single" w:sz="18" w:space="6" w:color="4C39CA"/>
          <w:bottom w:val="single" w:sz="4" w:space="6" w:color="F4F1FE"/>
          <w:right w:val="single" w:sz="4" w:space="6" w:color="F4F1FE"/>
        </w:pBdr>
        <w:shd w:val="clear" w:color="auto" w:fill="F4F1FE"/>
        <w:spacing w:before="0" w:after="240" w:line="276" w:lineRule="auto"/>
        <w:ind w:left="140" w:right="120"/>
      </w:pPr>
      <w:r>
        <w:rPr>
          <w:rFonts w:ascii="Arial" w:hAnsi="Arial" w:cs="Arial" w:eastAsia="Arial"/>
          <w:b/>
          <w:i w:val="0"/>
          <w:color w:val="110663"/>
          <w:sz w:val="21"/>
        </w:rPr>
        <w:t>This template is a starting point, not legal advice. Commission, deductions from pay and plan changes are regulated differently in each country and US state. Adapt it to local law, your employment contracts and any collective agreement, and have it reviewed by local employment counsel before you use it.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 xml:space="preserve">Fill in the fields in </w:t>
      </w:r>
      <w:r>
        <w:rPr>
          <w:rFonts w:ascii="Arial" w:hAnsi="Arial" w:cs="Arial" w:eastAsia="Arial"/>
          <w:b w:val="0"/>
          <w:i/>
          <w:color w:val="4C39CA"/>
          <w:sz w:val="19"/>
          <w:shd w:val="clear" w:color="auto" w:fill="E6E0FB"/>
        </w:rPr>
        <w:t>[lavender brackets]</w:t>
      </w:r>
      <w:r>
        <w:rPr>
          <w:rFonts w:ascii="Arial" w:hAnsi="Arial" w:cs="Arial" w:eastAsia="Arial"/>
          <w:b w:val="0"/>
          <w:i/>
          <w:color w:val="4A4775"/>
          <w:sz w:val="19"/>
        </w:rPr>
        <w:t xml:space="preserve">. Where it says </w:t>
      </w:r>
      <w:r>
        <w:rPr>
          <w:rFonts w:ascii="Arial" w:hAnsi="Arial" w:cs="Arial" w:eastAsia="Arial"/>
          <w:b w:val="0"/>
          <w:i/>
          <w:color w:val="4C39CA"/>
          <w:sz w:val="19"/>
          <w:shd w:val="clear" w:color="auto" w:fill="E6E0FB"/>
        </w:rPr>
        <w:t>[Choose: ... / ...]</w:t>
      </w:r>
      <w:r>
        <w:rPr>
          <w:rFonts w:ascii="Arial" w:hAnsi="Arial" w:cs="Arial" w:eastAsia="Arial"/>
          <w:b w:val="0"/>
          <w:i/>
          <w:color w:val="4A4775"/>
          <w:sz w:val="19"/>
        </w:rPr>
        <w:t>, keep the option that fits and delete the rest. Every paragraph that starts with "Guidance" is an explanation for you and is deleted before the policy is issued. The policy holds the shared rules. Rates, targets and quotas belong in the commission plan for each role, and each rep's individual terms belong in their commission agreement. Template from Prowi (prowi.io).</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3000"/>
        <w:gridCol w:w="6026"/>
      </w:tblGrid>
      <w:tr>
        <w:trPr>
          <w:cantSplit/>
        </w:trPr>
        <w:tc>
          <w:tcPr>
            <w:tcW w:type="dxa" w:w="3000"/>
          </w:tcPr>
          <w:p>
            <w:pPr>
              <w:spacing w:before="0" w:after="0" w:line="252" w:lineRule="auto"/>
            </w:pPr>
            <w:r>
              <w:rPr>
                <w:rFonts w:ascii="Arial" w:hAnsi="Arial" w:cs="Arial" w:eastAsia="Arial"/>
                <w:b w:val="0"/>
                <w:i w:val="0"/>
                <w:color w:val="110663"/>
                <w:sz w:val="19"/>
              </w:rPr>
              <w:t>Document</w:t>
            </w:r>
          </w:p>
        </w:tc>
        <w:tc>
          <w:tcPr>
            <w:tcW w:type="dxa" w:w="6026"/>
          </w:tcPr>
          <w:p>
            <w:pPr>
              <w:spacing w:before="0" w:after="0" w:line="252" w:lineRule="auto"/>
            </w:pPr>
            <w:r>
              <w:rPr>
                <w:rFonts w:ascii="Arial" w:hAnsi="Arial" w:cs="Arial" w:eastAsia="Arial"/>
                <w:b w:val="0"/>
                <w:i w:val="0"/>
                <w:color w:val="110663"/>
                <w:sz w:val="19"/>
              </w:rPr>
              <w:t xml:space="preserve">Commission policy of </w:t>
            </w:r>
            <w:r>
              <w:rPr>
                <w:rFonts w:ascii="Arial" w:hAnsi="Arial" w:cs="Arial" w:eastAsia="Arial"/>
                <w:b w:val="0"/>
                <w:i w:val="0"/>
                <w:color w:val="4C39CA"/>
                <w:sz w:val="19"/>
                <w:shd w:val="clear" w:color="auto" w:fill="E6E0FB"/>
              </w:rPr>
              <w:t>[Company name]</w:t>
            </w:r>
          </w:p>
        </w:tc>
      </w:tr>
      <w:tr>
        <w:trPr>
          <w:cantSplit/>
        </w:trPr>
        <w:tc>
          <w:tcPr>
            <w:tcW w:type="dxa" w:w="3000"/>
          </w:tcPr>
          <w:p>
            <w:pPr>
              <w:spacing w:before="0" w:after="0" w:line="252" w:lineRule="auto"/>
            </w:pPr>
            <w:r>
              <w:rPr>
                <w:rFonts w:ascii="Arial" w:hAnsi="Arial" w:cs="Arial" w:eastAsia="Arial"/>
                <w:b w:val="0"/>
                <w:i w:val="0"/>
                <w:color w:val="110663"/>
                <w:sz w:val="19"/>
              </w:rPr>
              <w:t>Version</w:t>
            </w:r>
          </w:p>
        </w:tc>
        <w:tc>
          <w:tcPr>
            <w:tcW w:type="dxa" w:w="6026"/>
          </w:tcPr>
          <w:p>
            <w:pPr>
              <w:spacing w:before="0" w:after="0" w:line="252" w:lineRule="auto"/>
            </w:pPr>
            <w:r>
              <w:rPr>
                <w:rFonts w:ascii="Arial" w:hAnsi="Arial" w:cs="Arial" w:eastAsia="Arial"/>
                <w:b w:val="0"/>
                <w:i w:val="0"/>
                <w:color w:val="4C39CA"/>
                <w:sz w:val="19"/>
                <w:shd w:val="clear" w:color="auto" w:fill="E6E0FB"/>
              </w:rPr>
              <w:t>[1.0]</w:t>
            </w:r>
          </w:p>
        </w:tc>
      </w:tr>
      <w:tr>
        <w:trPr>
          <w:cantSplit/>
        </w:trPr>
        <w:tc>
          <w:tcPr>
            <w:tcW w:type="dxa" w:w="3000"/>
          </w:tcPr>
          <w:p>
            <w:pPr>
              <w:spacing w:before="0" w:after="0" w:line="252" w:lineRule="auto"/>
            </w:pPr>
            <w:r>
              <w:rPr>
                <w:rFonts w:ascii="Arial" w:hAnsi="Arial" w:cs="Arial" w:eastAsia="Arial"/>
                <w:b w:val="0"/>
                <w:i w:val="0"/>
                <w:color w:val="110663"/>
                <w:sz w:val="19"/>
              </w:rPr>
              <w:t>Effective from</w:t>
            </w:r>
          </w:p>
        </w:tc>
        <w:tc>
          <w:tcPr>
            <w:tcW w:type="dxa" w:w="6026"/>
          </w:tcPr>
          <w:p>
            <w:pPr>
              <w:spacing w:before="0" w:after="0" w:line="252" w:lineRule="auto"/>
            </w:pPr>
            <w:r>
              <w:rPr>
                <w:rFonts w:ascii="Arial" w:hAnsi="Arial" w:cs="Arial" w:eastAsia="Arial"/>
                <w:b w:val="0"/>
                <w:i w:val="0"/>
                <w:color w:val="4C39CA"/>
                <w:sz w:val="19"/>
                <w:shd w:val="clear" w:color="auto" w:fill="E6E0FB"/>
              </w:rPr>
              <w:t>[date]</w:t>
            </w:r>
          </w:p>
        </w:tc>
      </w:tr>
      <w:tr>
        <w:trPr>
          <w:cantSplit/>
        </w:trPr>
        <w:tc>
          <w:tcPr>
            <w:tcW w:type="dxa" w:w="3000"/>
          </w:tcPr>
          <w:p>
            <w:pPr>
              <w:spacing w:before="0" w:after="0" w:line="252" w:lineRule="auto"/>
            </w:pPr>
            <w:r>
              <w:rPr>
                <w:rFonts w:ascii="Arial" w:hAnsi="Arial" w:cs="Arial" w:eastAsia="Arial"/>
                <w:b w:val="0"/>
                <w:i w:val="0"/>
                <w:color w:val="110663"/>
                <w:sz w:val="19"/>
              </w:rPr>
              <w:t>Policy owner</w:t>
            </w:r>
          </w:p>
        </w:tc>
        <w:tc>
          <w:tcPr>
            <w:tcW w:type="dxa" w:w="6026"/>
          </w:tcPr>
          <w:p>
            <w:pPr>
              <w:spacing w:before="0" w:after="0" w:line="252" w:lineRule="auto"/>
            </w:pPr>
            <w:r>
              <w:rPr>
                <w:rFonts w:ascii="Arial" w:hAnsi="Arial" w:cs="Arial" w:eastAsia="Arial"/>
                <w:b w:val="0"/>
                <w:i w:val="0"/>
                <w:color w:val="4C39CA"/>
                <w:sz w:val="19"/>
                <w:shd w:val="clear" w:color="auto" w:fill="E6E0FB"/>
              </w:rPr>
              <w:t>[name and title, e.g. CFO]</w:t>
            </w:r>
          </w:p>
        </w:tc>
      </w:tr>
      <w:tr>
        <w:trPr>
          <w:cantSplit/>
        </w:trPr>
        <w:tc>
          <w:tcPr>
            <w:tcW w:type="dxa" w:w="3000"/>
          </w:tcPr>
          <w:p>
            <w:pPr>
              <w:spacing w:before="0" w:after="0" w:line="252" w:lineRule="auto"/>
            </w:pPr>
            <w:r>
              <w:rPr>
                <w:rFonts w:ascii="Arial" w:hAnsi="Arial" w:cs="Arial" w:eastAsia="Arial"/>
                <w:b w:val="0"/>
                <w:i w:val="0"/>
                <w:color w:val="110663"/>
                <w:sz w:val="19"/>
              </w:rPr>
              <w:t>Approved by</w:t>
            </w:r>
          </w:p>
        </w:tc>
        <w:tc>
          <w:tcPr>
            <w:tcW w:type="dxa" w:w="6026"/>
          </w:tcPr>
          <w:p>
            <w:pPr>
              <w:spacing w:before="0" w:after="0" w:line="252" w:lineRule="auto"/>
            </w:pPr>
            <w:r>
              <w:rPr>
                <w:rFonts w:ascii="Arial" w:hAnsi="Arial" w:cs="Arial" w:eastAsia="Arial"/>
                <w:b w:val="0"/>
                <w:i w:val="0"/>
                <w:color w:val="4C39CA"/>
                <w:sz w:val="19"/>
                <w:shd w:val="clear" w:color="auto" w:fill="E6E0FB"/>
              </w:rPr>
              <w:t>[name and title]</w:t>
            </w:r>
            <w:r>
              <w:rPr>
                <w:rFonts w:ascii="Arial" w:hAnsi="Arial" w:cs="Arial" w:eastAsia="Arial"/>
                <w:b w:val="0"/>
                <w:i w:val="0"/>
                <w:color w:val="110663"/>
                <w:sz w:val="19"/>
              </w:rPr>
              <w:t xml:space="preserve"> on </w:t>
            </w:r>
            <w:r>
              <w:rPr>
                <w:rFonts w:ascii="Arial" w:hAnsi="Arial" w:cs="Arial" w:eastAsia="Arial"/>
                <w:b w:val="0"/>
                <w:i w:val="0"/>
                <w:color w:val="4C39CA"/>
                <w:sz w:val="19"/>
                <w:shd w:val="clear" w:color="auto" w:fill="E6E0FB"/>
              </w:rPr>
              <w:t>[date]</w:t>
            </w:r>
          </w:p>
        </w:tc>
      </w:tr>
      <w:tr>
        <w:trPr>
          <w:cantSplit/>
        </w:trPr>
        <w:tc>
          <w:tcPr>
            <w:tcW w:type="dxa" w:w="3000"/>
          </w:tcPr>
          <w:p>
            <w:pPr>
              <w:spacing w:before="0" w:after="0" w:line="252" w:lineRule="auto"/>
            </w:pPr>
            <w:r>
              <w:rPr>
                <w:rFonts w:ascii="Arial" w:hAnsi="Arial" w:cs="Arial" w:eastAsia="Arial"/>
                <w:b w:val="0"/>
                <w:i w:val="0"/>
                <w:color w:val="110663"/>
                <w:sz w:val="19"/>
              </w:rPr>
              <w:t>Next review</w:t>
            </w:r>
          </w:p>
        </w:tc>
        <w:tc>
          <w:tcPr>
            <w:tcW w:type="dxa" w:w="6026"/>
          </w:tcPr>
          <w:p>
            <w:pPr>
              <w:spacing w:before="0" w:after="0" w:line="252" w:lineRule="auto"/>
            </w:pPr>
            <w:r>
              <w:rPr>
                <w:rFonts w:ascii="Arial" w:hAnsi="Arial" w:cs="Arial" w:eastAsia="Arial"/>
                <w:b w:val="0"/>
                <w:i w:val="0"/>
                <w:color w:val="4C39CA"/>
                <w:sz w:val="19"/>
                <w:shd w:val="clear" w:color="auto" w:fill="E6E0FB"/>
              </w:rPr>
              <w:t>[date]</w:t>
            </w:r>
          </w:p>
        </w:tc>
      </w:tr>
    </w:tbl>
    <w:p>
      <w:pPr>
        <w:pStyle w:val="Heading2"/>
        <w:keepNext/>
        <w:spacing w:before="400" w:after="140" w:line="240" w:lineRule="auto"/>
      </w:pPr>
      <w:r>
        <w:rPr>
          <w:rFonts w:ascii="Arial" w:hAnsi="Arial" w:cs="Arial" w:eastAsia="Arial"/>
          <w:b w:val="0"/>
          <w:i w:val="0"/>
          <w:color w:val="110663"/>
          <w:sz w:val="30"/>
        </w:rPr>
        <w:t>1. Purpose and scope</w:t>
      </w:r>
    </w:p>
    <w:p>
      <w:pPr>
        <w:tabs>
          <w:tab w:pos="567" w:val="left"/>
        </w:tabs>
        <w:spacing w:before="0" w:after="120" w:line="276" w:lineRule="auto"/>
        <w:ind w:left="567" w:hanging="567"/>
      </w:pPr>
      <w:r>
        <w:rPr>
          <w:rFonts w:ascii="Arial" w:hAnsi="Arial" w:cs="Arial" w:eastAsia="Arial"/>
          <w:b/>
          <w:i w:val="0"/>
          <w:color w:val="4C39CA"/>
          <w:sz w:val="21"/>
        </w:rPr>
        <w:t>1.1</w:t>
      </w:r>
      <w:r>
        <w:rPr>
          <w:rFonts w:ascii="Arial" w:hAnsi="Arial" w:cs="Arial" w:eastAsia="Arial"/>
          <w:b w:val="0"/>
          <w:i w:val="0"/>
          <w:color w:val="110663"/>
          <w:sz w:val="21"/>
        </w:rPr>
        <w:tab/>
      </w:r>
      <w:r>
        <w:rPr>
          <w:rFonts w:ascii="Arial" w:hAnsi="Arial" w:cs="Arial" w:eastAsia="Arial"/>
          <w:b w:val="0"/>
          <w:i w:val="0"/>
          <w:color w:val="110663"/>
          <w:sz w:val="21"/>
        </w:rPr>
        <w:t xml:space="preserve">This policy sets out the rules that apply to all commission plans at </w:t>
      </w:r>
      <w:r>
        <w:rPr>
          <w:rFonts w:ascii="Arial" w:hAnsi="Arial" w:cs="Arial" w:eastAsia="Arial"/>
          <w:b w:val="0"/>
          <w:i w:val="0"/>
          <w:color w:val="4C39CA"/>
          <w:sz w:val="21"/>
          <w:shd w:val="clear" w:color="auto" w:fill="E6E0FB"/>
        </w:rPr>
        <w:t>[Company name]</w:t>
      </w:r>
      <w:r>
        <w:rPr>
          <w:rFonts w:ascii="Arial" w:hAnsi="Arial" w:cs="Arial" w:eastAsia="Arial"/>
          <w:b w:val="0"/>
          <w:i w:val="0"/>
          <w:color w:val="110663"/>
          <w:sz w:val="21"/>
        </w:rPr>
        <w:t xml:space="preserve"> (the "Company"): who is eligible, when commission is earned, how it is credited and paid, how statements, disputes, corrections and clawbacks are handled, what happens when a participant leaves, and how plans are changed and approved.</w:t>
      </w:r>
    </w:p>
    <w:p>
      <w:pPr>
        <w:tabs>
          <w:tab w:pos="567" w:val="left"/>
        </w:tabs>
        <w:spacing w:before="0" w:after="120" w:line="276" w:lineRule="auto"/>
        <w:ind w:left="567" w:hanging="567"/>
      </w:pPr>
      <w:r>
        <w:rPr>
          <w:rFonts w:ascii="Arial" w:hAnsi="Arial" w:cs="Arial" w:eastAsia="Arial"/>
          <w:b/>
          <w:i w:val="0"/>
          <w:color w:val="4C39CA"/>
          <w:sz w:val="21"/>
        </w:rPr>
        <w:t>1.2</w:t>
      </w:r>
      <w:r>
        <w:rPr>
          <w:rFonts w:ascii="Arial" w:hAnsi="Arial" w:cs="Arial" w:eastAsia="Arial"/>
          <w:b w:val="0"/>
          <w:i w:val="0"/>
          <w:color w:val="110663"/>
          <w:sz w:val="21"/>
        </w:rPr>
        <w:tab/>
      </w:r>
      <w:r>
        <w:rPr>
          <w:rFonts w:ascii="Arial" w:hAnsi="Arial" w:cs="Arial" w:eastAsia="Arial"/>
          <w:b w:val="0"/>
          <w:i w:val="0"/>
          <w:color w:val="110663"/>
          <w:sz w:val="21"/>
        </w:rPr>
        <w:t xml:space="preserve">The policy applies to all employees who take part in a commission plan ("Participants") in </w:t>
      </w:r>
      <w:r>
        <w:rPr>
          <w:rFonts w:ascii="Arial" w:hAnsi="Arial" w:cs="Arial" w:eastAsia="Arial"/>
          <w:b w:val="0"/>
          <w:i w:val="0"/>
          <w:color w:val="4C39CA"/>
          <w:sz w:val="21"/>
          <w:shd w:val="clear" w:color="auto" w:fill="E6E0FB"/>
        </w:rPr>
        <w:t>[Choose: all countries where the Company employs salespeople / the following countries: ...]</w:t>
      </w:r>
      <w:r>
        <w:rPr>
          <w:rFonts w:ascii="Arial" w:hAnsi="Arial" w:cs="Arial" w:eastAsia="Arial"/>
          <w:b w:val="0"/>
          <w:i w:val="0"/>
          <w:color w:val="110663"/>
          <w:sz w:val="21"/>
        </w:rPr>
        <w:t xml:space="preserve">. It does not apply to </w:t>
      </w:r>
      <w:r>
        <w:rPr>
          <w:rFonts w:ascii="Arial" w:hAnsi="Arial" w:cs="Arial" w:eastAsia="Arial"/>
          <w:b w:val="0"/>
          <w:i w:val="0"/>
          <w:color w:val="4C39CA"/>
          <w:sz w:val="21"/>
          <w:shd w:val="clear" w:color="auto" w:fill="E6E0FB"/>
        </w:rPr>
        <w:t>[contractors, commercial agents and partners]</w:t>
      </w:r>
      <w:r>
        <w:rPr>
          <w:rFonts w:ascii="Arial" w:hAnsi="Arial" w:cs="Arial" w:eastAsia="Arial"/>
          <w:b w:val="0"/>
          <w:i w:val="0"/>
          <w:color w:val="110663"/>
          <w:sz w:val="21"/>
        </w:rPr>
        <w:t>, who are covered by their own agreements.</w:t>
      </w:r>
    </w:p>
    <w:p>
      <w:pPr>
        <w:tabs>
          <w:tab w:pos="567" w:val="left"/>
        </w:tabs>
        <w:spacing w:before="0" w:after="120" w:line="276" w:lineRule="auto"/>
        <w:ind w:left="567" w:hanging="567"/>
      </w:pPr>
      <w:r>
        <w:rPr>
          <w:rFonts w:ascii="Arial" w:hAnsi="Arial" w:cs="Arial" w:eastAsia="Arial"/>
          <w:b/>
          <w:i w:val="0"/>
          <w:color w:val="4C39CA"/>
          <w:sz w:val="21"/>
        </w:rPr>
        <w:t>1.3</w:t>
      </w:r>
      <w:r>
        <w:rPr>
          <w:rFonts w:ascii="Arial" w:hAnsi="Arial" w:cs="Arial" w:eastAsia="Arial"/>
          <w:b w:val="0"/>
          <w:i w:val="0"/>
          <w:color w:val="110663"/>
          <w:sz w:val="21"/>
        </w:rPr>
        <w:tab/>
      </w:r>
      <w:r>
        <w:rPr>
          <w:rFonts w:ascii="Arial" w:hAnsi="Arial" w:cs="Arial" w:eastAsia="Arial"/>
          <w:b w:val="0"/>
          <w:i w:val="0"/>
          <w:color w:val="110663"/>
          <w:sz w:val="21"/>
        </w:rPr>
        <w:t>Rates, targets, quotas and accelerators for each role are set in a commission plan for each plan year (the "Plan"). Each Participant's individual terms are set in their employment contract or commission agreement (the "Agreement").</w:t>
      </w:r>
    </w:p>
    <w:p>
      <w:pPr>
        <w:tabs>
          <w:tab w:pos="567" w:val="left"/>
        </w:tabs>
        <w:spacing w:before="0" w:after="120" w:line="276" w:lineRule="auto"/>
        <w:ind w:left="567" w:hanging="567"/>
      </w:pPr>
      <w:r>
        <w:rPr>
          <w:rFonts w:ascii="Arial" w:hAnsi="Arial" w:cs="Arial" w:eastAsia="Arial"/>
          <w:b/>
          <w:i w:val="0"/>
          <w:color w:val="4C39CA"/>
          <w:sz w:val="21"/>
        </w:rPr>
        <w:t>1.4</w:t>
      </w:r>
      <w:r>
        <w:rPr>
          <w:rFonts w:ascii="Arial" w:hAnsi="Arial" w:cs="Arial" w:eastAsia="Arial"/>
          <w:b w:val="0"/>
          <w:i w:val="0"/>
          <w:color w:val="110663"/>
          <w:sz w:val="21"/>
        </w:rPr>
        <w:tab/>
      </w:r>
      <w:r>
        <w:rPr>
          <w:rFonts w:ascii="Arial" w:hAnsi="Arial" w:cs="Arial" w:eastAsia="Arial"/>
          <w:b w:val="0"/>
          <w:i w:val="0"/>
          <w:color w:val="110663"/>
          <w:sz w:val="21"/>
        </w:rPr>
        <w:t xml:space="preserve">If this policy and a Plan differ, </w:t>
      </w:r>
      <w:r>
        <w:rPr>
          <w:rFonts w:ascii="Arial" w:hAnsi="Arial" w:cs="Arial" w:eastAsia="Arial"/>
          <w:b w:val="0"/>
          <w:i w:val="0"/>
          <w:color w:val="4C39CA"/>
          <w:sz w:val="21"/>
          <w:shd w:val="clear" w:color="auto" w:fill="E6E0FB"/>
        </w:rPr>
        <w:t>[the Plan]</w:t>
      </w:r>
      <w:r>
        <w:rPr>
          <w:rFonts w:ascii="Arial" w:hAnsi="Arial" w:cs="Arial" w:eastAsia="Arial"/>
          <w:b w:val="0"/>
          <w:i w:val="0"/>
          <w:color w:val="110663"/>
          <w:sz w:val="21"/>
        </w:rPr>
        <w:t xml:space="preserve"> applies. If this policy or a Plan differs from a Participant's Agreement, the Agreement applies. Where local law or a collective agreement gives the Participant better terms, those terms apply.</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The policy holds the rules that are the same for everyone. The Plan usually changes every year, and the Agreement is personal. Have the commission agreement refer to the policy so it becomes part of each Participant's terms. In the EU, the components of pay must be given to employees in writing (Directive (EU) 2019/1152, Article 4), and some US states require written commission terms, for example California (Labor Code § 2751).</w:t>
      </w:r>
    </w:p>
    <w:p>
      <w:pPr>
        <w:pStyle w:val="Heading2"/>
        <w:keepNext/>
        <w:spacing w:before="400" w:after="140" w:line="240" w:lineRule="auto"/>
      </w:pPr>
      <w:r>
        <w:rPr>
          <w:rFonts w:ascii="Arial" w:hAnsi="Arial" w:cs="Arial" w:eastAsia="Arial"/>
          <w:b w:val="0"/>
          <w:i w:val="0"/>
          <w:color w:val="110663"/>
          <w:sz w:val="30"/>
        </w:rPr>
        <w:t>2. Eligibility</w:t>
      </w:r>
    </w:p>
    <w:p>
      <w:pPr>
        <w:tabs>
          <w:tab w:pos="567" w:val="left"/>
        </w:tabs>
        <w:spacing w:before="0" w:after="120" w:line="276" w:lineRule="auto"/>
        <w:ind w:left="567" w:hanging="567"/>
      </w:pPr>
      <w:r>
        <w:rPr>
          <w:rFonts w:ascii="Arial" w:hAnsi="Arial" w:cs="Arial" w:eastAsia="Arial"/>
          <w:b/>
          <w:i w:val="0"/>
          <w:color w:val="4C39CA"/>
          <w:sz w:val="21"/>
        </w:rPr>
        <w:t>2.1</w:t>
      </w:r>
      <w:r>
        <w:rPr>
          <w:rFonts w:ascii="Arial" w:hAnsi="Arial" w:cs="Arial" w:eastAsia="Arial"/>
          <w:b w:val="0"/>
          <w:i w:val="0"/>
          <w:color w:val="110663"/>
          <w:sz w:val="21"/>
        </w:rPr>
        <w:tab/>
      </w:r>
      <w:r>
        <w:rPr>
          <w:rFonts w:ascii="Arial" w:hAnsi="Arial" w:cs="Arial" w:eastAsia="Arial"/>
          <w:b w:val="0"/>
          <w:i w:val="0"/>
          <w:color w:val="110663"/>
          <w:sz w:val="21"/>
        </w:rPr>
        <w:t xml:space="preserve">These roles are eligible: </w:t>
      </w:r>
      <w:r>
        <w:rPr>
          <w:rFonts w:ascii="Arial" w:hAnsi="Arial" w:cs="Arial" w:eastAsia="Arial"/>
          <w:b w:val="0"/>
          <w:i w:val="0"/>
          <w:color w:val="4C39CA"/>
          <w:sz w:val="21"/>
          <w:shd w:val="clear" w:color="auto" w:fill="E6E0FB"/>
        </w:rPr>
        <w:t>[for example account executives, account managers, SDRs, sales managers]</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2.2</w:t>
      </w:r>
      <w:r>
        <w:rPr>
          <w:rFonts w:ascii="Arial" w:hAnsi="Arial" w:cs="Arial" w:eastAsia="Arial"/>
          <w:b w:val="0"/>
          <w:i w:val="0"/>
          <w:color w:val="110663"/>
          <w:sz w:val="21"/>
        </w:rPr>
        <w:tab/>
      </w:r>
      <w:r>
        <w:rPr>
          <w:rFonts w:ascii="Arial" w:hAnsi="Arial" w:cs="Arial" w:eastAsia="Arial"/>
          <w:b w:val="0"/>
          <w:i w:val="0"/>
          <w:color w:val="110663"/>
          <w:sz w:val="21"/>
        </w:rPr>
        <w:t xml:space="preserve">A new Participant joins the Plan from </w:t>
      </w:r>
      <w:r>
        <w:rPr>
          <w:rFonts w:ascii="Arial" w:hAnsi="Arial" w:cs="Arial" w:eastAsia="Arial"/>
          <w:b w:val="0"/>
          <w:i w:val="0"/>
          <w:color w:val="4C39CA"/>
          <w:sz w:val="21"/>
          <w:shd w:val="clear" w:color="auto" w:fill="E6E0FB"/>
        </w:rPr>
        <w:t>[Choose: their start date / the first day of the month after their start date]</w:t>
      </w:r>
      <w:r>
        <w:rPr>
          <w:rFonts w:ascii="Arial" w:hAnsi="Arial" w:cs="Arial" w:eastAsia="Arial"/>
          <w:b w:val="0"/>
          <w:i w:val="0"/>
          <w:color w:val="110663"/>
          <w:sz w:val="21"/>
        </w:rPr>
        <w:t xml:space="preserve">. During the first </w:t>
      </w:r>
      <w:r>
        <w:rPr>
          <w:rFonts w:ascii="Arial" w:hAnsi="Arial" w:cs="Arial" w:eastAsia="Arial"/>
          <w:b w:val="0"/>
          <w:i w:val="0"/>
          <w:color w:val="4C39CA"/>
          <w:sz w:val="21"/>
          <w:shd w:val="clear" w:color="auto" w:fill="E6E0FB"/>
        </w:rPr>
        <w:t>[3]</w:t>
      </w:r>
      <w:r>
        <w:rPr>
          <w:rFonts w:ascii="Arial" w:hAnsi="Arial" w:cs="Arial" w:eastAsia="Arial"/>
          <w:b w:val="0"/>
          <w:i w:val="0"/>
          <w:color w:val="110663"/>
          <w:sz w:val="21"/>
        </w:rPr>
        <w:t xml:space="preserve"> months, </w:t>
      </w:r>
      <w:r>
        <w:rPr>
          <w:rFonts w:ascii="Arial" w:hAnsi="Arial" w:cs="Arial" w:eastAsia="Arial"/>
          <w:b w:val="0"/>
          <w:i w:val="0"/>
          <w:color w:val="4C39CA"/>
          <w:sz w:val="21"/>
          <w:shd w:val="clear" w:color="auto" w:fill="E6E0FB"/>
        </w:rPr>
        <w:t>[Choose: the ramp terms in the Plan apply / a guaranteed commission of [amount]</w:t>
      </w:r>
      <w:r>
        <w:rPr>
          <w:rFonts w:ascii="Arial" w:hAnsi="Arial" w:cs="Arial" w:eastAsia="Arial"/>
          <w:b w:val="0"/>
          <w:i w:val="0"/>
          <w:color w:val="110663"/>
          <w:sz w:val="21"/>
        </w:rPr>
        <w:t xml:space="preserve"> per month applies].</w:t>
      </w:r>
    </w:p>
    <w:p>
      <w:pPr>
        <w:tabs>
          <w:tab w:pos="567" w:val="left"/>
        </w:tabs>
        <w:spacing w:before="0" w:after="120" w:line="276" w:lineRule="auto"/>
        <w:ind w:left="567" w:hanging="567"/>
      </w:pPr>
      <w:r>
        <w:rPr>
          <w:rFonts w:ascii="Arial" w:hAnsi="Arial" w:cs="Arial" w:eastAsia="Arial"/>
          <w:b/>
          <w:i w:val="0"/>
          <w:color w:val="4C39CA"/>
          <w:sz w:val="21"/>
        </w:rPr>
        <w:t>2.3</w:t>
      </w:r>
      <w:r>
        <w:rPr>
          <w:rFonts w:ascii="Arial" w:hAnsi="Arial" w:cs="Arial" w:eastAsia="Arial"/>
          <w:b w:val="0"/>
          <w:i w:val="0"/>
          <w:color w:val="110663"/>
          <w:sz w:val="21"/>
        </w:rPr>
        <w:tab/>
      </w:r>
      <w:r>
        <w:rPr>
          <w:rFonts w:ascii="Arial" w:hAnsi="Arial" w:cs="Arial" w:eastAsia="Arial"/>
          <w:b w:val="0"/>
          <w:i w:val="0"/>
          <w:color w:val="110663"/>
          <w:sz w:val="21"/>
        </w:rPr>
        <w:t xml:space="preserve">A Participant who changes role joins the new role's Plan from </w:t>
      </w:r>
      <w:r>
        <w:rPr>
          <w:rFonts w:ascii="Arial" w:hAnsi="Arial" w:cs="Arial" w:eastAsia="Arial"/>
          <w:b w:val="0"/>
          <w:i w:val="0"/>
          <w:color w:val="4C39CA"/>
          <w:sz w:val="21"/>
          <w:shd w:val="clear" w:color="auto" w:fill="E6E0FB"/>
        </w:rPr>
        <w:t>[the first day of the following month]</w:t>
      </w:r>
      <w:r>
        <w:rPr>
          <w:rFonts w:ascii="Arial" w:hAnsi="Arial" w:cs="Arial" w:eastAsia="Arial"/>
          <w:b w:val="0"/>
          <w:i w:val="0"/>
          <w:color w:val="110663"/>
          <w:sz w:val="21"/>
        </w:rPr>
        <w:t>. Commission earned under the old Plan up to that date is calculated under the old Plan.</w:t>
      </w:r>
    </w:p>
    <w:p>
      <w:pPr>
        <w:tabs>
          <w:tab w:pos="567" w:val="left"/>
        </w:tabs>
        <w:spacing w:before="0" w:after="120" w:line="276" w:lineRule="auto"/>
        <w:ind w:left="567" w:hanging="567"/>
      </w:pPr>
      <w:r>
        <w:rPr>
          <w:rFonts w:ascii="Arial" w:hAnsi="Arial" w:cs="Arial" w:eastAsia="Arial"/>
          <w:b/>
          <w:i w:val="0"/>
          <w:color w:val="4C39CA"/>
          <w:sz w:val="21"/>
        </w:rPr>
        <w:t>2.4</w:t>
      </w:r>
      <w:r>
        <w:rPr>
          <w:rFonts w:ascii="Arial" w:hAnsi="Arial" w:cs="Arial" w:eastAsia="Arial"/>
          <w:b w:val="0"/>
          <w:i w:val="0"/>
          <w:color w:val="110663"/>
          <w:sz w:val="21"/>
        </w:rPr>
        <w:tab/>
      </w:r>
      <w:r>
        <w:rPr>
          <w:rFonts w:ascii="Arial" w:hAnsi="Arial" w:cs="Arial" w:eastAsia="Arial"/>
          <w:b w:val="0"/>
          <w:i w:val="0"/>
          <w:color w:val="110663"/>
          <w:sz w:val="21"/>
        </w:rPr>
        <w:t xml:space="preserve">During leave and long absence, </w:t>
      </w:r>
      <w:r>
        <w:rPr>
          <w:rFonts w:ascii="Arial" w:hAnsi="Arial" w:cs="Arial" w:eastAsia="Arial"/>
          <w:b w:val="0"/>
          <w:i w:val="0"/>
          <w:color w:val="4C39CA"/>
          <w:sz w:val="21"/>
          <w:shd w:val="clear" w:color="auto" w:fill="E6E0FB"/>
        </w:rPr>
        <w:t>[Choose: targets are reduced pro rata for full months of absence / the rules in local law and the Agreement apply]</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Pay during sick leave, parental leave and holidays is regulated by local law in many countries, and those rules usually cannot be overridden by a policy. Check what applies where each Participant works.</w:t>
      </w:r>
    </w:p>
    <w:p>
      <w:pPr>
        <w:pStyle w:val="Heading2"/>
        <w:keepNext/>
        <w:spacing w:before="400" w:after="140" w:line="240" w:lineRule="auto"/>
      </w:pPr>
      <w:r>
        <w:rPr>
          <w:rFonts w:ascii="Arial" w:hAnsi="Arial" w:cs="Arial" w:eastAsia="Arial"/>
          <w:b w:val="0"/>
          <w:i w:val="0"/>
          <w:color w:val="110663"/>
          <w:sz w:val="30"/>
        </w:rPr>
        <w:t>3. Plan year and periods</w:t>
      </w:r>
    </w:p>
    <w:p>
      <w:pPr>
        <w:tabs>
          <w:tab w:pos="567" w:val="left"/>
        </w:tabs>
        <w:spacing w:before="0" w:after="120" w:line="276" w:lineRule="auto"/>
        <w:ind w:left="567" w:hanging="567"/>
      </w:pPr>
      <w:r>
        <w:rPr>
          <w:rFonts w:ascii="Arial" w:hAnsi="Arial" w:cs="Arial" w:eastAsia="Arial"/>
          <w:b/>
          <w:i w:val="0"/>
          <w:color w:val="4C39CA"/>
          <w:sz w:val="21"/>
        </w:rPr>
        <w:t>3.1</w:t>
      </w:r>
      <w:r>
        <w:rPr>
          <w:rFonts w:ascii="Arial" w:hAnsi="Arial" w:cs="Arial" w:eastAsia="Arial"/>
          <w:b w:val="0"/>
          <w:i w:val="0"/>
          <w:color w:val="110663"/>
          <w:sz w:val="21"/>
        </w:rPr>
        <w:tab/>
      </w:r>
      <w:r>
        <w:rPr>
          <w:rFonts w:ascii="Arial" w:hAnsi="Arial" w:cs="Arial" w:eastAsia="Arial"/>
          <w:b w:val="0"/>
          <w:i w:val="0"/>
          <w:color w:val="110663"/>
          <w:sz w:val="21"/>
        </w:rPr>
        <w:t xml:space="preserve">The plan year runs from </w:t>
      </w:r>
      <w:r>
        <w:rPr>
          <w:rFonts w:ascii="Arial" w:hAnsi="Arial" w:cs="Arial" w:eastAsia="Arial"/>
          <w:b w:val="0"/>
          <w:i w:val="0"/>
          <w:color w:val="4C39CA"/>
          <w:sz w:val="21"/>
          <w:shd w:val="clear" w:color="auto" w:fill="E6E0FB"/>
        </w:rPr>
        <w:t>[1 January]</w:t>
      </w:r>
      <w:r>
        <w:rPr>
          <w:rFonts w:ascii="Arial" w:hAnsi="Arial" w:cs="Arial" w:eastAsia="Arial"/>
          <w:b w:val="0"/>
          <w:i w:val="0"/>
          <w:color w:val="110663"/>
          <w:sz w:val="21"/>
        </w:rPr>
        <w:t xml:space="preserve"> to </w:t>
      </w:r>
      <w:r>
        <w:rPr>
          <w:rFonts w:ascii="Arial" w:hAnsi="Arial" w:cs="Arial" w:eastAsia="Arial"/>
          <w:b w:val="0"/>
          <w:i w:val="0"/>
          <w:color w:val="4C39CA"/>
          <w:sz w:val="21"/>
          <w:shd w:val="clear" w:color="auto" w:fill="E6E0FB"/>
        </w:rPr>
        <w:t>[31 December]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3.2</w:t>
      </w:r>
      <w:r>
        <w:rPr>
          <w:rFonts w:ascii="Arial" w:hAnsi="Arial" w:cs="Arial" w:eastAsia="Arial"/>
          <w:b w:val="0"/>
          <w:i w:val="0"/>
          <w:color w:val="110663"/>
          <w:sz w:val="21"/>
        </w:rPr>
        <w:tab/>
      </w:r>
      <w:r>
        <w:rPr>
          <w:rFonts w:ascii="Arial" w:hAnsi="Arial" w:cs="Arial" w:eastAsia="Arial"/>
          <w:b w:val="0"/>
          <w:i w:val="0"/>
          <w:color w:val="110663"/>
          <w:sz w:val="21"/>
        </w:rPr>
        <w:t xml:space="preserve">Commission is calculated per </w:t>
      </w:r>
      <w:r>
        <w:rPr>
          <w:rFonts w:ascii="Arial" w:hAnsi="Arial" w:cs="Arial" w:eastAsia="Arial"/>
          <w:b w:val="0"/>
          <w:i w:val="0"/>
          <w:color w:val="4C39CA"/>
          <w:sz w:val="21"/>
          <w:shd w:val="clear" w:color="auto" w:fill="E6E0FB"/>
        </w:rPr>
        <w:t>[Choose: month / quarter]</w:t>
      </w:r>
      <w:r>
        <w:rPr>
          <w:rFonts w:ascii="Arial" w:hAnsi="Arial" w:cs="Arial" w:eastAsia="Arial"/>
          <w:b w:val="0"/>
          <w:i w:val="0"/>
          <w:color w:val="110663"/>
          <w:sz w:val="21"/>
        </w:rPr>
        <w:t xml:space="preserve"> (the "Period").</w:t>
      </w:r>
    </w:p>
    <w:p>
      <w:pPr>
        <w:tabs>
          <w:tab w:pos="567" w:val="left"/>
        </w:tabs>
        <w:spacing w:before="0" w:after="120" w:line="276" w:lineRule="auto"/>
        <w:ind w:left="567" w:hanging="567"/>
      </w:pPr>
      <w:r>
        <w:rPr>
          <w:rFonts w:ascii="Arial" w:hAnsi="Arial" w:cs="Arial" w:eastAsia="Arial"/>
          <w:b/>
          <w:i w:val="0"/>
          <w:color w:val="4C39CA"/>
          <w:sz w:val="21"/>
        </w:rPr>
        <w:t>3.3</w:t>
      </w:r>
      <w:r>
        <w:rPr>
          <w:rFonts w:ascii="Arial" w:hAnsi="Arial" w:cs="Arial" w:eastAsia="Arial"/>
          <w:b w:val="0"/>
          <w:i w:val="0"/>
          <w:color w:val="110663"/>
          <w:sz w:val="21"/>
        </w:rPr>
        <w:tab/>
      </w:r>
      <w:r>
        <w:rPr>
          <w:rFonts w:ascii="Arial" w:hAnsi="Arial" w:cs="Arial" w:eastAsia="Arial"/>
          <w:b w:val="0"/>
          <w:i w:val="0"/>
          <w:color w:val="110663"/>
          <w:sz w:val="21"/>
        </w:rPr>
        <w:t xml:space="preserve">Target attainment is measured per </w:t>
      </w:r>
      <w:r>
        <w:rPr>
          <w:rFonts w:ascii="Arial" w:hAnsi="Arial" w:cs="Arial" w:eastAsia="Arial"/>
          <w:b w:val="0"/>
          <w:i w:val="0"/>
          <w:color w:val="4C39CA"/>
          <w:sz w:val="21"/>
          <w:shd w:val="clear" w:color="auto" w:fill="E6E0FB"/>
        </w:rPr>
        <w:t>[Choose: Period / quarter / plan year]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3.4</w:t>
      </w:r>
      <w:r>
        <w:rPr>
          <w:rFonts w:ascii="Arial" w:hAnsi="Arial" w:cs="Arial" w:eastAsia="Arial"/>
          <w:b w:val="0"/>
          <w:i w:val="0"/>
          <w:color w:val="110663"/>
          <w:sz w:val="21"/>
        </w:rPr>
        <w:tab/>
      </w:r>
      <w:r>
        <w:rPr>
          <w:rFonts w:ascii="Arial" w:hAnsi="Arial" w:cs="Arial" w:eastAsia="Arial"/>
          <w:b w:val="0"/>
          <w:i w:val="0"/>
          <w:color w:val="110663"/>
          <w:sz w:val="21"/>
        </w:rPr>
        <w:t xml:space="preserve">Each Plan is issued in writing at least </w:t>
      </w:r>
      <w:r>
        <w:rPr>
          <w:rFonts w:ascii="Arial" w:hAnsi="Arial" w:cs="Arial" w:eastAsia="Arial"/>
          <w:b w:val="0"/>
          <w:i w:val="0"/>
          <w:color w:val="4C39CA"/>
          <w:sz w:val="21"/>
          <w:shd w:val="clear" w:color="auto" w:fill="E6E0FB"/>
        </w:rPr>
        <w:t>[14]</w:t>
      </w:r>
      <w:r>
        <w:rPr>
          <w:rFonts w:ascii="Arial" w:hAnsi="Arial" w:cs="Arial" w:eastAsia="Arial"/>
          <w:b w:val="0"/>
          <w:i w:val="0"/>
          <w:color w:val="110663"/>
          <w:sz w:val="21"/>
        </w:rPr>
        <w:t xml:space="preserve"> days before the plan year starts. If a new Plan has not been issued on time, the previous Plan continues to apply until the new one is issued.</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If attainment is measured per year but commission is paid per month, say how provisional payments are reconciled (true-up) at year end.</w:t>
      </w:r>
    </w:p>
    <w:p>
      <w:pPr>
        <w:pStyle w:val="Heading2"/>
        <w:keepNext/>
        <w:spacing w:before="400" w:after="140" w:line="240" w:lineRule="auto"/>
      </w:pPr>
      <w:r>
        <w:rPr>
          <w:rFonts w:ascii="Arial" w:hAnsi="Arial" w:cs="Arial" w:eastAsia="Arial"/>
          <w:b w:val="0"/>
          <w:i w:val="0"/>
          <w:color w:val="110663"/>
          <w:sz w:val="30"/>
        </w:rPr>
        <w:t>4. How commission is earned</w:t>
      </w:r>
    </w:p>
    <w:p>
      <w:pPr>
        <w:tabs>
          <w:tab w:pos="567" w:val="left"/>
        </w:tabs>
        <w:spacing w:before="0" w:after="120" w:line="276" w:lineRule="auto"/>
        <w:ind w:left="567" w:hanging="567"/>
      </w:pPr>
      <w:r>
        <w:rPr>
          <w:rFonts w:ascii="Arial" w:hAnsi="Arial" w:cs="Arial" w:eastAsia="Arial"/>
          <w:b/>
          <w:i w:val="0"/>
          <w:color w:val="4C39CA"/>
          <w:sz w:val="21"/>
        </w:rPr>
        <w:t>4.1</w:t>
      </w:r>
      <w:r>
        <w:rPr>
          <w:rFonts w:ascii="Arial" w:hAnsi="Arial" w:cs="Arial" w:eastAsia="Arial"/>
          <w:b w:val="0"/>
          <w:i w:val="0"/>
          <w:color w:val="110663"/>
          <w:sz w:val="21"/>
        </w:rPr>
        <w:tab/>
      </w:r>
      <w:r>
        <w:rPr>
          <w:rFonts w:ascii="Arial" w:hAnsi="Arial" w:cs="Arial" w:eastAsia="Arial"/>
          <w:b w:val="0"/>
          <w:i w:val="0"/>
          <w:color w:val="110663"/>
          <w:sz w:val="21"/>
        </w:rPr>
        <w:t xml:space="preserve">Commission is earned when </w:t>
      </w:r>
      <w:r>
        <w:rPr>
          <w:rFonts w:ascii="Arial" w:hAnsi="Arial" w:cs="Arial" w:eastAsia="Arial"/>
          <w:b w:val="0"/>
          <w:i w:val="0"/>
          <w:color w:val="4C39CA"/>
          <w:sz w:val="21"/>
          <w:shd w:val="clear" w:color="auto" w:fill="E6E0FB"/>
        </w:rPr>
        <w:t>[Choose: the customer has signed the contract / the Company has invoiced the customer / the customer has paid the invoice]</w:t>
      </w:r>
      <w:r>
        <w:rPr>
          <w:rFonts w:ascii="Arial" w:hAnsi="Arial" w:cs="Arial" w:eastAsia="Arial"/>
          <w:b w:val="0"/>
          <w:i w:val="0"/>
          <w:color w:val="110663"/>
          <w:sz w:val="21"/>
        </w:rPr>
        <w:t xml:space="preserve"> (the "Earning Event").</w:t>
      </w:r>
    </w:p>
    <w:p>
      <w:pPr>
        <w:tabs>
          <w:tab w:pos="567" w:val="left"/>
        </w:tabs>
        <w:spacing w:before="0" w:after="120" w:line="276" w:lineRule="auto"/>
        <w:ind w:left="567" w:hanging="567"/>
      </w:pPr>
      <w:r>
        <w:rPr>
          <w:rFonts w:ascii="Arial" w:hAnsi="Arial" w:cs="Arial" w:eastAsia="Arial"/>
          <w:b/>
          <w:i w:val="0"/>
          <w:color w:val="4C39CA"/>
          <w:sz w:val="21"/>
        </w:rPr>
        <w:t>4.2</w:t>
      </w:r>
      <w:r>
        <w:rPr>
          <w:rFonts w:ascii="Arial" w:hAnsi="Arial" w:cs="Arial" w:eastAsia="Arial"/>
          <w:b w:val="0"/>
          <w:i w:val="0"/>
          <w:color w:val="110663"/>
          <w:sz w:val="21"/>
        </w:rPr>
        <w:tab/>
      </w:r>
      <w:r>
        <w:rPr>
          <w:rFonts w:ascii="Arial" w:hAnsi="Arial" w:cs="Arial" w:eastAsia="Arial"/>
          <w:b w:val="0"/>
          <w:i w:val="0"/>
          <w:color w:val="110663"/>
          <w:sz w:val="21"/>
        </w:rPr>
        <w:t xml:space="preserve">A deal counts only if it is recorded as won in </w:t>
      </w:r>
      <w:r>
        <w:rPr>
          <w:rFonts w:ascii="Arial" w:hAnsi="Arial" w:cs="Arial" w:eastAsia="Arial"/>
          <w:b w:val="0"/>
          <w:i w:val="0"/>
          <w:color w:val="4C39CA"/>
          <w:sz w:val="21"/>
          <w:shd w:val="clear" w:color="auto" w:fill="E6E0FB"/>
        </w:rPr>
        <w:t>[CRM system]</w:t>
      </w:r>
      <w:r>
        <w:rPr>
          <w:rFonts w:ascii="Arial" w:hAnsi="Arial" w:cs="Arial" w:eastAsia="Arial"/>
          <w:b w:val="0"/>
          <w:i w:val="0"/>
          <w:color w:val="110663"/>
          <w:sz w:val="21"/>
        </w:rPr>
        <w:t xml:space="preserve"> with </w:t>
      </w:r>
      <w:r>
        <w:rPr>
          <w:rFonts w:ascii="Arial" w:hAnsi="Arial" w:cs="Arial" w:eastAsia="Arial"/>
          <w:b w:val="0"/>
          <w:i w:val="0"/>
          <w:color w:val="4C39CA"/>
          <w:sz w:val="21"/>
          <w:shd w:val="clear" w:color="auto" w:fill="E6E0FB"/>
        </w:rPr>
        <w:t>[amount, close date, owner and signed contract]</w:t>
      </w:r>
      <w:r>
        <w:rPr>
          <w:rFonts w:ascii="Arial" w:hAnsi="Arial" w:cs="Arial" w:eastAsia="Arial"/>
          <w:b w:val="0"/>
          <w:i w:val="0"/>
          <w:color w:val="110663"/>
          <w:sz w:val="21"/>
        </w:rPr>
        <w:t xml:space="preserve"> and meets the Plan's definition of a commissionable deal.</w:t>
      </w:r>
    </w:p>
    <w:p>
      <w:pPr>
        <w:tabs>
          <w:tab w:pos="567" w:val="left"/>
        </w:tabs>
        <w:spacing w:before="0" w:after="120" w:line="276" w:lineRule="auto"/>
        <w:ind w:left="567" w:hanging="567"/>
      </w:pPr>
      <w:r>
        <w:rPr>
          <w:rFonts w:ascii="Arial" w:hAnsi="Arial" w:cs="Arial" w:eastAsia="Arial"/>
          <w:b/>
          <w:i w:val="0"/>
          <w:color w:val="4C39CA"/>
          <w:sz w:val="21"/>
        </w:rPr>
        <w:t>4.3</w:t>
      </w:r>
      <w:r>
        <w:rPr>
          <w:rFonts w:ascii="Arial" w:hAnsi="Arial" w:cs="Arial" w:eastAsia="Arial"/>
          <w:b w:val="0"/>
          <w:i w:val="0"/>
          <w:color w:val="110663"/>
          <w:sz w:val="21"/>
        </w:rPr>
        <w:tab/>
      </w:r>
      <w:r>
        <w:rPr>
          <w:rFonts w:ascii="Arial" w:hAnsi="Arial" w:cs="Arial" w:eastAsia="Arial"/>
          <w:b w:val="0"/>
          <w:i w:val="0"/>
          <w:color w:val="110663"/>
          <w:sz w:val="21"/>
        </w:rPr>
        <w:t xml:space="preserve">The commission basis is </w:t>
      </w:r>
      <w:r>
        <w:rPr>
          <w:rFonts w:ascii="Arial" w:hAnsi="Arial" w:cs="Arial" w:eastAsia="Arial"/>
          <w:b w:val="0"/>
          <w:i w:val="0"/>
          <w:color w:val="4C39CA"/>
          <w:sz w:val="21"/>
          <w:shd w:val="clear" w:color="auto" w:fill="E6E0FB"/>
        </w:rPr>
        <w:t>[Choose: the invoiced amount excluding VAT or sales tax / the first-year contract value / the gross margin]</w:t>
      </w:r>
      <w:r>
        <w:rPr>
          <w:rFonts w:ascii="Arial" w:hAnsi="Arial" w:cs="Arial" w:eastAsia="Arial"/>
          <w:b w:val="0"/>
          <w:i w:val="0"/>
          <w:color w:val="110663"/>
          <w:sz w:val="21"/>
        </w:rPr>
        <w:t xml:space="preserve"> after discounts and credit notes.</w:t>
      </w:r>
    </w:p>
    <w:p>
      <w:pPr>
        <w:tabs>
          <w:tab w:pos="567" w:val="left"/>
        </w:tabs>
        <w:spacing w:before="0" w:after="120" w:line="276" w:lineRule="auto"/>
        <w:ind w:left="567" w:hanging="567"/>
      </w:pPr>
      <w:r>
        <w:rPr>
          <w:rFonts w:ascii="Arial" w:hAnsi="Arial" w:cs="Arial" w:eastAsia="Arial"/>
          <w:b/>
          <w:i w:val="0"/>
          <w:color w:val="4C39CA"/>
          <w:sz w:val="21"/>
        </w:rPr>
        <w:t>4.4</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[If relevant:]</w:t>
      </w:r>
      <w:r>
        <w:rPr>
          <w:rFonts w:ascii="Arial" w:hAnsi="Arial" w:cs="Arial" w:eastAsia="Arial"/>
          <w:b w:val="0"/>
          <w:i w:val="0"/>
          <w:color w:val="110663"/>
          <w:sz w:val="21"/>
        </w:rPr>
        <w:t xml:space="preserve"> Amounts paid before the Earning Event are advances on commission. If the Earning Event does not happen within </w:t>
      </w:r>
      <w:r>
        <w:rPr>
          <w:rFonts w:ascii="Arial" w:hAnsi="Arial" w:cs="Arial" w:eastAsia="Arial"/>
          <w:b w:val="0"/>
          <w:i w:val="0"/>
          <w:color w:val="4C39CA"/>
          <w:sz w:val="21"/>
          <w:shd w:val="clear" w:color="auto" w:fill="E6E0FB"/>
        </w:rPr>
        <w:t>[90]</w:t>
      </w:r>
      <w:r>
        <w:rPr>
          <w:rFonts w:ascii="Arial" w:hAnsi="Arial" w:cs="Arial" w:eastAsia="Arial"/>
          <w:b w:val="0"/>
          <w:i w:val="0"/>
          <w:color w:val="110663"/>
          <w:sz w:val="21"/>
        </w:rPr>
        <w:t xml:space="preserve"> days, the advance is settled against later commission.</w:t>
      </w:r>
    </w:p>
    <w:p>
      <w:pPr>
        <w:tabs>
          <w:tab w:pos="567" w:val="left"/>
        </w:tabs>
        <w:spacing w:before="0" w:after="120" w:line="276" w:lineRule="auto"/>
        <w:ind w:left="567" w:hanging="567"/>
      </w:pPr>
      <w:r>
        <w:rPr>
          <w:rFonts w:ascii="Arial" w:hAnsi="Arial" w:cs="Arial" w:eastAsia="Arial"/>
          <w:b/>
          <w:i w:val="0"/>
          <w:color w:val="4C39CA"/>
          <w:sz w:val="21"/>
        </w:rPr>
        <w:t>4.5</w:t>
      </w:r>
      <w:r>
        <w:rPr>
          <w:rFonts w:ascii="Arial" w:hAnsi="Arial" w:cs="Arial" w:eastAsia="Arial"/>
          <w:b w:val="0"/>
          <w:i w:val="0"/>
          <w:color w:val="110663"/>
          <w:sz w:val="21"/>
        </w:rPr>
        <w:tab/>
      </w:r>
      <w:r>
        <w:rPr>
          <w:rFonts w:ascii="Arial" w:hAnsi="Arial" w:cs="Arial" w:eastAsia="Arial"/>
          <w:b w:val="0"/>
          <w:i w:val="0"/>
          <w:color w:val="110663"/>
          <w:sz w:val="21"/>
        </w:rPr>
        <w:t xml:space="preserve">These sales are not commissionable: </w:t>
      </w:r>
      <w:r>
        <w:rPr>
          <w:rFonts w:ascii="Arial" w:hAnsi="Arial" w:cs="Arial" w:eastAsia="Arial"/>
          <w:b w:val="0"/>
          <w:i w:val="0"/>
          <w:color w:val="4C39CA"/>
          <w:sz w:val="21"/>
          <w:shd w:val="clear" w:color="auto" w:fill="E6E0FB"/>
        </w:rPr>
        <w:t>[for example internal sales, sales to related parties and sales below the minimum price without written approval]</w:t>
      </w:r>
      <w:r>
        <w:rPr>
          <w:rFonts w:ascii="Arial" w:hAnsi="Arial" w:cs="Arial" w:eastAsia="Arial"/>
          <w:b w:val="0"/>
          <w:i w:val="0"/>
          <w:color w:val="110663"/>
          <w:sz w:val="21"/>
        </w:rPr>
        <w:t>.</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2200"/>
        <w:gridCol w:w="3413"/>
        <w:gridCol w:w="3413"/>
      </w:tblGrid>
      <w:tr>
        <w:trPr>
          <w:tblHeader w:val="true"/>
          <w:cantSplit/>
        </w:trPr>
        <w:tc>
          <w:tcPr>
            <w:tcW w:type="dxa" w:w="2200"/>
            <w:shd w:val="clear" w:color="auto" w:fill="F4F1FE"/>
          </w:tcPr>
          <w:p>
            <w:pPr>
              <w:spacing w:before="0" w:after="0" w:line="252" w:lineRule="auto"/>
            </w:pPr>
            <w:r>
              <w:rPr>
                <w:rFonts w:ascii="Arial" w:hAnsi="Arial" w:cs="Arial" w:eastAsia="Arial"/>
                <w:b/>
                <w:i w:val="0"/>
                <w:color w:val="110663"/>
                <w:sz w:val="19"/>
              </w:rPr>
              <w:t>Earning Event</w:t>
            </w:r>
          </w:p>
        </w:tc>
        <w:tc>
          <w:tcPr>
            <w:tcW w:type="dxa" w:w="3413"/>
            <w:shd w:val="clear" w:color="auto" w:fill="F4F1FE"/>
          </w:tcPr>
          <w:p>
            <w:pPr>
              <w:spacing w:before="0" w:after="0" w:line="252" w:lineRule="auto"/>
            </w:pPr>
            <w:r>
              <w:rPr>
                <w:rFonts w:ascii="Arial" w:hAnsi="Arial" w:cs="Arial" w:eastAsia="Arial"/>
                <w:b/>
                <w:i w:val="0"/>
                <w:color w:val="110663"/>
                <w:sz w:val="19"/>
              </w:rPr>
              <w:t>Advantage</w:t>
            </w:r>
          </w:p>
        </w:tc>
        <w:tc>
          <w:tcPr>
            <w:tcW w:type="dxa" w:w="3413"/>
            <w:shd w:val="clear" w:color="auto" w:fill="F4F1FE"/>
          </w:tcPr>
          <w:p>
            <w:pPr>
              <w:spacing w:before="0" w:after="0" w:line="252" w:lineRule="auto"/>
            </w:pPr>
            <w:r>
              <w:rPr>
                <w:rFonts w:ascii="Arial" w:hAnsi="Arial" w:cs="Arial" w:eastAsia="Arial"/>
                <w:b/>
                <w:i w:val="0"/>
                <w:color w:val="110663"/>
                <w:sz w:val="19"/>
              </w:rPr>
              <w:t>Drawback</w:t>
            </w:r>
          </w:p>
        </w:tc>
      </w:tr>
      <w:tr>
        <w:trPr>
          <w:cantSplit/>
        </w:trPr>
        <w:tc>
          <w:tcPr>
            <w:tcW w:type="dxa" w:w="2200"/>
          </w:tcPr>
          <w:p>
            <w:pPr>
              <w:spacing w:before="0" w:after="0" w:line="252" w:lineRule="auto"/>
            </w:pPr>
            <w:r>
              <w:rPr>
                <w:rFonts w:ascii="Arial" w:hAnsi="Arial" w:cs="Arial" w:eastAsia="Arial"/>
                <w:b w:val="0"/>
                <w:i w:val="0"/>
                <w:color w:val="110663"/>
                <w:sz w:val="19"/>
              </w:rPr>
              <w:t>Signature</w:t>
            </w:r>
          </w:p>
        </w:tc>
        <w:tc>
          <w:tcPr>
            <w:tcW w:type="dxa" w:w="3413"/>
          </w:tcPr>
          <w:p>
            <w:pPr>
              <w:spacing w:before="0" w:after="0" w:line="252" w:lineRule="auto"/>
            </w:pPr>
            <w:r>
              <w:rPr>
                <w:rFonts w:ascii="Arial" w:hAnsi="Arial" w:cs="Arial" w:eastAsia="Arial"/>
                <w:b w:val="0"/>
                <w:i w:val="0"/>
                <w:color w:val="110663"/>
                <w:sz w:val="19"/>
              </w:rPr>
              <w:t>Fast and motivating for the rep</w:t>
            </w:r>
          </w:p>
        </w:tc>
        <w:tc>
          <w:tcPr>
            <w:tcW w:type="dxa" w:w="3413"/>
          </w:tcPr>
          <w:p>
            <w:pPr>
              <w:spacing w:before="0" w:after="0" w:line="252" w:lineRule="auto"/>
            </w:pPr>
            <w:r>
              <w:rPr>
                <w:rFonts w:ascii="Arial" w:hAnsi="Arial" w:cs="Arial" w:eastAsia="Arial"/>
                <w:b w:val="0"/>
                <w:i w:val="0"/>
                <w:color w:val="110663"/>
                <w:sz w:val="19"/>
              </w:rPr>
              <w:t>Most clawbacks, because the customer has not paid yet</w:t>
            </w:r>
          </w:p>
        </w:tc>
      </w:tr>
      <w:tr>
        <w:trPr>
          <w:cantSplit/>
        </w:trPr>
        <w:tc>
          <w:tcPr>
            <w:tcW w:type="dxa" w:w="2200"/>
          </w:tcPr>
          <w:p>
            <w:pPr>
              <w:spacing w:before="0" w:after="0" w:line="252" w:lineRule="auto"/>
            </w:pPr>
            <w:r>
              <w:rPr>
                <w:rFonts w:ascii="Arial" w:hAnsi="Arial" w:cs="Arial" w:eastAsia="Arial"/>
                <w:b w:val="0"/>
                <w:i w:val="0"/>
                <w:color w:val="110663"/>
                <w:sz w:val="19"/>
              </w:rPr>
              <w:t>Invoice</w:t>
            </w:r>
          </w:p>
        </w:tc>
        <w:tc>
          <w:tcPr>
            <w:tcW w:type="dxa" w:w="3413"/>
          </w:tcPr>
          <w:p>
            <w:pPr>
              <w:spacing w:before="0" w:after="0" w:line="252" w:lineRule="auto"/>
            </w:pPr>
            <w:r>
              <w:rPr>
                <w:rFonts w:ascii="Arial" w:hAnsi="Arial" w:cs="Arial" w:eastAsia="Arial"/>
                <w:b w:val="0"/>
                <w:i w:val="0"/>
                <w:color w:val="110663"/>
                <w:sz w:val="19"/>
              </w:rPr>
              <w:t>One number that finance also uses</w:t>
            </w:r>
          </w:p>
        </w:tc>
        <w:tc>
          <w:tcPr>
            <w:tcW w:type="dxa" w:w="3413"/>
          </w:tcPr>
          <w:p>
            <w:pPr>
              <w:spacing w:before="0" w:after="0" w:line="252" w:lineRule="auto"/>
            </w:pPr>
            <w:r>
              <w:rPr>
                <w:rFonts w:ascii="Arial" w:hAnsi="Arial" w:cs="Arial" w:eastAsia="Arial"/>
                <w:b w:val="0"/>
                <w:i w:val="0"/>
                <w:color w:val="110663"/>
                <w:sz w:val="19"/>
              </w:rPr>
              <w:t>Clawback for non-payment must still be agreed</w:t>
            </w:r>
          </w:p>
        </w:tc>
      </w:tr>
      <w:tr>
        <w:trPr>
          <w:cantSplit/>
        </w:trPr>
        <w:tc>
          <w:tcPr>
            <w:tcW w:type="dxa" w:w="2200"/>
          </w:tcPr>
          <w:p>
            <w:pPr>
              <w:spacing w:before="0" w:after="0" w:line="252" w:lineRule="auto"/>
            </w:pPr>
            <w:r>
              <w:rPr>
                <w:rFonts w:ascii="Arial" w:hAnsi="Arial" w:cs="Arial" w:eastAsia="Arial"/>
                <w:b w:val="0"/>
                <w:i w:val="0"/>
                <w:color w:val="110663"/>
                <w:sz w:val="19"/>
              </w:rPr>
              <w:t>Payment</w:t>
            </w:r>
          </w:p>
        </w:tc>
        <w:tc>
          <w:tcPr>
            <w:tcW w:type="dxa" w:w="3413"/>
          </w:tcPr>
          <w:p>
            <w:pPr>
              <w:spacing w:before="0" w:after="0" w:line="252" w:lineRule="auto"/>
            </w:pPr>
            <w:r>
              <w:rPr>
                <w:rFonts w:ascii="Arial" w:hAnsi="Arial" w:cs="Arial" w:eastAsia="Arial"/>
                <w:b w:val="0"/>
                <w:i w:val="0"/>
                <w:color w:val="110663"/>
                <w:sz w:val="19"/>
              </w:rPr>
              <w:t>Almost no clawbacks</w:t>
            </w:r>
          </w:p>
        </w:tc>
        <w:tc>
          <w:tcPr>
            <w:tcW w:type="dxa" w:w="3413"/>
          </w:tcPr>
          <w:p>
            <w:pPr>
              <w:spacing w:before="0" w:after="0" w:line="252" w:lineRule="auto"/>
            </w:pPr>
            <w:r>
              <w:rPr>
                <w:rFonts w:ascii="Arial" w:hAnsi="Arial" w:cs="Arial" w:eastAsia="Arial"/>
                <w:b w:val="0"/>
                <w:i w:val="0"/>
                <w:color w:val="110663"/>
                <w:sz w:val="19"/>
              </w:rPr>
              <w:t>The rep waits longer and carries the customer's payment risk</w:t>
            </w:r>
          </w:p>
        </w:tc>
      </w:tr>
    </w:tbl>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Whether an amount is earned commission or an advance decides how it can be recovered later. In the US, a California appeals court allowed charge-backs of commission advanced before all conditions were met (Steinhebel v. Los Angeles Times Communications, 2005). Define the Earning Event precisely.</w:t>
      </w:r>
    </w:p>
    <w:p>
      <w:pPr>
        <w:pStyle w:val="Heading2"/>
        <w:keepNext/>
        <w:spacing w:before="400" w:after="140" w:line="240" w:lineRule="auto"/>
      </w:pPr>
      <w:r>
        <w:rPr>
          <w:rFonts w:ascii="Arial" w:hAnsi="Arial" w:cs="Arial" w:eastAsia="Arial"/>
          <w:b w:val="0"/>
          <w:i w:val="0"/>
          <w:color w:val="110663"/>
          <w:sz w:val="30"/>
        </w:rPr>
        <w:t>5. Crediting and splits</w:t>
      </w:r>
    </w:p>
    <w:p>
      <w:pPr>
        <w:tabs>
          <w:tab w:pos="567" w:val="left"/>
        </w:tabs>
        <w:spacing w:before="0" w:after="120" w:line="276" w:lineRule="auto"/>
        <w:ind w:left="567" w:hanging="567"/>
      </w:pPr>
      <w:r>
        <w:rPr>
          <w:rFonts w:ascii="Arial" w:hAnsi="Arial" w:cs="Arial" w:eastAsia="Arial"/>
          <w:b/>
          <w:i w:val="0"/>
          <w:color w:val="4C39CA"/>
          <w:sz w:val="21"/>
        </w:rPr>
        <w:t>5.1</w:t>
      </w:r>
      <w:r>
        <w:rPr>
          <w:rFonts w:ascii="Arial" w:hAnsi="Arial" w:cs="Arial" w:eastAsia="Arial"/>
          <w:b w:val="0"/>
          <w:i w:val="0"/>
          <w:color w:val="110663"/>
          <w:sz w:val="21"/>
        </w:rPr>
        <w:tab/>
      </w:r>
      <w:r>
        <w:rPr>
          <w:rFonts w:ascii="Arial" w:hAnsi="Arial" w:cs="Arial" w:eastAsia="Arial"/>
          <w:b w:val="0"/>
          <w:i w:val="0"/>
          <w:color w:val="110663"/>
          <w:sz w:val="21"/>
        </w:rPr>
        <w:t xml:space="preserve">Commission is credited to the deal owner recorded in </w:t>
      </w:r>
      <w:r>
        <w:rPr>
          <w:rFonts w:ascii="Arial" w:hAnsi="Arial" w:cs="Arial" w:eastAsia="Arial"/>
          <w:b w:val="0"/>
          <w:i w:val="0"/>
          <w:color w:val="4C39CA"/>
          <w:sz w:val="21"/>
          <w:shd w:val="clear" w:color="auto" w:fill="E6E0FB"/>
        </w:rPr>
        <w:t>[CRM system]</w:t>
      </w:r>
      <w:r>
        <w:rPr>
          <w:rFonts w:ascii="Arial" w:hAnsi="Arial" w:cs="Arial" w:eastAsia="Arial"/>
          <w:b w:val="0"/>
          <w:i w:val="0"/>
          <w:color w:val="110663"/>
          <w:sz w:val="21"/>
        </w:rPr>
        <w:t xml:space="preserve"> at the Earning Event.</w:t>
      </w:r>
    </w:p>
    <w:p>
      <w:pPr>
        <w:tabs>
          <w:tab w:pos="567" w:val="left"/>
        </w:tabs>
        <w:spacing w:before="0" w:after="120" w:line="276" w:lineRule="auto"/>
        <w:ind w:left="567" w:hanging="567"/>
      </w:pPr>
      <w:r>
        <w:rPr>
          <w:rFonts w:ascii="Arial" w:hAnsi="Arial" w:cs="Arial" w:eastAsia="Arial"/>
          <w:b/>
          <w:i w:val="0"/>
          <w:color w:val="4C39CA"/>
          <w:sz w:val="21"/>
        </w:rPr>
        <w:t>5.2</w:t>
      </w:r>
      <w:r>
        <w:rPr>
          <w:rFonts w:ascii="Arial" w:hAnsi="Arial" w:cs="Arial" w:eastAsia="Arial"/>
          <w:b w:val="0"/>
          <w:i w:val="0"/>
          <w:color w:val="110663"/>
          <w:sz w:val="21"/>
        </w:rPr>
        <w:tab/>
      </w:r>
      <w:r>
        <w:rPr>
          <w:rFonts w:ascii="Arial" w:hAnsi="Arial" w:cs="Arial" w:eastAsia="Arial"/>
          <w:b w:val="0"/>
          <w:i w:val="0"/>
          <w:color w:val="110663"/>
          <w:sz w:val="21"/>
        </w:rPr>
        <w:t xml:space="preserve">If more than one Participant worked on a deal, the credit is split </w:t>
      </w:r>
      <w:r>
        <w:rPr>
          <w:rFonts w:ascii="Arial" w:hAnsi="Arial" w:cs="Arial" w:eastAsia="Arial"/>
          <w:b w:val="0"/>
          <w:i w:val="0"/>
          <w:color w:val="4C39CA"/>
          <w:sz w:val="21"/>
          <w:shd w:val="clear" w:color="auto" w:fill="E6E0FB"/>
        </w:rPr>
        <w:t>[Choose: as recorded in the CRM and approved by the sales manager before the deal closes / on a fixed basis of [50/50]</w:t>
      </w:r>
      <w:r>
        <w:rPr>
          <w:rFonts w:ascii="Arial" w:hAnsi="Arial" w:cs="Arial" w:eastAsia="Arial"/>
          <w:b w:val="0"/>
          <w:i w:val="0"/>
          <w:color w:val="110663"/>
          <w:sz w:val="21"/>
        </w:rPr>
        <w:t xml:space="preserve"> between </w:t>
      </w:r>
      <w:r>
        <w:rPr>
          <w:rFonts w:ascii="Arial" w:hAnsi="Arial" w:cs="Arial" w:eastAsia="Arial"/>
          <w:b w:val="0"/>
          <w:i w:val="0"/>
          <w:color w:val="4C39CA"/>
          <w:sz w:val="21"/>
          <w:shd w:val="clear" w:color="auto" w:fill="E6E0FB"/>
        </w:rPr>
        <w:t>[role]</w:t>
      </w:r>
      <w:r>
        <w:rPr>
          <w:rFonts w:ascii="Arial" w:hAnsi="Arial" w:cs="Arial" w:eastAsia="Arial"/>
          <w:b w:val="0"/>
          <w:i w:val="0"/>
          <w:color w:val="110663"/>
          <w:sz w:val="21"/>
        </w:rPr>
        <w:t xml:space="preserve"> and </w:t>
      </w:r>
      <w:r>
        <w:rPr>
          <w:rFonts w:ascii="Arial" w:hAnsi="Arial" w:cs="Arial" w:eastAsia="Arial"/>
          <w:b w:val="0"/>
          <w:i w:val="0"/>
          <w:color w:val="4C39CA"/>
          <w:sz w:val="21"/>
          <w:shd w:val="clear" w:color="auto" w:fill="E6E0FB"/>
        </w:rPr>
        <w:t>[role]</w:t>
      </w:r>
      <w:r>
        <w:rPr>
          <w:rFonts w:ascii="Arial" w:hAnsi="Arial" w:cs="Arial" w:eastAsia="Arial"/>
          <w:b w:val="0"/>
          <w:i w:val="0"/>
          <w:color w:val="110663"/>
          <w:sz w:val="21"/>
        </w:rPr>
        <w:t>]. Splits on one deal never exceed 100%.</w:t>
      </w:r>
    </w:p>
    <w:p>
      <w:pPr>
        <w:tabs>
          <w:tab w:pos="567" w:val="left"/>
        </w:tabs>
        <w:spacing w:before="0" w:after="120" w:line="276" w:lineRule="auto"/>
        <w:ind w:left="567" w:hanging="567"/>
      </w:pPr>
      <w:r>
        <w:rPr>
          <w:rFonts w:ascii="Arial" w:hAnsi="Arial" w:cs="Arial" w:eastAsia="Arial"/>
          <w:b/>
          <w:i w:val="0"/>
          <w:color w:val="4C39CA"/>
          <w:sz w:val="21"/>
        </w:rPr>
        <w:t>5.3</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[If relevant:]</w:t>
      </w:r>
      <w:r>
        <w:rPr>
          <w:rFonts w:ascii="Arial" w:hAnsi="Arial" w:cs="Arial" w:eastAsia="Arial"/>
          <w:b w:val="0"/>
          <w:i w:val="0"/>
          <w:color w:val="110663"/>
          <w:sz w:val="21"/>
        </w:rPr>
        <w:t xml:space="preserve"> Overlay roles, such as a sales manager's override, are paid under their own Plan and do not reduce the deal owner's credit.</w:t>
      </w:r>
    </w:p>
    <w:p>
      <w:pPr>
        <w:tabs>
          <w:tab w:pos="567" w:val="left"/>
        </w:tabs>
        <w:spacing w:before="0" w:after="120" w:line="276" w:lineRule="auto"/>
        <w:ind w:left="567" w:hanging="567"/>
      </w:pPr>
      <w:r>
        <w:rPr>
          <w:rFonts w:ascii="Arial" w:hAnsi="Arial" w:cs="Arial" w:eastAsia="Arial"/>
          <w:b/>
          <w:i w:val="0"/>
          <w:color w:val="4C39CA"/>
          <w:sz w:val="21"/>
        </w:rPr>
        <w:t>5.4</w:t>
      </w:r>
      <w:r>
        <w:rPr>
          <w:rFonts w:ascii="Arial" w:hAnsi="Arial" w:cs="Arial" w:eastAsia="Arial"/>
          <w:b w:val="0"/>
          <w:i w:val="0"/>
          <w:color w:val="110663"/>
          <w:sz w:val="21"/>
        </w:rPr>
        <w:tab/>
      </w:r>
      <w:r>
        <w:rPr>
          <w:rFonts w:ascii="Arial" w:hAnsi="Arial" w:cs="Arial" w:eastAsia="Arial"/>
          <w:b w:val="0"/>
          <w:i w:val="0"/>
          <w:color w:val="110663"/>
          <w:sz w:val="21"/>
        </w:rPr>
        <w:t xml:space="preserve">When accounts or territories are transferred, deals that close after the transfer date are credited to the new owner, unless the deal was at stage </w:t>
      </w:r>
      <w:r>
        <w:rPr>
          <w:rFonts w:ascii="Arial" w:hAnsi="Arial" w:cs="Arial" w:eastAsia="Arial"/>
          <w:b w:val="0"/>
          <w:i w:val="0"/>
          <w:color w:val="4C39CA"/>
          <w:sz w:val="21"/>
          <w:shd w:val="clear" w:color="auto" w:fill="E6E0FB"/>
        </w:rPr>
        <w:t>[stage]</w:t>
      </w:r>
      <w:r>
        <w:rPr>
          <w:rFonts w:ascii="Arial" w:hAnsi="Arial" w:cs="Arial" w:eastAsia="Arial"/>
          <w:b w:val="0"/>
          <w:i w:val="0"/>
          <w:color w:val="110663"/>
          <w:sz w:val="21"/>
        </w:rPr>
        <w:t xml:space="preserve"> or later on the transfer date, in which case the credit is split </w:t>
      </w:r>
      <w:r>
        <w:rPr>
          <w:rFonts w:ascii="Arial" w:hAnsi="Arial" w:cs="Arial" w:eastAsia="Arial"/>
          <w:b w:val="0"/>
          <w:i w:val="0"/>
          <w:color w:val="4C39CA"/>
          <w:sz w:val="21"/>
          <w:shd w:val="clear" w:color="auto" w:fill="E6E0FB"/>
        </w:rPr>
        <w:t>[50/50]</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5.5</w:t>
      </w:r>
      <w:r>
        <w:rPr>
          <w:rFonts w:ascii="Arial" w:hAnsi="Arial" w:cs="Arial" w:eastAsia="Arial"/>
          <w:b w:val="0"/>
          <w:i w:val="0"/>
          <w:color w:val="110663"/>
          <w:sz w:val="21"/>
        </w:rPr>
        <w:tab/>
      </w:r>
      <w:r>
        <w:rPr>
          <w:rFonts w:ascii="Arial" w:hAnsi="Arial" w:cs="Arial" w:eastAsia="Arial"/>
          <w:b w:val="0"/>
          <w:i w:val="0"/>
          <w:color w:val="110663"/>
          <w:sz w:val="21"/>
        </w:rPr>
        <w:t xml:space="preserve">Disagreements about crediting are decided by </w:t>
      </w:r>
      <w:r>
        <w:rPr>
          <w:rFonts w:ascii="Arial" w:hAnsi="Arial" w:cs="Arial" w:eastAsia="Arial"/>
          <w:b w:val="0"/>
          <w:i w:val="0"/>
          <w:color w:val="4C39CA"/>
          <w:sz w:val="21"/>
          <w:shd w:val="clear" w:color="auto" w:fill="E6E0FB"/>
        </w:rPr>
        <w:t>[the Head of Sales]</w:t>
      </w:r>
      <w:r>
        <w:rPr>
          <w:rFonts w:ascii="Arial" w:hAnsi="Arial" w:cs="Arial" w:eastAsia="Arial"/>
          <w:b w:val="0"/>
          <w:i w:val="0"/>
          <w:color w:val="110663"/>
          <w:sz w:val="21"/>
        </w:rPr>
        <w:t xml:space="preserve"> within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working days.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Most commission disputes are about crediting. Agree the split before the deal closes, and use the same fields as in your CRM.</w:t>
      </w:r>
    </w:p>
    <w:p>
      <w:pPr>
        <w:pStyle w:val="Heading2"/>
        <w:keepNext/>
        <w:spacing w:before="400" w:after="140" w:line="240" w:lineRule="auto"/>
      </w:pPr>
      <w:r>
        <w:rPr>
          <w:rFonts w:ascii="Arial" w:hAnsi="Arial" w:cs="Arial" w:eastAsia="Arial"/>
          <w:b w:val="0"/>
          <w:i w:val="0"/>
          <w:color w:val="110663"/>
          <w:sz w:val="30"/>
        </w:rPr>
        <w:t>6. Payout timing</w:t>
      </w:r>
    </w:p>
    <w:p>
      <w:pPr>
        <w:tabs>
          <w:tab w:pos="567" w:val="left"/>
        </w:tabs>
        <w:spacing w:before="0" w:after="120" w:line="276" w:lineRule="auto"/>
        <w:ind w:left="567" w:hanging="567"/>
      </w:pPr>
      <w:r>
        <w:rPr>
          <w:rFonts w:ascii="Arial" w:hAnsi="Arial" w:cs="Arial" w:eastAsia="Arial"/>
          <w:b/>
          <w:i w:val="0"/>
          <w:color w:val="4C39CA"/>
          <w:sz w:val="21"/>
        </w:rPr>
        <w:t>6.1</w:t>
      </w:r>
      <w:r>
        <w:rPr>
          <w:rFonts w:ascii="Arial" w:hAnsi="Arial" w:cs="Arial" w:eastAsia="Arial"/>
          <w:b w:val="0"/>
          <w:i w:val="0"/>
          <w:color w:val="110663"/>
          <w:sz w:val="21"/>
        </w:rPr>
        <w:tab/>
      </w:r>
      <w:r>
        <w:rPr>
          <w:rFonts w:ascii="Arial" w:hAnsi="Arial" w:cs="Arial" w:eastAsia="Arial"/>
          <w:b w:val="0"/>
          <w:i w:val="0"/>
          <w:color w:val="110663"/>
          <w:sz w:val="21"/>
        </w:rPr>
        <w:t xml:space="preserve">Commission for a Period is paid with </w:t>
      </w:r>
      <w:r>
        <w:rPr>
          <w:rFonts w:ascii="Arial" w:hAnsi="Arial" w:cs="Arial" w:eastAsia="Arial"/>
          <w:b w:val="0"/>
          <w:i w:val="0"/>
          <w:color w:val="4C39CA"/>
          <w:sz w:val="21"/>
          <w:shd w:val="clear" w:color="auto" w:fill="E6E0FB"/>
        </w:rPr>
        <w:t>[Choose: the salary for the following month / the second payroll after the Period closes]</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6.2</w:t>
      </w:r>
      <w:r>
        <w:rPr>
          <w:rFonts w:ascii="Arial" w:hAnsi="Arial" w:cs="Arial" w:eastAsia="Arial"/>
          <w:b w:val="0"/>
          <w:i w:val="0"/>
          <w:color w:val="110663"/>
          <w:sz w:val="21"/>
        </w:rPr>
        <w:tab/>
      </w:r>
      <w:r>
        <w:rPr>
          <w:rFonts w:ascii="Arial" w:hAnsi="Arial" w:cs="Arial" w:eastAsia="Arial"/>
          <w:b w:val="0"/>
          <w:i w:val="0"/>
          <w:color w:val="110663"/>
          <w:sz w:val="21"/>
        </w:rPr>
        <w:t>Commission is paid through payroll and is subject to tax and other deductions required by law.</w:t>
      </w:r>
    </w:p>
    <w:p>
      <w:pPr>
        <w:tabs>
          <w:tab w:pos="567" w:val="left"/>
        </w:tabs>
        <w:spacing w:before="0" w:after="120" w:line="276" w:lineRule="auto"/>
        <w:ind w:left="567" w:hanging="567"/>
      </w:pPr>
      <w:r>
        <w:rPr>
          <w:rFonts w:ascii="Arial" w:hAnsi="Arial" w:cs="Arial" w:eastAsia="Arial"/>
          <w:b/>
          <w:i w:val="0"/>
          <w:color w:val="4C39CA"/>
          <w:sz w:val="21"/>
        </w:rPr>
        <w:t>6.3</w:t>
      </w:r>
      <w:r>
        <w:rPr>
          <w:rFonts w:ascii="Arial" w:hAnsi="Arial" w:cs="Arial" w:eastAsia="Arial"/>
          <w:b w:val="0"/>
          <w:i w:val="0"/>
          <w:color w:val="110663"/>
          <w:sz w:val="21"/>
        </w:rPr>
        <w:tab/>
      </w:r>
      <w:r>
        <w:rPr>
          <w:rFonts w:ascii="Arial" w:hAnsi="Arial" w:cs="Arial" w:eastAsia="Arial"/>
          <w:b w:val="0"/>
          <w:i w:val="0"/>
          <w:color w:val="110663"/>
          <w:sz w:val="21"/>
        </w:rPr>
        <w:t>If an amount cannot be calculated in time, for example because payment data is missing, it is paid with the first payroll after it has been calculated.</w:t>
      </w:r>
    </w:p>
    <w:p>
      <w:pPr>
        <w:tabs>
          <w:tab w:pos="567" w:val="left"/>
        </w:tabs>
        <w:spacing w:before="0" w:after="120" w:line="276" w:lineRule="auto"/>
        <w:ind w:left="567" w:hanging="567"/>
      </w:pPr>
      <w:r>
        <w:rPr>
          <w:rFonts w:ascii="Arial" w:hAnsi="Arial" w:cs="Arial" w:eastAsia="Arial"/>
          <w:b/>
          <w:i w:val="0"/>
          <w:color w:val="4C39CA"/>
          <w:sz w:val="21"/>
        </w:rPr>
        <w:t>6.4</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[If relevant:]</w:t>
      </w:r>
      <w:r>
        <w:rPr>
          <w:rFonts w:ascii="Arial" w:hAnsi="Arial" w:cs="Arial" w:eastAsia="Arial"/>
          <w:b w:val="0"/>
          <w:i w:val="0"/>
          <w:color w:val="110663"/>
          <w:sz w:val="21"/>
        </w:rPr>
        <w:t xml:space="preserve">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of commission is held back until </w:t>
      </w:r>
      <w:r>
        <w:rPr>
          <w:rFonts w:ascii="Arial" w:hAnsi="Arial" w:cs="Arial" w:eastAsia="Arial"/>
          <w:b w:val="0"/>
          <w:i w:val="0"/>
          <w:color w:val="4C39CA"/>
          <w:sz w:val="21"/>
          <w:shd w:val="clear" w:color="auto" w:fill="E6E0FB"/>
        </w:rPr>
        <w:t>[the end of the quarter]</w:t>
      </w:r>
      <w:r>
        <w:rPr>
          <w:rFonts w:ascii="Arial" w:hAnsi="Arial" w:cs="Arial" w:eastAsia="Arial"/>
          <w:b w:val="0"/>
          <w:i w:val="0"/>
          <w:color w:val="110663"/>
          <w:sz w:val="21"/>
        </w:rPr>
        <w:t xml:space="preserve"> and paid with </w:t>
      </w:r>
      <w:r>
        <w:rPr>
          <w:rFonts w:ascii="Arial" w:hAnsi="Arial" w:cs="Arial" w:eastAsia="Arial"/>
          <w:b w:val="0"/>
          <w:i w:val="0"/>
          <w:color w:val="4C39CA"/>
          <w:sz w:val="21"/>
          <w:shd w:val="clear" w:color="auto" w:fill="E6E0FB"/>
        </w:rPr>
        <w:t>[the following month's salary]</w:t>
      </w:r>
      <w:r>
        <w:rPr>
          <w:rFonts w:ascii="Arial" w:hAnsi="Arial" w:cs="Arial" w:eastAsia="Arial"/>
          <w:b w:val="0"/>
          <w:i w:val="0"/>
          <w:color w:val="110663"/>
          <w:sz w:val="21"/>
        </w:rPr>
        <w:t>, after clawbacks have been offset.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Some countries set deadlines for paying wages, including commission, and for final pay. Check the rules where each Participant works before you fix the payout date.</w:t>
      </w:r>
    </w:p>
    <w:p>
      <w:pPr>
        <w:pStyle w:val="Heading2"/>
        <w:keepNext/>
        <w:spacing w:before="400" w:after="140" w:line="240" w:lineRule="auto"/>
      </w:pPr>
      <w:r>
        <w:rPr>
          <w:rFonts w:ascii="Arial" w:hAnsi="Arial" w:cs="Arial" w:eastAsia="Arial"/>
          <w:b w:val="0"/>
          <w:i w:val="0"/>
          <w:color w:val="110663"/>
          <w:sz w:val="30"/>
        </w:rPr>
        <w:t>7. Statements and disputes</w:t>
      </w:r>
    </w:p>
    <w:p>
      <w:pPr>
        <w:tabs>
          <w:tab w:pos="567" w:val="left"/>
        </w:tabs>
        <w:spacing w:before="0" w:after="120" w:line="276" w:lineRule="auto"/>
        <w:ind w:left="567" w:hanging="567"/>
      </w:pPr>
      <w:r>
        <w:rPr>
          <w:rFonts w:ascii="Arial" w:hAnsi="Arial" w:cs="Arial" w:eastAsia="Arial"/>
          <w:b/>
          <w:i w:val="0"/>
          <w:color w:val="4C39CA"/>
          <w:sz w:val="21"/>
        </w:rPr>
        <w:t>7.1</w:t>
      </w:r>
      <w:r>
        <w:rPr>
          <w:rFonts w:ascii="Arial" w:hAnsi="Arial" w:cs="Arial" w:eastAsia="Arial"/>
          <w:b w:val="0"/>
          <w:i w:val="0"/>
          <w:color w:val="110663"/>
          <w:sz w:val="21"/>
        </w:rPr>
        <w:tab/>
      </w:r>
      <w:r>
        <w:rPr>
          <w:rFonts w:ascii="Arial" w:hAnsi="Arial" w:cs="Arial" w:eastAsia="Arial"/>
          <w:b w:val="0"/>
          <w:i w:val="0"/>
          <w:color w:val="110663"/>
          <w:sz w:val="21"/>
        </w:rPr>
        <w:t>Each Participant receives a commission statement for each Period showing deals, basis, rate, credits, corrections, clawbacks and the amount payable.</w:t>
      </w:r>
    </w:p>
    <w:p>
      <w:pPr>
        <w:tabs>
          <w:tab w:pos="567" w:val="left"/>
        </w:tabs>
        <w:spacing w:before="0" w:after="120" w:line="276" w:lineRule="auto"/>
        <w:ind w:left="567" w:hanging="567"/>
      </w:pPr>
      <w:r>
        <w:rPr>
          <w:rFonts w:ascii="Arial" w:hAnsi="Arial" w:cs="Arial" w:eastAsia="Arial"/>
          <w:b/>
          <w:i w:val="0"/>
          <w:color w:val="4C39CA"/>
          <w:sz w:val="21"/>
        </w:rPr>
        <w:t>7.2</w:t>
      </w:r>
      <w:r>
        <w:rPr>
          <w:rFonts w:ascii="Arial" w:hAnsi="Arial" w:cs="Arial" w:eastAsia="Arial"/>
          <w:b w:val="0"/>
          <w:i w:val="0"/>
          <w:color w:val="110663"/>
          <w:sz w:val="21"/>
        </w:rPr>
        <w:tab/>
      </w:r>
      <w:r>
        <w:rPr>
          <w:rFonts w:ascii="Arial" w:hAnsi="Arial" w:cs="Arial" w:eastAsia="Arial"/>
          <w:b w:val="0"/>
          <w:i w:val="0"/>
          <w:color w:val="110663"/>
          <w:sz w:val="21"/>
        </w:rPr>
        <w:t xml:space="preserve">Statements are approved by </w:t>
      </w:r>
      <w:r>
        <w:rPr>
          <w:rFonts w:ascii="Arial" w:hAnsi="Arial" w:cs="Arial" w:eastAsia="Arial"/>
          <w:b w:val="0"/>
          <w:i w:val="0"/>
          <w:color w:val="4C39CA"/>
          <w:sz w:val="21"/>
          <w:shd w:val="clear" w:color="auto" w:fill="E6E0FB"/>
        </w:rPr>
        <w:t>[the Head of Sales and Finance]</w:t>
      </w:r>
      <w:r>
        <w:rPr>
          <w:rFonts w:ascii="Arial" w:hAnsi="Arial" w:cs="Arial" w:eastAsia="Arial"/>
          <w:b w:val="0"/>
          <w:i w:val="0"/>
          <w:color w:val="110663"/>
          <w:sz w:val="21"/>
        </w:rPr>
        <w:t xml:space="preserve"> before the amount is sent to payroll.</w:t>
      </w:r>
    </w:p>
    <w:p>
      <w:pPr>
        <w:tabs>
          <w:tab w:pos="567" w:val="left"/>
        </w:tabs>
        <w:spacing w:before="0" w:after="120" w:line="276" w:lineRule="auto"/>
        <w:ind w:left="567" w:hanging="567"/>
      </w:pPr>
      <w:r>
        <w:rPr>
          <w:rFonts w:ascii="Arial" w:hAnsi="Arial" w:cs="Arial" w:eastAsia="Arial"/>
          <w:b/>
          <w:i w:val="0"/>
          <w:color w:val="4C39CA"/>
          <w:sz w:val="21"/>
        </w:rPr>
        <w:t>7.3</w:t>
      </w:r>
      <w:r>
        <w:rPr>
          <w:rFonts w:ascii="Arial" w:hAnsi="Arial" w:cs="Arial" w:eastAsia="Arial"/>
          <w:b w:val="0"/>
          <w:i w:val="0"/>
          <w:color w:val="110663"/>
          <w:sz w:val="21"/>
        </w:rPr>
        <w:tab/>
      </w:r>
      <w:r>
        <w:rPr>
          <w:rFonts w:ascii="Arial" w:hAnsi="Arial" w:cs="Arial" w:eastAsia="Arial"/>
          <w:b w:val="0"/>
          <w:i w:val="0"/>
          <w:color w:val="110663"/>
          <w:sz w:val="21"/>
        </w:rPr>
        <w:t xml:space="preserve">A Participant who believes a statement is wrong raises it in writing with </w:t>
      </w:r>
      <w:r>
        <w:rPr>
          <w:rFonts w:ascii="Arial" w:hAnsi="Arial" w:cs="Arial" w:eastAsia="Arial"/>
          <w:b w:val="0"/>
          <w:i w:val="0"/>
          <w:color w:val="4C39CA"/>
          <w:sz w:val="21"/>
          <w:shd w:val="clear" w:color="auto" w:fill="E6E0FB"/>
        </w:rPr>
        <w:t>[their manager / sales operations]</w:t>
      </w:r>
      <w:r>
        <w:rPr>
          <w:rFonts w:ascii="Arial" w:hAnsi="Arial" w:cs="Arial" w:eastAsia="Arial"/>
          <w:b w:val="0"/>
          <w:i w:val="0"/>
          <w:color w:val="110663"/>
          <w:sz w:val="21"/>
        </w:rPr>
        <w:t xml:space="preserve"> within </w:t>
      </w:r>
      <w:r>
        <w:rPr>
          <w:rFonts w:ascii="Arial" w:hAnsi="Arial" w:cs="Arial" w:eastAsia="Arial"/>
          <w:b w:val="0"/>
          <w:i w:val="0"/>
          <w:color w:val="4C39CA"/>
          <w:sz w:val="21"/>
          <w:shd w:val="clear" w:color="auto" w:fill="E6E0FB"/>
        </w:rPr>
        <w:t>[30]</w:t>
      </w:r>
      <w:r>
        <w:rPr>
          <w:rFonts w:ascii="Arial" w:hAnsi="Arial" w:cs="Arial" w:eastAsia="Arial"/>
          <w:b w:val="0"/>
          <w:i w:val="0"/>
          <w:color w:val="110663"/>
          <w:sz w:val="21"/>
        </w:rPr>
        <w:t xml:space="preserve"> days of receiving it, stating the deal and the reason.</w:t>
      </w:r>
    </w:p>
    <w:p>
      <w:pPr>
        <w:tabs>
          <w:tab w:pos="567" w:val="left"/>
        </w:tabs>
        <w:spacing w:before="0" w:after="120" w:line="276" w:lineRule="auto"/>
        <w:ind w:left="567" w:hanging="567"/>
      </w:pPr>
      <w:r>
        <w:rPr>
          <w:rFonts w:ascii="Arial" w:hAnsi="Arial" w:cs="Arial" w:eastAsia="Arial"/>
          <w:b/>
          <w:i w:val="0"/>
          <w:color w:val="4C39CA"/>
          <w:sz w:val="21"/>
        </w:rPr>
        <w:t>7.4</w:t>
      </w:r>
      <w:r>
        <w:rPr>
          <w:rFonts w:ascii="Arial" w:hAnsi="Arial" w:cs="Arial" w:eastAsia="Arial"/>
          <w:b w:val="0"/>
          <w:i w:val="0"/>
          <w:color w:val="110663"/>
          <w:sz w:val="21"/>
        </w:rPr>
        <w:tab/>
      </w:r>
      <w:r>
        <w:rPr>
          <w:rFonts w:ascii="Arial" w:hAnsi="Arial" w:cs="Arial" w:eastAsia="Arial"/>
          <w:b w:val="0"/>
          <w:i w:val="0"/>
          <w:color w:val="110663"/>
          <w:sz w:val="21"/>
        </w:rPr>
        <w:t xml:space="preserve">The Company answers within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working days. If the Participant disagrees, they can escalate to </w:t>
      </w:r>
      <w:r>
        <w:rPr>
          <w:rFonts w:ascii="Arial" w:hAnsi="Arial" w:cs="Arial" w:eastAsia="Arial"/>
          <w:b w:val="0"/>
          <w:i w:val="0"/>
          <w:color w:val="4C39CA"/>
          <w:sz w:val="21"/>
          <w:shd w:val="clear" w:color="auto" w:fill="E6E0FB"/>
        </w:rPr>
        <w:t>[the CFO]</w:t>
      </w:r>
      <w:r>
        <w:rPr>
          <w:rFonts w:ascii="Arial" w:hAnsi="Arial" w:cs="Arial" w:eastAsia="Arial"/>
          <w:b w:val="0"/>
          <w:i w:val="0"/>
          <w:color w:val="110663"/>
          <w:sz w:val="21"/>
        </w:rPr>
        <w:t xml:space="preserve">, who answers in writing within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working days. This process does not limit any rights the Participant has under law.</w:t>
      </w:r>
    </w:p>
    <w:p>
      <w:pPr>
        <w:tabs>
          <w:tab w:pos="567" w:val="left"/>
        </w:tabs>
        <w:spacing w:before="0" w:after="120" w:line="276" w:lineRule="auto"/>
        <w:ind w:left="567" w:hanging="567"/>
      </w:pPr>
      <w:r>
        <w:rPr>
          <w:rFonts w:ascii="Arial" w:hAnsi="Arial" w:cs="Arial" w:eastAsia="Arial"/>
          <w:b/>
          <w:i w:val="0"/>
          <w:color w:val="4C39CA"/>
          <w:sz w:val="21"/>
        </w:rPr>
        <w:t>7.5</w:t>
      </w:r>
      <w:r>
        <w:rPr>
          <w:rFonts w:ascii="Arial" w:hAnsi="Arial" w:cs="Arial" w:eastAsia="Arial"/>
          <w:b w:val="0"/>
          <w:i w:val="0"/>
          <w:color w:val="110663"/>
          <w:sz w:val="21"/>
        </w:rPr>
        <w:tab/>
      </w:r>
      <w:r>
        <w:rPr>
          <w:rFonts w:ascii="Arial" w:hAnsi="Arial" w:cs="Arial" w:eastAsia="Arial"/>
          <w:b w:val="0"/>
          <w:i w:val="0"/>
          <w:color w:val="110663"/>
          <w:sz w:val="21"/>
        </w:rPr>
        <w:t xml:space="preserve">Errors found after the deadline are still corrected if they concern Periods that ended within the last </w:t>
      </w:r>
      <w:r>
        <w:rPr>
          <w:rFonts w:ascii="Arial" w:hAnsi="Arial" w:cs="Arial" w:eastAsia="Arial"/>
          <w:b w:val="0"/>
          <w:i w:val="0"/>
          <w:color w:val="4C39CA"/>
          <w:sz w:val="21"/>
          <w:shd w:val="clear" w:color="auto" w:fill="E6E0FB"/>
        </w:rPr>
        <w:t>[12]</w:t>
      </w:r>
      <w:r>
        <w:rPr>
          <w:rFonts w:ascii="Arial" w:hAnsi="Arial" w:cs="Arial" w:eastAsia="Arial"/>
          <w:b w:val="0"/>
          <w:i w:val="0"/>
          <w:color w:val="110663"/>
          <w:sz w:val="21"/>
        </w:rPr>
        <w:t xml:space="preserve"> months.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A dispute deadline gives both sides certainty, but it cannot take away a claim the Participant has under law. Use it to bring errors to the surface early.</w:t>
      </w:r>
    </w:p>
    <w:p>
      <w:pPr>
        <w:pStyle w:val="Heading2"/>
        <w:keepNext/>
        <w:spacing w:before="400" w:after="140" w:line="240" w:lineRule="auto"/>
      </w:pPr>
      <w:r>
        <w:rPr>
          <w:rFonts w:ascii="Arial" w:hAnsi="Arial" w:cs="Arial" w:eastAsia="Arial"/>
          <w:b w:val="0"/>
          <w:i w:val="0"/>
          <w:color w:val="110663"/>
          <w:sz w:val="30"/>
        </w:rPr>
        <w:t>8. Clawbacks and corrections</w:t>
      </w:r>
    </w:p>
    <w:p>
      <w:pPr>
        <w:tabs>
          <w:tab w:pos="567" w:val="left"/>
        </w:tabs>
        <w:spacing w:before="0" w:after="120" w:line="276" w:lineRule="auto"/>
        <w:ind w:left="567" w:hanging="567"/>
      </w:pPr>
      <w:r>
        <w:rPr>
          <w:rFonts w:ascii="Arial" w:hAnsi="Arial" w:cs="Arial" w:eastAsia="Arial"/>
          <w:b/>
          <w:i w:val="0"/>
          <w:color w:val="4C39CA"/>
          <w:sz w:val="21"/>
        </w:rPr>
        <w:t>8.1</w:t>
      </w:r>
      <w:r>
        <w:rPr>
          <w:rFonts w:ascii="Arial" w:hAnsi="Arial" w:cs="Arial" w:eastAsia="Arial"/>
          <w:b w:val="0"/>
          <w:i w:val="0"/>
          <w:color w:val="110663"/>
          <w:sz w:val="21"/>
        </w:rPr>
        <w:tab/>
      </w:r>
      <w:r>
        <w:rPr>
          <w:rFonts w:ascii="Arial" w:hAnsi="Arial" w:cs="Arial" w:eastAsia="Arial"/>
          <w:b w:val="0"/>
          <w:i w:val="0"/>
          <w:color w:val="110663"/>
          <w:sz w:val="21"/>
        </w:rPr>
        <w:t>Errors in a statement are corrected in either direction on the next statement, as a separate line referring to the original Period. Earlier statements are not changed.</w:t>
      </w:r>
    </w:p>
    <w:p>
      <w:pPr>
        <w:tabs>
          <w:tab w:pos="567" w:val="left"/>
        </w:tabs>
        <w:spacing w:before="0" w:after="120" w:line="276" w:lineRule="auto"/>
        <w:ind w:left="567" w:hanging="567"/>
      </w:pPr>
      <w:r>
        <w:rPr>
          <w:rFonts w:ascii="Arial" w:hAnsi="Arial" w:cs="Arial" w:eastAsia="Arial"/>
          <w:b/>
          <w:i w:val="0"/>
          <w:color w:val="4C39CA"/>
          <w:sz w:val="21"/>
        </w:rPr>
        <w:t>8.2</w:t>
      </w:r>
      <w:r>
        <w:rPr>
          <w:rFonts w:ascii="Arial" w:hAnsi="Arial" w:cs="Arial" w:eastAsia="Arial"/>
          <w:b w:val="0"/>
          <w:i w:val="0"/>
          <w:color w:val="110663"/>
          <w:sz w:val="21"/>
        </w:rPr>
        <w:tab/>
      </w:r>
      <w:r>
        <w:rPr>
          <w:rFonts w:ascii="Arial" w:hAnsi="Arial" w:cs="Arial" w:eastAsia="Arial"/>
          <w:b w:val="0"/>
          <w:i w:val="0"/>
          <w:color w:val="110663"/>
          <w:sz w:val="21"/>
        </w:rPr>
        <w:t xml:space="preserve">Clawback: commission on a deal lapses in full or in part if, within </w:t>
      </w:r>
      <w:r>
        <w:rPr>
          <w:rFonts w:ascii="Arial" w:hAnsi="Arial" w:cs="Arial" w:eastAsia="Arial"/>
          <w:b w:val="0"/>
          <w:i w:val="0"/>
          <w:color w:val="4C39CA"/>
          <w:sz w:val="21"/>
          <w:shd w:val="clear" w:color="auto" w:fill="E6E0FB"/>
        </w:rPr>
        <w:t>[90]</w:t>
      </w:r>
      <w:r>
        <w:rPr>
          <w:rFonts w:ascii="Arial" w:hAnsi="Arial" w:cs="Arial" w:eastAsia="Arial"/>
          <w:b w:val="0"/>
          <w:i w:val="0"/>
          <w:color w:val="110663"/>
          <w:sz w:val="21"/>
        </w:rPr>
        <w:t xml:space="preserve"> days of the Earning Event, </w:t>
      </w:r>
      <w:r>
        <w:rPr>
          <w:rFonts w:ascii="Arial" w:hAnsi="Arial" w:cs="Arial" w:eastAsia="Arial"/>
          <w:b w:val="0"/>
          <w:i w:val="0"/>
          <w:color w:val="4C39CA"/>
          <w:sz w:val="21"/>
          <w:shd w:val="clear" w:color="auto" w:fill="E6E0FB"/>
        </w:rPr>
        <w:t>[the customer cancels, a credit note is issued, or the invoice is unpaid [60]</w:t>
      </w:r>
      <w:r>
        <w:rPr>
          <w:rFonts w:ascii="Arial" w:hAnsi="Arial" w:cs="Arial" w:eastAsia="Arial"/>
          <w:b w:val="0"/>
          <w:i w:val="0"/>
          <w:color w:val="110663"/>
          <w:sz w:val="21"/>
        </w:rPr>
        <w:t xml:space="preserve"> days after the due date]. Clawback does not apply if the cause is something the Company is responsible for.</w:t>
      </w:r>
    </w:p>
    <w:p>
      <w:pPr>
        <w:tabs>
          <w:tab w:pos="567" w:val="left"/>
        </w:tabs>
        <w:spacing w:before="0" w:after="120" w:line="276" w:lineRule="auto"/>
        <w:ind w:left="567" w:hanging="567"/>
      </w:pPr>
      <w:r>
        <w:rPr>
          <w:rFonts w:ascii="Arial" w:hAnsi="Arial" w:cs="Arial" w:eastAsia="Arial"/>
          <w:b/>
          <w:i w:val="0"/>
          <w:color w:val="4C39CA"/>
          <w:sz w:val="21"/>
        </w:rPr>
        <w:t>8.3</w:t>
      </w:r>
      <w:r>
        <w:rPr>
          <w:rFonts w:ascii="Arial" w:hAnsi="Arial" w:cs="Arial" w:eastAsia="Arial"/>
          <w:b w:val="0"/>
          <w:i w:val="0"/>
          <w:color w:val="110663"/>
          <w:sz w:val="21"/>
        </w:rPr>
        <w:tab/>
      </w:r>
      <w:r>
        <w:rPr>
          <w:rFonts w:ascii="Arial" w:hAnsi="Arial" w:cs="Arial" w:eastAsia="Arial"/>
          <w:b w:val="0"/>
          <w:i w:val="0"/>
          <w:color w:val="110663"/>
          <w:sz w:val="21"/>
        </w:rPr>
        <w:t xml:space="preserve">Overpayments and clawbacks are recovered by offset against later commission, at most </w:t>
      </w:r>
      <w:r>
        <w:rPr>
          <w:rFonts w:ascii="Arial" w:hAnsi="Arial" w:cs="Arial" w:eastAsia="Arial"/>
          <w:b w:val="0"/>
          <w:i w:val="0"/>
          <w:color w:val="4C39CA"/>
          <w:sz w:val="21"/>
          <w:shd w:val="clear" w:color="auto" w:fill="E6E0FB"/>
        </w:rPr>
        <w:t>[50]</w:t>
      </w:r>
      <w:r>
        <w:rPr>
          <w:rFonts w:ascii="Arial" w:hAnsi="Arial" w:cs="Arial" w:eastAsia="Arial"/>
          <w:b w:val="0"/>
          <w:i w:val="0"/>
          <w:color w:val="110663"/>
          <w:sz w:val="21"/>
        </w:rPr>
        <w:t>% of the commission earned in any Period, unless the Participant has agreed in writing to another arrangement.</w:t>
      </w:r>
    </w:p>
    <w:p>
      <w:pPr>
        <w:tabs>
          <w:tab w:pos="567" w:val="left"/>
        </w:tabs>
        <w:spacing w:before="0" w:after="120" w:line="276" w:lineRule="auto"/>
        <w:ind w:left="567" w:hanging="567"/>
      </w:pPr>
      <w:r>
        <w:rPr>
          <w:rFonts w:ascii="Arial" w:hAnsi="Arial" w:cs="Arial" w:eastAsia="Arial"/>
          <w:b/>
          <w:i w:val="0"/>
          <w:color w:val="4C39CA"/>
          <w:sz w:val="21"/>
        </w:rPr>
        <w:t>8.4</w:t>
      </w:r>
      <w:r>
        <w:rPr>
          <w:rFonts w:ascii="Arial" w:hAnsi="Arial" w:cs="Arial" w:eastAsia="Arial"/>
          <w:b w:val="0"/>
          <w:i w:val="0"/>
          <w:color w:val="110663"/>
          <w:sz w:val="21"/>
        </w:rPr>
        <w:tab/>
      </w:r>
      <w:r>
        <w:rPr>
          <w:rFonts w:ascii="Arial" w:hAnsi="Arial" w:cs="Arial" w:eastAsia="Arial"/>
          <w:b w:val="0"/>
          <w:i w:val="0"/>
          <w:color w:val="110663"/>
          <w:sz w:val="21"/>
        </w:rPr>
        <w:t>The Company does not deduct any amount from base salary unless local law allows it and the Participant has authorised it in writing.</w:t>
      </w:r>
    </w:p>
    <w:p>
      <w:pPr>
        <w:tabs>
          <w:tab w:pos="567" w:val="left"/>
        </w:tabs>
        <w:spacing w:before="0" w:after="120" w:line="276" w:lineRule="auto"/>
        <w:ind w:left="567" w:hanging="567"/>
      </w:pPr>
      <w:r>
        <w:rPr>
          <w:rFonts w:ascii="Arial" w:hAnsi="Arial" w:cs="Arial" w:eastAsia="Arial"/>
          <w:b/>
          <w:i w:val="0"/>
          <w:color w:val="4C39CA"/>
          <w:sz w:val="21"/>
        </w:rPr>
        <w:t>8.5</w:t>
      </w:r>
      <w:r>
        <w:rPr>
          <w:rFonts w:ascii="Arial" w:hAnsi="Arial" w:cs="Arial" w:eastAsia="Arial"/>
          <w:b w:val="0"/>
          <w:i w:val="0"/>
          <w:color w:val="110663"/>
          <w:sz w:val="21"/>
        </w:rPr>
        <w:tab/>
      </w:r>
      <w:r>
        <w:rPr>
          <w:rFonts w:ascii="Arial" w:hAnsi="Arial" w:cs="Arial" w:eastAsia="Arial"/>
          <w:b w:val="0"/>
          <w:i w:val="0"/>
          <w:color w:val="110663"/>
          <w:sz w:val="21"/>
        </w:rPr>
        <w:t>The Participant is told in writing about a correction or clawback, with the deal, the original Period and the amount, before anything is offset.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The detailed rules are in our commission clawback policy template. Rules on deductions differ: in the US, deductions are limited by federal and state law and many states require written authorisation; in the UK, deductions need a statutory basis, a contract term or prior written consent, with an exception for overpayments of wages (Employment Rights Act 1996, sections 13 and 14); in most EU countries, deductions need consent or a clear legal basis.</w:t>
      </w:r>
    </w:p>
    <w:p>
      <w:pPr>
        <w:pStyle w:val="Heading2"/>
        <w:keepNext/>
        <w:spacing w:before="400" w:after="140" w:line="240" w:lineRule="auto"/>
      </w:pPr>
      <w:r>
        <w:rPr>
          <w:rFonts w:ascii="Arial" w:hAnsi="Arial" w:cs="Arial" w:eastAsia="Arial"/>
          <w:b w:val="0"/>
          <w:i w:val="0"/>
          <w:color w:val="110663"/>
          <w:sz w:val="30"/>
        </w:rPr>
        <w:t>9. Leaving the company</w:t>
      </w:r>
    </w:p>
    <w:p>
      <w:pPr>
        <w:tabs>
          <w:tab w:pos="567" w:val="left"/>
        </w:tabs>
        <w:spacing w:before="0" w:after="120" w:line="276" w:lineRule="auto"/>
        <w:ind w:left="567" w:hanging="567"/>
      </w:pPr>
      <w:r>
        <w:rPr>
          <w:rFonts w:ascii="Arial" w:hAnsi="Arial" w:cs="Arial" w:eastAsia="Arial"/>
          <w:b/>
          <w:i w:val="0"/>
          <w:color w:val="4C39CA"/>
          <w:sz w:val="21"/>
        </w:rPr>
        <w:t>9.1</w:t>
      </w:r>
      <w:r>
        <w:rPr>
          <w:rFonts w:ascii="Arial" w:hAnsi="Arial" w:cs="Arial" w:eastAsia="Arial"/>
          <w:b w:val="0"/>
          <w:i w:val="0"/>
          <w:color w:val="110663"/>
          <w:sz w:val="21"/>
        </w:rPr>
        <w:tab/>
      </w:r>
      <w:r>
        <w:rPr>
          <w:rFonts w:ascii="Arial" w:hAnsi="Arial" w:cs="Arial" w:eastAsia="Arial"/>
          <w:b w:val="0"/>
          <w:i w:val="0"/>
          <w:color w:val="110663"/>
          <w:sz w:val="21"/>
        </w:rPr>
        <w:t xml:space="preserve">Commission on deals with an Earning Event on or before the last day of employment is paid with </w:t>
      </w:r>
      <w:r>
        <w:rPr>
          <w:rFonts w:ascii="Arial" w:hAnsi="Arial" w:cs="Arial" w:eastAsia="Arial"/>
          <w:b w:val="0"/>
          <w:i w:val="0"/>
          <w:color w:val="4C39CA"/>
          <w:sz w:val="21"/>
          <w:shd w:val="clear" w:color="auto" w:fill="E6E0FB"/>
        </w:rPr>
        <w:t>[Choose: the final pay / the normal payout date]</w:t>
      </w:r>
      <w:r>
        <w:rPr>
          <w:rFonts w:ascii="Arial" w:hAnsi="Arial" w:cs="Arial" w:eastAsia="Arial"/>
          <w:b w:val="0"/>
          <w:i w:val="0"/>
          <w:color w:val="110663"/>
          <w:sz w:val="21"/>
        </w:rPr>
        <w:t>, subject to clawback under clause 8.</w:t>
      </w:r>
    </w:p>
    <w:p>
      <w:pPr>
        <w:tabs>
          <w:tab w:pos="567" w:val="left"/>
        </w:tabs>
        <w:spacing w:before="0" w:after="120" w:line="276" w:lineRule="auto"/>
        <w:ind w:left="567" w:hanging="567"/>
      </w:pPr>
      <w:r>
        <w:rPr>
          <w:rFonts w:ascii="Arial" w:hAnsi="Arial" w:cs="Arial" w:eastAsia="Arial"/>
          <w:b/>
          <w:i w:val="0"/>
          <w:color w:val="4C39CA"/>
          <w:sz w:val="21"/>
        </w:rPr>
        <w:t>9.2</w:t>
      </w:r>
      <w:r>
        <w:rPr>
          <w:rFonts w:ascii="Arial" w:hAnsi="Arial" w:cs="Arial" w:eastAsia="Arial"/>
          <w:b w:val="0"/>
          <w:i w:val="0"/>
          <w:color w:val="110663"/>
          <w:sz w:val="21"/>
        </w:rPr>
        <w:tab/>
      </w:r>
      <w:r>
        <w:rPr>
          <w:rFonts w:ascii="Arial" w:hAnsi="Arial" w:cs="Arial" w:eastAsia="Arial"/>
          <w:b w:val="0"/>
          <w:i w:val="0"/>
          <w:color w:val="110663"/>
          <w:sz w:val="21"/>
        </w:rPr>
        <w:t xml:space="preserve">For deals with an Earning Event after the last day of employment, </w:t>
      </w:r>
      <w:r>
        <w:rPr>
          <w:rFonts w:ascii="Arial" w:hAnsi="Arial" w:cs="Arial" w:eastAsia="Arial"/>
          <w:b w:val="0"/>
          <w:i w:val="0"/>
          <w:color w:val="4C39CA"/>
          <w:sz w:val="21"/>
          <w:shd w:val="clear" w:color="auto" w:fill="E6E0FB"/>
        </w:rPr>
        <w:t>[Choose: no commission is paid / commission is paid for deals that close within [60]</w:t>
      </w:r>
      <w:r>
        <w:rPr>
          <w:rFonts w:ascii="Arial" w:hAnsi="Arial" w:cs="Arial" w:eastAsia="Arial"/>
          <w:b w:val="0"/>
          <w:i w:val="0"/>
          <w:color w:val="110663"/>
          <w:sz w:val="21"/>
        </w:rPr>
        <w:t xml:space="preserve"> days and were at stage </w:t>
      </w:r>
      <w:r>
        <w:rPr>
          <w:rFonts w:ascii="Arial" w:hAnsi="Arial" w:cs="Arial" w:eastAsia="Arial"/>
          <w:b w:val="0"/>
          <w:i w:val="0"/>
          <w:color w:val="4C39CA"/>
          <w:sz w:val="21"/>
          <w:shd w:val="clear" w:color="auto" w:fill="E6E0FB"/>
        </w:rPr>
        <w:t>[stage]</w:t>
      </w:r>
      <w:r>
        <w:rPr>
          <w:rFonts w:ascii="Arial" w:hAnsi="Arial" w:cs="Arial" w:eastAsia="Arial"/>
          <w:b w:val="0"/>
          <w:i w:val="0"/>
          <w:color w:val="110663"/>
          <w:sz w:val="21"/>
        </w:rPr>
        <w:t xml:space="preserve"> or later on the last day].</w:t>
      </w:r>
    </w:p>
    <w:p>
      <w:pPr>
        <w:tabs>
          <w:tab w:pos="567" w:val="left"/>
        </w:tabs>
        <w:spacing w:before="0" w:after="120" w:line="276" w:lineRule="auto"/>
        <w:ind w:left="567" w:hanging="567"/>
      </w:pPr>
      <w:r>
        <w:rPr>
          <w:rFonts w:ascii="Arial" w:hAnsi="Arial" w:cs="Arial" w:eastAsia="Arial"/>
          <w:b/>
          <w:i w:val="0"/>
          <w:color w:val="4C39CA"/>
          <w:sz w:val="21"/>
        </w:rPr>
        <w:t>9.3</w:t>
      </w:r>
      <w:r>
        <w:rPr>
          <w:rFonts w:ascii="Arial" w:hAnsi="Arial" w:cs="Arial" w:eastAsia="Arial"/>
          <w:b w:val="0"/>
          <w:i w:val="0"/>
          <w:color w:val="110663"/>
          <w:sz w:val="21"/>
        </w:rPr>
        <w:tab/>
      </w:r>
      <w:r>
        <w:rPr>
          <w:rFonts w:ascii="Arial" w:hAnsi="Arial" w:cs="Arial" w:eastAsia="Arial"/>
          <w:b w:val="0"/>
          <w:i w:val="0"/>
          <w:color w:val="110663"/>
          <w:sz w:val="21"/>
        </w:rPr>
        <w:t xml:space="preserve">Commission during a notice period or garden leave is calculated under </w:t>
      </w:r>
      <w:r>
        <w:rPr>
          <w:rFonts w:ascii="Arial" w:hAnsi="Arial" w:cs="Arial" w:eastAsia="Arial"/>
          <w:b w:val="0"/>
          <w:i w:val="0"/>
          <w:color w:val="4C39CA"/>
          <w:sz w:val="21"/>
          <w:shd w:val="clear" w:color="auto" w:fill="E6E0FB"/>
        </w:rPr>
        <w:t>[local law and the Agreement]</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9.4</w:t>
      </w:r>
      <w:r>
        <w:rPr>
          <w:rFonts w:ascii="Arial" w:hAnsi="Arial" w:cs="Arial" w:eastAsia="Arial"/>
          <w:b w:val="0"/>
          <w:i w:val="0"/>
          <w:color w:val="110663"/>
          <w:sz w:val="21"/>
        </w:rPr>
        <w:tab/>
      </w:r>
      <w:r>
        <w:rPr>
          <w:rFonts w:ascii="Arial" w:hAnsi="Arial" w:cs="Arial" w:eastAsia="Arial"/>
          <w:b w:val="0"/>
          <w:i w:val="0"/>
          <w:color w:val="110663"/>
          <w:sz w:val="21"/>
        </w:rPr>
        <w:t xml:space="preserve">A negative balance at the end of employment is </w:t>
      </w:r>
      <w:r>
        <w:rPr>
          <w:rFonts w:ascii="Arial" w:hAnsi="Arial" w:cs="Arial" w:eastAsia="Arial"/>
          <w:b w:val="0"/>
          <w:i w:val="0"/>
          <w:color w:val="4C39CA"/>
          <w:sz w:val="21"/>
          <w:shd w:val="clear" w:color="auto" w:fill="E6E0FB"/>
        </w:rPr>
        <w:t>[Choose: written off / offset against final commission only / recovered to the extent local law allows and the Participant has agreed in writing]</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Rules on final pay differ a lot. In the US, federal law does not require immediate final payment but some states do, and deductions from final pay often need written authorisation. In Europe, final pay is protected like other pay. Check local law before completing clause 9.</w:t>
      </w:r>
    </w:p>
    <w:p>
      <w:pPr>
        <w:pStyle w:val="Heading2"/>
        <w:keepNext/>
        <w:spacing w:before="400" w:after="140" w:line="240" w:lineRule="auto"/>
      </w:pPr>
      <w:r>
        <w:rPr>
          <w:rFonts w:ascii="Arial" w:hAnsi="Arial" w:cs="Arial" w:eastAsia="Arial"/>
          <w:b w:val="0"/>
          <w:i w:val="0"/>
          <w:color w:val="110663"/>
          <w:sz w:val="30"/>
        </w:rPr>
        <w:t>10. Plan changes</w:t>
      </w:r>
    </w:p>
    <w:p>
      <w:pPr>
        <w:tabs>
          <w:tab w:pos="567" w:val="left"/>
        </w:tabs>
        <w:spacing w:before="0" w:after="120" w:line="276" w:lineRule="auto"/>
        <w:ind w:left="567" w:hanging="567"/>
      </w:pPr>
      <w:r>
        <w:rPr>
          <w:rFonts w:ascii="Arial" w:hAnsi="Arial" w:cs="Arial" w:eastAsia="Arial"/>
          <w:b/>
          <w:i w:val="0"/>
          <w:color w:val="4C39CA"/>
          <w:sz w:val="21"/>
        </w:rPr>
        <w:t>10.1</w:t>
      </w:r>
      <w:r>
        <w:rPr>
          <w:rFonts w:ascii="Arial" w:hAnsi="Arial" w:cs="Arial" w:eastAsia="Arial"/>
          <w:b w:val="0"/>
          <w:i w:val="0"/>
          <w:color w:val="110663"/>
          <w:sz w:val="21"/>
        </w:rPr>
        <w:tab/>
      </w:r>
      <w:r>
        <w:rPr>
          <w:rFonts w:ascii="Arial" w:hAnsi="Arial" w:cs="Arial" w:eastAsia="Arial"/>
          <w:b w:val="0"/>
          <w:i w:val="0"/>
          <w:color w:val="110663"/>
          <w:sz w:val="21"/>
        </w:rPr>
        <w:t>The Company may introduce a new Plan for each plan year.</w:t>
      </w:r>
    </w:p>
    <w:p>
      <w:pPr>
        <w:tabs>
          <w:tab w:pos="567" w:val="left"/>
        </w:tabs>
        <w:spacing w:before="0" w:after="120" w:line="276" w:lineRule="auto"/>
        <w:ind w:left="567" w:hanging="567"/>
      </w:pPr>
      <w:r>
        <w:rPr>
          <w:rFonts w:ascii="Arial" w:hAnsi="Arial" w:cs="Arial" w:eastAsia="Arial"/>
          <w:b/>
          <w:i w:val="0"/>
          <w:color w:val="4C39CA"/>
          <w:sz w:val="21"/>
        </w:rPr>
        <w:t>10.2</w:t>
      </w:r>
      <w:r>
        <w:rPr>
          <w:rFonts w:ascii="Arial" w:hAnsi="Arial" w:cs="Arial" w:eastAsia="Arial"/>
          <w:b w:val="0"/>
          <w:i w:val="0"/>
          <w:color w:val="110663"/>
          <w:sz w:val="21"/>
        </w:rPr>
        <w:tab/>
      </w:r>
      <w:r>
        <w:rPr>
          <w:rFonts w:ascii="Arial" w:hAnsi="Arial" w:cs="Arial" w:eastAsia="Arial"/>
          <w:b w:val="0"/>
          <w:i w:val="0"/>
          <w:color w:val="110663"/>
          <w:sz w:val="21"/>
        </w:rPr>
        <w:t>During a plan year, the Company may adjust targets in case of changes in territory, accounts, role or capacity, leave, material changes in market conditions or pricing, or errors in the original target.</w:t>
      </w:r>
    </w:p>
    <w:p>
      <w:pPr>
        <w:tabs>
          <w:tab w:pos="567" w:val="left"/>
        </w:tabs>
        <w:spacing w:before="0" w:after="120" w:line="276" w:lineRule="auto"/>
        <w:ind w:left="567" w:hanging="567"/>
      </w:pPr>
      <w:r>
        <w:rPr>
          <w:rFonts w:ascii="Arial" w:hAnsi="Arial" w:cs="Arial" w:eastAsia="Arial"/>
          <w:b/>
          <w:i w:val="0"/>
          <w:color w:val="4C39CA"/>
          <w:sz w:val="21"/>
        </w:rPr>
        <w:t>10.3</w:t>
      </w:r>
      <w:r>
        <w:rPr>
          <w:rFonts w:ascii="Arial" w:hAnsi="Arial" w:cs="Arial" w:eastAsia="Arial"/>
          <w:b w:val="0"/>
          <w:i w:val="0"/>
          <w:color w:val="110663"/>
          <w:sz w:val="21"/>
        </w:rPr>
        <w:tab/>
      </w:r>
      <w:r>
        <w:rPr>
          <w:rFonts w:ascii="Arial" w:hAnsi="Arial" w:cs="Arial" w:eastAsia="Arial"/>
          <w:b w:val="0"/>
          <w:i w:val="0"/>
          <w:color w:val="110663"/>
          <w:sz w:val="21"/>
        </w:rPr>
        <w:t xml:space="preserve">Any change that reduces a Participant's expected commission is notified in writing at least </w:t>
      </w:r>
      <w:r>
        <w:rPr>
          <w:rFonts w:ascii="Arial" w:hAnsi="Arial" w:cs="Arial" w:eastAsia="Arial"/>
          <w:b w:val="0"/>
          <w:i w:val="0"/>
          <w:color w:val="4C39CA"/>
          <w:sz w:val="21"/>
          <w:shd w:val="clear" w:color="auto" w:fill="E6E0FB"/>
        </w:rPr>
        <w:t>[30]</w:t>
      </w:r>
      <w:r>
        <w:rPr>
          <w:rFonts w:ascii="Arial" w:hAnsi="Arial" w:cs="Arial" w:eastAsia="Arial"/>
          <w:b w:val="0"/>
          <w:i w:val="0"/>
          <w:color w:val="110663"/>
          <w:sz w:val="21"/>
        </w:rPr>
        <w:t xml:space="preserve"> days before it applies, or with the longer notice required by law, a collective agreement or the Agreement.</w:t>
      </w:r>
    </w:p>
    <w:p>
      <w:pPr>
        <w:tabs>
          <w:tab w:pos="567" w:val="left"/>
        </w:tabs>
        <w:spacing w:before="0" w:after="120" w:line="276" w:lineRule="auto"/>
        <w:ind w:left="567" w:hanging="567"/>
      </w:pPr>
      <w:r>
        <w:rPr>
          <w:rFonts w:ascii="Arial" w:hAnsi="Arial" w:cs="Arial" w:eastAsia="Arial"/>
          <w:b/>
          <w:i w:val="0"/>
          <w:color w:val="4C39CA"/>
          <w:sz w:val="21"/>
        </w:rPr>
        <w:t>10.4</w:t>
      </w:r>
      <w:r>
        <w:rPr>
          <w:rFonts w:ascii="Arial" w:hAnsi="Arial" w:cs="Arial" w:eastAsia="Arial"/>
          <w:b w:val="0"/>
          <w:i w:val="0"/>
          <w:color w:val="110663"/>
          <w:sz w:val="21"/>
        </w:rPr>
        <w:tab/>
      </w:r>
      <w:r>
        <w:rPr>
          <w:rFonts w:ascii="Arial" w:hAnsi="Arial" w:cs="Arial" w:eastAsia="Arial"/>
          <w:b w:val="0"/>
          <w:i w:val="0"/>
          <w:color w:val="110663"/>
          <w:sz w:val="21"/>
        </w:rPr>
        <w:t>Changes only apply from the effective date. Commission earned before that date is not reduced.</w:t>
      </w:r>
    </w:p>
    <w:p>
      <w:pPr>
        <w:tabs>
          <w:tab w:pos="567" w:val="left"/>
        </w:tabs>
        <w:spacing w:before="0" w:after="120" w:line="276" w:lineRule="auto"/>
        <w:ind w:left="567" w:hanging="567"/>
      </w:pPr>
      <w:r>
        <w:rPr>
          <w:rFonts w:ascii="Arial" w:hAnsi="Arial" w:cs="Arial" w:eastAsia="Arial"/>
          <w:b/>
          <w:i w:val="0"/>
          <w:color w:val="4C39CA"/>
          <w:sz w:val="21"/>
        </w:rPr>
        <w:t>10.5</w:t>
      </w:r>
      <w:r>
        <w:rPr>
          <w:rFonts w:ascii="Arial" w:hAnsi="Arial" w:cs="Arial" w:eastAsia="Arial"/>
          <w:b w:val="0"/>
          <w:i w:val="0"/>
          <w:color w:val="110663"/>
          <w:sz w:val="21"/>
        </w:rPr>
        <w:tab/>
      </w:r>
      <w:r>
        <w:rPr>
          <w:rFonts w:ascii="Arial" w:hAnsi="Arial" w:cs="Arial" w:eastAsia="Arial"/>
          <w:b w:val="0"/>
          <w:i w:val="0"/>
          <w:color w:val="110663"/>
          <w:sz w:val="21"/>
        </w:rPr>
        <w:t xml:space="preserve">When a target changes during the year, attainment is measured </w:t>
      </w:r>
      <w:r>
        <w:rPr>
          <w:rFonts w:ascii="Arial" w:hAnsi="Arial" w:cs="Arial" w:eastAsia="Arial"/>
          <w:b w:val="0"/>
          <w:i w:val="0"/>
          <w:color w:val="4C39CA"/>
          <w:sz w:val="21"/>
          <w:shd w:val="clear" w:color="auto" w:fill="E6E0FB"/>
        </w:rPr>
        <w:t>[Choose: separately for the period before and after the change / against a blended, time-weighted annual target]</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10.6</w:t>
      </w:r>
      <w:r>
        <w:rPr>
          <w:rFonts w:ascii="Arial" w:hAnsi="Arial" w:cs="Arial" w:eastAsia="Arial"/>
          <w:b w:val="0"/>
          <w:i w:val="0"/>
          <w:color w:val="110663"/>
          <w:sz w:val="21"/>
        </w:rPr>
        <w:tab/>
      </w:r>
      <w:r>
        <w:rPr>
          <w:rFonts w:ascii="Arial" w:hAnsi="Arial" w:cs="Arial" w:eastAsia="Arial"/>
          <w:b w:val="0"/>
          <w:i w:val="0"/>
          <w:color w:val="110663"/>
          <w:sz w:val="21"/>
        </w:rPr>
        <w:t>Changes to this policy follow the same notice rules.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Changes that reduce expected pay are the most sensitive part of any policy. In the UK, changes to contract terms generally need agreement or a flexibility clause used reasonably, and a written statement of the change within one month. In the EU, changes to written terms must be documented at the earliest opportunity (Directive (EU) 2019/1152, Article 6). Check local rules on notice.</w:t>
      </w:r>
    </w:p>
    <w:p>
      <w:pPr>
        <w:pStyle w:val="Heading2"/>
        <w:keepNext/>
        <w:spacing w:before="400" w:after="140" w:line="240" w:lineRule="auto"/>
      </w:pPr>
      <w:r>
        <w:rPr>
          <w:rFonts w:ascii="Arial" w:hAnsi="Arial" w:cs="Arial" w:eastAsia="Arial"/>
          <w:b w:val="0"/>
          <w:i w:val="0"/>
          <w:color w:val="110663"/>
          <w:sz w:val="30"/>
        </w:rPr>
        <w:t>11. Governance and approvals</w:t>
      </w:r>
    </w:p>
    <w:p>
      <w:pPr>
        <w:tabs>
          <w:tab w:pos="567" w:val="left"/>
        </w:tabs>
        <w:spacing w:before="0" w:after="120" w:line="276" w:lineRule="auto"/>
        <w:ind w:left="567" w:hanging="567"/>
      </w:pPr>
      <w:r>
        <w:rPr>
          <w:rFonts w:ascii="Arial" w:hAnsi="Arial" w:cs="Arial" w:eastAsia="Arial"/>
          <w:b/>
          <w:i w:val="0"/>
          <w:color w:val="4C39CA"/>
          <w:sz w:val="21"/>
        </w:rPr>
        <w:t>11.1</w:t>
      </w:r>
      <w:r>
        <w:rPr>
          <w:rFonts w:ascii="Arial" w:hAnsi="Arial" w:cs="Arial" w:eastAsia="Arial"/>
          <w:b w:val="0"/>
          <w:i w:val="0"/>
          <w:color w:val="110663"/>
          <w:sz w:val="21"/>
        </w:rPr>
        <w:tab/>
      </w:r>
      <w:r>
        <w:rPr>
          <w:rFonts w:ascii="Arial" w:hAnsi="Arial" w:cs="Arial" w:eastAsia="Arial"/>
          <w:b w:val="0"/>
          <w:i w:val="0"/>
          <w:color w:val="110663"/>
          <w:sz w:val="21"/>
        </w:rPr>
        <w:t xml:space="preserve">The owner of this policy is </w:t>
      </w:r>
      <w:r>
        <w:rPr>
          <w:rFonts w:ascii="Arial" w:hAnsi="Arial" w:cs="Arial" w:eastAsia="Arial"/>
          <w:b w:val="0"/>
          <w:i w:val="0"/>
          <w:color w:val="4C39CA"/>
          <w:sz w:val="21"/>
          <w:shd w:val="clear" w:color="auto" w:fill="E6E0FB"/>
        </w:rPr>
        <w:t>[title]</w:t>
      </w:r>
      <w:r>
        <w:rPr>
          <w:rFonts w:ascii="Arial" w:hAnsi="Arial" w:cs="Arial" w:eastAsia="Arial"/>
          <w:b w:val="0"/>
          <w:i w:val="0"/>
          <w:color w:val="110663"/>
          <w:sz w:val="21"/>
        </w:rPr>
        <w:t>. The owner makes sure the policy, the Plans and the calculation system match.</w:t>
      </w:r>
    </w:p>
    <w:p>
      <w:pPr>
        <w:keepNext/>
        <w:tabs>
          <w:tab w:pos="567" w:val="left"/>
        </w:tabs>
        <w:spacing w:before="0" w:after="120" w:line="276" w:lineRule="auto"/>
        <w:ind w:left="567" w:hanging="567"/>
      </w:pPr>
      <w:r>
        <w:rPr>
          <w:rFonts w:ascii="Arial" w:hAnsi="Arial" w:cs="Arial" w:eastAsia="Arial"/>
          <w:b/>
          <w:i w:val="0"/>
          <w:color w:val="4C39CA"/>
          <w:sz w:val="21"/>
        </w:rPr>
        <w:t>11.2</w:t>
      </w:r>
      <w:r>
        <w:rPr>
          <w:rFonts w:ascii="Arial" w:hAnsi="Arial" w:cs="Arial" w:eastAsia="Arial"/>
          <w:b w:val="0"/>
          <w:i w:val="0"/>
          <w:color w:val="110663"/>
          <w:sz w:val="21"/>
        </w:rPr>
        <w:tab/>
      </w:r>
      <w:r>
        <w:rPr>
          <w:rFonts w:ascii="Arial" w:hAnsi="Arial" w:cs="Arial" w:eastAsia="Arial"/>
          <w:b w:val="0"/>
          <w:i w:val="0"/>
          <w:color w:val="110663"/>
          <w:sz w:val="21"/>
        </w:rPr>
        <w:t>These decisions are approved as follows:</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3426"/>
        <w:gridCol w:w="2800"/>
        <w:gridCol w:w="2800"/>
      </w:tblGrid>
      <w:tr>
        <w:trPr>
          <w:tblHeader w:val="true"/>
          <w:cantSplit/>
        </w:trPr>
        <w:tc>
          <w:tcPr>
            <w:tcW w:type="dxa" w:w="3426"/>
            <w:shd w:val="clear" w:color="auto" w:fill="F4F1FE"/>
          </w:tcPr>
          <w:p>
            <w:pPr>
              <w:spacing w:before="0" w:after="0" w:line="252" w:lineRule="auto"/>
            </w:pPr>
            <w:r>
              <w:rPr>
                <w:rFonts w:ascii="Arial" w:hAnsi="Arial" w:cs="Arial" w:eastAsia="Arial"/>
                <w:b/>
                <w:i w:val="0"/>
                <w:color w:val="110663"/>
                <w:sz w:val="19"/>
              </w:rPr>
              <w:t>Decision</w:t>
            </w:r>
          </w:p>
        </w:tc>
        <w:tc>
          <w:tcPr>
            <w:tcW w:type="dxa" w:w="2800"/>
            <w:shd w:val="clear" w:color="auto" w:fill="F4F1FE"/>
          </w:tcPr>
          <w:p>
            <w:pPr>
              <w:spacing w:before="0" w:after="0" w:line="252" w:lineRule="auto"/>
            </w:pPr>
            <w:r>
              <w:rPr>
                <w:rFonts w:ascii="Arial" w:hAnsi="Arial" w:cs="Arial" w:eastAsia="Arial"/>
                <w:b/>
                <w:i w:val="0"/>
                <w:color w:val="110663"/>
                <w:sz w:val="19"/>
              </w:rPr>
              <w:t>Prepared by</w:t>
            </w:r>
          </w:p>
        </w:tc>
        <w:tc>
          <w:tcPr>
            <w:tcW w:type="dxa" w:w="2800"/>
            <w:shd w:val="clear" w:color="auto" w:fill="F4F1FE"/>
          </w:tcPr>
          <w:p>
            <w:pPr>
              <w:spacing w:before="0" w:after="0" w:line="252" w:lineRule="auto"/>
            </w:pPr>
            <w:r>
              <w:rPr>
                <w:rFonts w:ascii="Arial" w:hAnsi="Arial" w:cs="Arial" w:eastAsia="Arial"/>
                <w:b/>
                <w:i w:val="0"/>
                <w:color w:val="110663"/>
                <w:sz w:val="19"/>
              </w:rPr>
              <w:t>Approved by</w:t>
            </w:r>
          </w:p>
        </w:tc>
      </w:tr>
      <w:tr>
        <w:trPr>
          <w:cantSplit/>
        </w:trPr>
        <w:tc>
          <w:tcPr>
            <w:tcW w:type="dxa" w:w="3426"/>
          </w:tcPr>
          <w:p>
            <w:pPr>
              <w:spacing w:before="0" w:after="0" w:line="252" w:lineRule="auto"/>
            </w:pPr>
            <w:r>
              <w:rPr>
                <w:rFonts w:ascii="Arial" w:hAnsi="Arial" w:cs="Arial" w:eastAsia="Arial"/>
                <w:b w:val="0"/>
                <w:i w:val="0"/>
                <w:color w:val="110663"/>
                <w:sz w:val="19"/>
              </w:rPr>
              <w:t>New Plan for a plan year</w:t>
            </w:r>
          </w:p>
        </w:tc>
        <w:tc>
          <w:tcPr>
            <w:tcW w:type="dxa" w:w="2800"/>
          </w:tcPr>
          <w:p>
            <w:pPr>
              <w:spacing w:before="0" w:after="0" w:line="252" w:lineRule="auto"/>
            </w:pPr>
            <w:r>
              <w:rPr>
                <w:rFonts w:ascii="Arial" w:hAnsi="Arial" w:cs="Arial" w:eastAsia="Arial"/>
                <w:b w:val="0"/>
                <w:i w:val="0"/>
                <w:color w:val="4C39CA"/>
                <w:sz w:val="19"/>
                <w:shd w:val="clear" w:color="auto" w:fill="E6E0FB"/>
              </w:rPr>
              <w:t>[Sales operations]</w:t>
            </w:r>
          </w:p>
        </w:tc>
        <w:tc>
          <w:tcPr>
            <w:tcW w:type="dxa" w:w="2800"/>
          </w:tcPr>
          <w:p>
            <w:pPr>
              <w:spacing w:before="0" w:after="0" w:line="252" w:lineRule="auto"/>
            </w:pPr>
            <w:r>
              <w:rPr>
                <w:rFonts w:ascii="Arial" w:hAnsi="Arial" w:cs="Arial" w:eastAsia="Arial"/>
                <w:b w:val="0"/>
                <w:i w:val="0"/>
                <w:color w:val="4C39CA"/>
                <w:sz w:val="19"/>
                <w:shd w:val="clear" w:color="auto" w:fill="E6E0FB"/>
              </w:rPr>
              <w:t>[CEO and CFO]</w:t>
            </w:r>
          </w:p>
        </w:tc>
      </w:tr>
      <w:tr>
        <w:trPr>
          <w:cantSplit/>
        </w:trPr>
        <w:tc>
          <w:tcPr>
            <w:tcW w:type="dxa" w:w="3426"/>
          </w:tcPr>
          <w:p>
            <w:pPr>
              <w:spacing w:before="0" w:after="0" w:line="252" w:lineRule="auto"/>
            </w:pPr>
            <w:r>
              <w:rPr>
                <w:rFonts w:ascii="Arial" w:hAnsi="Arial" w:cs="Arial" w:eastAsia="Arial"/>
                <w:b w:val="0"/>
                <w:i w:val="0"/>
                <w:color w:val="110663"/>
                <w:sz w:val="19"/>
              </w:rPr>
              <w:t>Mid-year target change</w:t>
            </w:r>
          </w:p>
        </w:tc>
        <w:tc>
          <w:tcPr>
            <w:tcW w:type="dxa" w:w="2800"/>
          </w:tcPr>
          <w:p>
            <w:pPr>
              <w:spacing w:before="0" w:after="0" w:line="252" w:lineRule="auto"/>
            </w:pPr>
            <w:r>
              <w:rPr>
                <w:rFonts w:ascii="Arial" w:hAnsi="Arial" w:cs="Arial" w:eastAsia="Arial"/>
                <w:b w:val="0"/>
                <w:i w:val="0"/>
                <w:color w:val="4C39CA"/>
                <w:sz w:val="19"/>
                <w:shd w:val="clear" w:color="auto" w:fill="E6E0FB"/>
              </w:rPr>
              <w:t>[Sales manager]</w:t>
            </w:r>
          </w:p>
        </w:tc>
        <w:tc>
          <w:tcPr>
            <w:tcW w:type="dxa" w:w="2800"/>
          </w:tcPr>
          <w:p>
            <w:pPr>
              <w:spacing w:before="0" w:after="0" w:line="252" w:lineRule="auto"/>
            </w:pPr>
            <w:r>
              <w:rPr>
                <w:rFonts w:ascii="Arial" w:hAnsi="Arial" w:cs="Arial" w:eastAsia="Arial"/>
                <w:b w:val="0"/>
                <w:i w:val="0"/>
                <w:color w:val="4C39CA"/>
                <w:sz w:val="19"/>
                <w:shd w:val="clear" w:color="auto" w:fill="E6E0FB"/>
              </w:rPr>
              <w:t>[Head of Sales and CFO]</w:t>
            </w:r>
          </w:p>
        </w:tc>
      </w:tr>
      <w:tr>
        <w:trPr>
          <w:cantSplit/>
        </w:trPr>
        <w:tc>
          <w:tcPr>
            <w:tcW w:type="dxa" w:w="3426"/>
          </w:tcPr>
          <w:p>
            <w:pPr>
              <w:spacing w:before="0" w:after="0" w:line="252" w:lineRule="auto"/>
            </w:pPr>
            <w:r>
              <w:rPr>
                <w:rFonts w:ascii="Arial" w:hAnsi="Arial" w:cs="Arial" w:eastAsia="Arial"/>
                <w:b w:val="0"/>
                <w:i w:val="0"/>
                <w:color w:val="110663"/>
                <w:sz w:val="19"/>
              </w:rPr>
              <w:t>Exceptions, SPIFFs and special deals</w:t>
            </w:r>
          </w:p>
        </w:tc>
        <w:tc>
          <w:tcPr>
            <w:tcW w:type="dxa" w:w="2800"/>
          </w:tcPr>
          <w:p>
            <w:pPr>
              <w:spacing w:before="0" w:after="0" w:line="252" w:lineRule="auto"/>
            </w:pPr>
            <w:r>
              <w:rPr>
                <w:rFonts w:ascii="Arial" w:hAnsi="Arial" w:cs="Arial" w:eastAsia="Arial"/>
                <w:b w:val="0"/>
                <w:i w:val="0"/>
                <w:color w:val="4C39CA"/>
                <w:sz w:val="19"/>
                <w:shd w:val="clear" w:color="auto" w:fill="E6E0FB"/>
              </w:rPr>
              <w:t>[Sales manager]</w:t>
            </w:r>
          </w:p>
        </w:tc>
        <w:tc>
          <w:tcPr>
            <w:tcW w:type="dxa" w:w="2800"/>
          </w:tcPr>
          <w:p>
            <w:pPr>
              <w:spacing w:before="0" w:after="0" w:line="252" w:lineRule="auto"/>
            </w:pPr>
            <w:r>
              <w:rPr>
                <w:rFonts w:ascii="Arial" w:hAnsi="Arial" w:cs="Arial" w:eastAsia="Arial"/>
                <w:b w:val="0"/>
                <w:i w:val="0"/>
                <w:color w:val="4C39CA"/>
                <w:sz w:val="19"/>
                <w:shd w:val="clear" w:color="auto" w:fill="E6E0FB"/>
              </w:rPr>
              <w:t>[Head of Sales]</w:t>
            </w:r>
          </w:p>
        </w:tc>
      </w:tr>
      <w:tr>
        <w:trPr>
          <w:cantSplit/>
        </w:trPr>
        <w:tc>
          <w:tcPr>
            <w:tcW w:type="dxa" w:w="3426"/>
          </w:tcPr>
          <w:p>
            <w:pPr>
              <w:spacing w:before="0" w:after="0" w:line="252" w:lineRule="auto"/>
            </w:pPr>
            <w:r>
              <w:rPr>
                <w:rFonts w:ascii="Arial" w:hAnsi="Arial" w:cs="Arial" w:eastAsia="Arial"/>
                <w:b w:val="0"/>
                <w:i w:val="0"/>
                <w:color w:val="110663"/>
                <w:sz w:val="19"/>
              </w:rPr>
              <w:t>Statement for a Period</w:t>
            </w:r>
          </w:p>
        </w:tc>
        <w:tc>
          <w:tcPr>
            <w:tcW w:type="dxa" w:w="2800"/>
          </w:tcPr>
          <w:p>
            <w:pPr>
              <w:spacing w:before="0" w:after="0" w:line="252" w:lineRule="auto"/>
            </w:pPr>
            <w:r>
              <w:rPr>
                <w:rFonts w:ascii="Arial" w:hAnsi="Arial" w:cs="Arial" w:eastAsia="Arial"/>
                <w:b w:val="0"/>
                <w:i w:val="0"/>
                <w:color w:val="4C39CA"/>
                <w:sz w:val="19"/>
                <w:shd w:val="clear" w:color="auto" w:fill="E6E0FB"/>
              </w:rPr>
              <w:t>[Sales operations]</w:t>
            </w:r>
          </w:p>
        </w:tc>
        <w:tc>
          <w:tcPr>
            <w:tcW w:type="dxa" w:w="2800"/>
          </w:tcPr>
          <w:p>
            <w:pPr>
              <w:spacing w:before="0" w:after="0" w:line="252" w:lineRule="auto"/>
            </w:pPr>
            <w:r>
              <w:rPr>
                <w:rFonts w:ascii="Arial" w:hAnsi="Arial" w:cs="Arial" w:eastAsia="Arial"/>
                <w:b w:val="0"/>
                <w:i w:val="0"/>
                <w:color w:val="4C39CA"/>
                <w:sz w:val="19"/>
                <w:shd w:val="clear" w:color="auto" w:fill="E6E0FB"/>
              </w:rPr>
              <w:t>[Head of Sales and Finance]</w:t>
            </w:r>
          </w:p>
        </w:tc>
      </w:tr>
      <w:tr>
        <w:trPr>
          <w:cantSplit/>
        </w:trPr>
        <w:tc>
          <w:tcPr>
            <w:tcW w:type="dxa" w:w="3426"/>
          </w:tcPr>
          <w:p>
            <w:pPr>
              <w:spacing w:before="0" w:after="0" w:line="252" w:lineRule="auto"/>
            </w:pPr>
            <w:r>
              <w:rPr>
                <w:rFonts w:ascii="Arial" w:hAnsi="Arial" w:cs="Arial" w:eastAsia="Arial"/>
                <w:b w:val="0"/>
                <w:i w:val="0"/>
                <w:color w:val="110663"/>
                <w:sz w:val="19"/>
              </w:rPr>
              <w:t>Dispute decision</w:t>
            </w:r>
          </w:p>
        </w:tc>
        <w:tc>
          <w:tcPr>
            <w:tcW w:type="dxa" w:w="2800"/>
          </w:tcPr>
          <w:p>
            <w:pPr>
              <w:spacing w:before="0" w:after="0" w:line="252" w:lineRule="auto"/>
            </w:pPr>
            <w:r>
              <w:rPr>
                <w:rFonts w:ascii="Arial" w:hAnsi="Arial" w:cs="Arial" w:eastAsia="Arial"/>
                <w:b w:val="0"/>
                <w:i w:val="0"/>
                <w:color w:val="4C39CA"/>
                <w:sz w:val="19"/>
                <w:shd w:val="clear" w:color="auto" w:fill="E6E0FB"/>
              </w:rPr>
              <w:t>[Sales operations]</w:t>
            </w:r>
          </w:p>
        </w:tc>
        <w:tc>
          <w:tcPr>
            <w:tcW w:type="dxa" w:w="2800"/>
          </w:tcPr>
          <w:p>
            <w:pPr>
              <w:spacing w:before="0" w:after="0" w:line="252" w:lineRule="auto"/>
            </w:pPr>
            <w:r>
              <w:rPr>
                <w:rFonts w:ascii="Arial" w:hAnsi="Arial" w:cs="Arial" w:eastAsia="Arial"/>
                <w:b w:val="0"/>
                <w:i w:val="0"/>
                <w:color w:val="4C39CA"/>
                <w:sz w:val="19"/>
                <w:shd w:val="clear" w:color="auto" w:fill="E6E0FB"/>
              </w:rPr>
              <w:t>[CFO]</w:t>
            </w:r>
          </w:p>
        </w:tc>
      </w:tr>
    </w:tbl>
    <w:p>
      <w:pPr>
        <w:spacing w:before="0" w:after="60" w:line="276" w:lineRule="auto"/>
      </w:pPr>
    </w:p>
    <w:p>
      <w:pPr>
        <w:tabs>
          <w:tab w:pos="567" w:val="left"/>
        </w:tabs>
        <w:spacing w:before="0" w:after="120" w:line="276" w:lineRule="auto"/>
        <w:ind w:left="567" w:hanging="567"/>
      </w:pPr>
      <w:r>
        <w:rPr>
          <w:rFonts w:ascii="Arial" w:hAnsi="Arial" w:cs="Arial" w:eastAsia="Arial"/>
          <w:b/>
          <w:i w:val="0"/>
          <w:color w:val="4C39CA"/>
          <w:sz w:val="21"/>
        </w:rPr>
        <w:t>11.3</w:t>
      </w:r>
      <w:r>
        <w:rPr>
          <w:rFonts w:ascii="Arial" w:hAnsi="Arial" w:cs="Arial" w:eastAsia="Arial"/>
          <w:b w:val="0"/>
          <w:i w:val="0"/>
          <w:color w:val="110663"/>
          <w:sz w:val="21"/>
        </w:rPr>
        <w:tab/>
      </w:r>
      <w:r>
        <w:rPr>
          <w:rFonts w:ascii="Arial" w:hAnsi="Arial" w:cs="Arial" w:eastAsia="Arial"/>
          <w:b w:val="0"/>
          <w:i w:val="0"/>
          <w:color w:val="110663"/>
          <w:sz w:val="21"/>
        </w:rPr>
        <w:t xml:space="preserve">Exceptions are approved in writing before the deal closes or the period starts, and are recorded in </w:t>
      </w:r>
      <w:r>
        <w:rPr>
          <w:rFonts w:ascii="Arial" w:hAnsi="Arial" w:cs="Arial" w:eastAsia="Arial"/>
          <w:b w:val="0"/>
          <w:i w:val="0"/>
          <w:color w:val="4C39CA"/>
          <w:sz w:val="21"/>
          <w:shd w:val="clear" w:color="auto" w:fill="E6E0FB"/>
        </w:rPr>
        <w:t>[system]</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11.4</w:t>
      </w:r>
      <w:r>
        <w:rPr>
          <w:rFonts w:ascii="Arial" w:hAnsi="Arial" w:cs="Arial" w:eastAsia="Arial"/>
          <w:b w:val="0"/>
          <w:i w:val="0"/>
          <w:color w:val="110663"/>
          <w:sz w:val="21"/>
        </w:rPr>
        <w:tab/>
      </w:r>
      <w:r>
        <w:rPr>
          <w:rFonts w:ascii="Arial" w:hAnsi="Arial" w:cs="Arial" w:eastAsia="Arial"/>
          <w:b w:val="0"/>
          <w:i w:val="0"/>
          <w:color w:val="110663"/>
          <w:sz w:val="21"/>
        </w:rPr>
        <w:t xml:space="preserve">The Company keeps Plans, statements, approvals and change notices for </w:t>
      </w:r>
      <w:r>
        <w:rPr>
          <w:rFonts w:ascii="Arial" w:hAnsi="Arial" w:cs="Arial" w:eastAsia="Arial"/>
          <w:b w:val="0"/>
          <w:i w:val="0"/>
          <w:color w:val="4C39CA"/>
          <w:sz w:val="21"/>
          <w:shd w:val="clear" w:color="auto" w:fill="E6E0FB"/>
        </w:rPr>
        <w:t>[5]</w:t>
      </w:r>
      <w:r>
        <w:rPr>
          <w:rFonts w:ascii="Arial" w:hAnsi="Arial" w:cs="Arial" w:eastAsia="Arial"/>
          <w:b w:val="0"/>
          <w:i w:val="0"/>
          <w:color w:val="110663"/>
          <w:sz w:val="21"/>
        </w:rPr>
        <w:t xml:space="preserve"> years, or longer where the law requires.</w:t>
      </w:r>
    </w:p>
    <w:p>
      <w:pPr>
        <w:tabs>
          <w:tab w:pos="567" w:val="left"/>
        </w:tabs>
        <w:spacing w:before="0" w:after="120" w:line="276" w:lineRule="auto"/>
        <w:ind w:left="567" w:hanging="567"/>
      </w:pPr>
      <w:r>
        <w:rPr>
          <w:rFonts w:ascii="Arial" w:hAnsi="Arial" w:cs="Arial" w:eastAsia="Arial"/>
          <w:b/>
          <w:i w:val="0"/>
          <w:color w:val="4C39CA"/>
          <w:sz w:val="21"/>
        </w:rPr>
        <w:t>11.5</w:t>
      </w:r>
      <w:r>
        <w:rPr>
          <w:rFonts w:ascii="Arial" w:hAnsi="Arial" w:cs="Arial" w:eastAsia="Arial"/>
          <w:b w:val="0"/>
          <w:i w:val="0"/>
          <w:color w:val="110663"/>
          <w:sz w:val="21"/>
        </w:rPr>
        <w:tab/>
      </w:r>
      <w:r>
        <w:rPr>
          <w:rFonts w:ascii="Arial" w:hAnsi="Arial" w:cs="Arial" w:eastAsia="Arial"/>
          <w:b w:val="0"/>
          <w:i w:val="0"/>
          <w:color w:val="110663"/>
          <w:sz w:val="21"/>
        </w:rPr>
        <w:t xml:space="preserve">The policy is reviewed every year before </w:t>
      </w:r>
      <w:r>
        <w:rPr>
          <w:rFonts w:ascii="Arial" w:hAnsi="Arial" w:cs="Arial" w:eastAsia="Arial"/>
          <w:b w:val="0"/>
          <w:i w:val="0"/>
          <w:color w:val="4C39CA"/>
          <w:sz w:val="21"/>
          <w:shd w:val="clear" w:color="auto" w:fill="E6E0FB"/>
        </w:rPr>
        <w:t>[date]</w:t>
      </w:r>
      <w:r>
        <w:rPr>
          <w:rFonts w:ascii="Arial" w:hAnsi="Arial" w:cs="Arial" w:eastAsia="Arial"/>
          <w:b w:val="0"/>
          <w:i w:val="0"/>
          <w:color w:val="110663"/>
          <w:sz w:val="21"/>
        </w:rPr>
        <w:t xml:space="preserve"> and when the law changes.</w:t>
      </w:r>
    </w:p>
    <w:p>
      <w:pPr>
        <w:tabs>
          <w:tab w:pos="567" w:val="left"/>
        </w:tabs>
        <w:spacing w:before="0" w:after="120" w:line="276" w:lineRule="auto"/>
        <w:ind w:left="567" w:hanging="567"/>
      </w:pPr>
      <w:r>
        <w:rPr>
          <w:rFonts w:ascii="Arial" w:hAnsi="Arial" w:cs="Arial" w:eastAsia="Arial"/>
          <w:b/>
          <w:i w:val="0"/>
          <w:color w:val="4C39CA"/>
          <w:sz w:val="21"/>
        </w:rPr>
        <w:t>11.6</w:t>
      </w:r>
      <w:r>
        <w:rPr>
          <w:rFonts w:ascii="Arial" w:hAnsi="Arial" w:cs="Arial" w:eastAsia="Arial"/>
          <w:b w:val="0"/>
          <w:i w:val="0"/>
          <w:color w:val="110663"/>
          <w:sz w:val="21"/>
        </w:rPr>
        <w:tab/>
      </w:r>
      <w:r>
        <w:rPr>
          <w:rFonts w:ascii="Arial" w:hAnsi="Arial" w:cs="Arial" w:eastAsia="Arial"/>
          <w:b w:val="0"/>
          <w:i w:val="0"/>
          <w:color w:val="110663"/>
          <w:sz w:val="21"/>
        </w:rPr>
        <w:t xml:space="preserve">Commission data is processed under the Company's </w:t>
      </w:r>
      <w:r>
        <w:rPr>
          <w:rFonts w:ascii="Arial" w:hAnsi="Arial" w:cs="Arial" w:eastAsia="Arial"/>
          <w:b w:val="0"/>
          <w:i w:val="0"/>
          <w:color w:val="4C39CA"/>
          <w:sz w:val="21"/>
          <w:shd w:val="clear" w:color="auto" w:fill="E6E0FB"/>
        </w:rPr>
        <w:t>[privacy notice]</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Who approves what is the part of a policy most often missing. Without it, every exception becomes a negotiation and nobody can show why two reps were treated differently. Under the EU Pay Transparency Directive (EU) 2023/970, documented, objective pay decisions matter even more.</w:t>
      </w:r>
    </w:p>
    <w:p>
      <w:pPr>
        <w:pStyle w:val="Heading2"/>
        <w:keepNext/>
        <w:spacing w:before="400" w:after="140" w:line="240" w:lineRule="auto"/>
      </w:pPr>
      <w:r>
        <w:rPr>
          <w:rFonts w:ascii="Arial" w:hAnsi="Arial" w:cs="Arial" w:eastAsia="Arial"/>
          <w:b w:val="0"/>
          <w:i w:val="0"/>
          <w:color w:val="110663"/>
          <w:sz w:val="30"/>
        </w:rPr>
        <w:t>12. Acknowledgement</w:t>
      </w:r>
    </w:p>
    <w:p>
      <w:pPr>
        <w:spacing w:before="0" w:after="120" w:line="276" w:lineRule="auto"/>
      </w:pPr>
      <w:r>
        <w:rPr>
          <w:rFonts w:ascii="Arial" w:hAnsi="Arial" w:cs="Arial" w:eastAsia="Arial"/>
          <w:b w:val="0"/>
          <w:i w:val="0"/>
          <w:color w:val="110663"/>
          <w:sz w:val="21"/>
        </w:rPr>
        <w:t xml:space="preserve">I have received and read the commission policy, version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and understand that it forms part of my terms together with my commission agreement and the applicable Plan.</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4513"/>
        <w:gridCol w:w="4513"/>
      </w:tblGrid>
      <w:tr>
        <w:trPr>
          <w:tblHeader w:val="true"/>
          <w:cantSplit/>
        </w:trPr>
        <w:tc>
          <w:tcPr>
            <w:tcW w:type="dxa" w:w="4513"/>
            <w:shd w:val="clear" w:color="auto" w:fill="F4F1FE"/>
          </w:tcPr>
          <w:p>
            <w:pPr>
              <w:spacing w:before="0" w:after="0" w:line="252" w:lineRule="auto"/>
            </w:pPr>
            <w:r>
              <w:rPr>
                <w:rFonts w:ascii="Arial" w:hAnsi="Arial" w:cs="Arial" w:eastAsia="Arial"/>
                <w:b/>
                <w:i w:val="0"/>
                <w:color w:val="110663"/>
                <w:sz w:val="19"/>
              </w:rPr>
              <w:t>Participant</w:t>
            </w:r>
          </w:p>
        </w:tc>
        <w:tc>
          <w:tcPr>
            <w:tcW w:type="dxa" w:w="4513"/>
            <w:shd w:val="clear" w:color="auto" w:fill="F4F1FE"/>
          </w:tcPr>
          <w:p>
            <w:pPr>
              <w:spacing w:before="0" w:after="0" w:line="252" w:lineRule="auto"/>
            </w:pPr>
            <w:r>
              <w:rPr>
                <w:rFonts w:ascii="Arial" w:hAnsi="Arial" w:cs="Arial" w:eastAsia="Arial"/>
                <w:b/>
                <w:i w:val="0"/>
                <w:color w:val="110663"/>
                <w:sz w:val="19"/>
              </w:rPr>
              <w:t>For the Company</w:t>
            </w:r>
          </w:p>
        </w:tc>
      </w:tr>
      <w:tr>
        <w:trPr>
          <w:cantSplit/>
        </w:trPr>
        <w:tc>
          <w:tcPr>
            <w:tcW w:type="dxa" w:w="4513"/>
          </w:tcPr>
          <w:p>
            <w:pPr>
              <w:spacing w:before="0" w:after="0" w:line="252" w:lineRule="auto"/>
            </w:pPr>
            <w:r>
              <w:rPr>
                <w:rFonts w:ascii="Arial" w:hAnsi="Arial" w:cs="Arial" w:eastAsia="Arial"/>
                <w:b w:val="0"/>
                <w:i w:val="0"/>
                <w:color w:val="110663"/>
                <w:sz w:val="19"/>
              </w:rPr>
              <w:t xml:space="preserve">Place and date: </w:t>
            </w:r>
            <w:r>
              <w:rPr>
                <w:rFonts w:ascii="Arial" w:hAnsi="Arial" w:cs="Arial" w:eastAsia="Arial"/>
                <w:b w:val="0"/>
                <w:i w:val="0"/>
                <w:color w:val="4C39CA"/>
                <w:sz w:val="19"/>
                <w:shd w:val="clear" w:color="auto" w:fill="E6E0FB"/>
              </w:rPr>
              <w:t>[                    ]</w:t>
            </w:r>
          </w:p>
        </w:tc>
        <w:tc>
          <w:tcPr>
            <w:tcW w:type="dxa" w:w="4513"/>
          </w:tcPr>
          <w:p>
            <w:pPr>
              <w:spacing w:before="0" w:after="0" w:line="252" w:lineRule="auto"/>
            </w:pPr>
            <w:r>
              <w:rPr>
                <w:rFonts w:ascii="Arial" w:hAnsi="Arial" w:cs="Arial" w:eastAsia="Arial"/>
                <w:b w:val="0"/>
                <w:i w:val="0"/>
                <w:color w:val="110663"/>
                <w:sz w:val="19"/>
              </w:rPr>
              <w:t xml:space="preserve">Place and date: </w:t>
            </w:r>
            <w:r>
              <w:rPr>
                <w:rFonts w:ascii="Arial" w:hAnsi="Arial" w:cs="Arial" w:eastAsia="Arial"/>
                <w:b w:val="0"/>
                <w:i w:val="0"/>
                <w:color w:val="4C39CA"/>
                <w:sz w:val="19"/>
                <w:shd w:val="clear" w:color="auto" w:fill="E6E0FB"/>
              </w:rPr>
              <w:t>[                    ]</w:t>
            </w:r>
          </w:p>
        </w:tc>
      </w:tr>
      <w:tr>
        <w:trPr>
          <w:cantSplit/>
        </w:trPr>
        <w:tc>
          <w:tcPr>
            <w:tcW w:type="dxa" w:w="4513"/>
          </w:tcPr>
          <w:p>
            <w:pPr>
              <w:spacing w:before="720" w:after="0" w:line="252" w:lineRule="auto"/>
            </w:pPr>
            <w:r>
              <w:rPr>
                <w:rFonts w:ascii="Arial" w:hAnsi="Arial" w:cs="Arial" w:eastAsia="Arial"/>
                <w:b w:val="0"/>
                <w:i w:val="0"/>
                <w:color w:val="110663"/>
                <w:sz w:val="19"/>
              </w:rPr>
              <w:t>_______________________________</w:t>
            </w:r>
          </w:p>
        </w:tc>
        <w:tc>
          <w:tcPr>
            <w:tcW w:type="dxa" w:w="4513"/>
          </w:tcPr>
          <w:p>
            <w:pPr>
              <w:spacing w:before="720" w:after="0" w:line="252" w:lineRule="auto"/>
            </w:pPr>
            <w:r>
              <w:rPr>
                <w:rFonts w:ascii="Arial" w:hAnsi="Arial" w:cs="Arial" w:eastAsia="Arial"/>
                <w:b w:val="0"/>
                <w:i w:val="0"/>
                <w:color w:val="110663"/>
                <w:sz w:val="19"/>
              </w:rPr>
              <w:t>_______________________________</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[Name]</w:t>
            </w:r>
          </w:p>
        </w:tc>
        <w:tc>
          <w:tcPr>
            <w:tcW w:type="dxa" w:w="4513"/>
          </w:tcPr>
          <w:p>
            <w:pPr>
              <w:spacing w:before="0" w:after="0" w:line="252" w:lineRule="auto"/>
            </w:pPr>
            <w:r>
              <w:rPr>
                <w:rFonts w:ascii="Arial" w:hAnsi="Arial" w:cs="Arial" w:eastAsia="Arial"/>
                <w:b w:val="0"/>
                <w:i w:val="0"/>
                <w:color w:val="4C39CA"/>
                <w:sz w:val="19"/>
                <w:shd w:val="clear" w:color="auto" w:fill="E6E0FB"/>
              </w:rPr>
              <w:t>[Name and title]</w:t>
            </w:r>
          </w:p>
        </w:tc>
      </w:tr>
    </w:tbl>
    <w:p>
      <w:pPr>
        <w:pStyle w:val="Heading2"/>
        <w:keepNext/>
        <w:spacing w:before="400" w:after="140" w:line="240" w:lineRule="auto"/>
      </w:pPr>
      <w:r>
        <w:rPr>
          <w:rFonts w:ascii="Arial" w:hAnsi="Arial" w:cs="Arial" w:eastAsia="Arial"/>
          <w:b w:val="0"/>
          <w:i w:val="0"/>
          <w:color w:val="110663"/>
          <w:sz w:val="30"/>
        </w:rPr>
        <w:t>Guidance: Sources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Guidance: </w:t>
      </w:r>
      <w:r>
        <w:rPr>
          <w:rFonts w:ascii="Arial" w:hAnsi="Arial" w:cs="Arial" w:eastAsia="Arial"/>
          <w:b w:val="0"/>
          <w:i/>
          <w:color w:val="4A4775"/>
          <w:sz w:val="19"/>
        </w:rPr>
        <w:t>Delete this section before the policy is issued. The rules mentioned are general information, not legal advice, and they change. Check with local employment counsel.</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Directive (EU) 2019/1152 on transparent and predictable working conditions, Articles 4 and 6: eur-lex.europa.eu/eli/dir/2019/1152/oj</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Directive (EU) 2023/970 on pay transparency: eur-lex.europa.eu/eli/dir/2023/970/oj</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California Labor Code § 2751 (written commission contracts): leginfo.legislature.ca.gov</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Steinhebel v. Los Angeles Times Communications, LLC (Cal. Ct. App. 2005)</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US Department of Labor: Last Paycheck, and Fact Sheet #16 on deductions: dol.gov</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UK Employment Rights Act 1996, sections 13, 14 and 27: legislation.gov.uk/ukpga/1996/18</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GOV.UK: Changing an employment contract: gov.uk/your-employment-contract-how-it-can-be-changed</w:t>
      </w:r>
    </w:p>
    <w:sectPr w:rsidR="00FC693F" w:rsidRPr="0006063C" w:rsidSect="00034616">
      <w:headerReference w:type="default" r:id="rId9"/>
      <w:footerReference w:type="default" r:id="rId10"/>
      <w:pgSz w:w="11906" w:h="16838"/>
      <w:pgMar w:top="1500" w:right="1440" w:bottom="1300" w:left="1440" w:header="60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2" w:space="6" w:color="D9D5EA"/>
      </w:pBdr>
      <w:tabs>
        <w:tab w:pos="9026" w:val="right"/>
      </w:tabs>
    </w:pPr>
    <w:r>
      <w:rPr>
        <w:rFonts w:ascii="Arial" w:hAnsi="Arial" w:cs="Arial" w:eastAsia="Arial"/>
        <w:b w:val="0"/>
        <w:i w:val="0"/>
        <w:color w:val="A1A0BD"/>
        <w:sz w:val="16"/>
      </w:rPr>
      <w:t>prowi.io · Free template from Prowi · Not legal advice</w:t>
    </w:r>
    <w:r>
      <w:rPr>
        <w:rFonts w:ascii="Arial" w:hAnsi="Arial" w:cs="Arial" w:eastAsia="Arial"/>
        <w:b w:val="0"/>
        <w:i w:val="0"/>
        <w:color w:val="A1A0BD"/>
        <w:sz w:val="16"/>
      </w:rPr>
      <w:tab/>
    </w:r>
    <w:r>
      <w:rPr>
        <w:rFonts w:ascii="Arial" w:hAnsi="Arial" w:cs="Arial" w:eastAsia="Arial"/>
        <w:b w:val="0"/>
        <w:i w:val="0"/>
        <w:color w:val="A1A0BD"/>
        <w:sz w:val="16"/>
      </w:rPr>
      <w:t xml:space="preserve">Page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PAGE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r>
      <w:rPr>
        <w:rFonts w:ascii="Arial" w:hAnsi="Arial" w:cs="Arial" w:eastAsia="Arial"/>
        <w:b w:val="0"/>
        <w:i w:val="0"/>
        <w:color w:val="A1A0BD"/>
        <w:sz w:val="16"/>
      </w:rPr>
      <w:t xml:space="preserve"> of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NUMPAGES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2" w:space="6" w:color="D9D5EA"/>
      </w:pBdr>
      <w:tabs>
        <w:tab w:pos="9026" w:val="right"/>
      </w:tabs>
    </w:pPr>
    <w:r>
      <w:drawing>
        <wp:inline xmlns:a="http://schemas.openxmlformats.org/drawingml/2006/main" xmlns:pic="http://schemas.openxmlformats.org/drawingml/2006/picture">
          <wp:extent cx="838200" cy="257175"/>
          <wp:docPr id="1" name="Picture 1"/>
          <wp:cNvGraphicFramePr>
            <a:graphicFrameLocks noChangeAspect="1"/>
          </wp:cNvGraphicFramePr>
          <a:graphic>
            <a:graphicData uri="http://schemas.openxmlformats.org/drawingml/2006/picture">
              <pic:pic>
                <pic:nvPicPr>
                  <pic:cNvPr id="0" name="prowi-logo.png"/>
                  <pic:cNvPicPr/>
                </pic:nvPicPr>
                <pic:blipFill>
                  <a:blip r:embed="rId1"/>
                  <a:stretch>
                    <a:fillRect/>
                  </a:stretch>
                </pic:blipFill>
                <pic:spPr>
                  <a:xfrm>
                    <a:off x="0" y="0"/>
                    <a:ext cx="838200" cy="257175"/>
                  </a:xfrm>
                  <a:prstGeom prst="rect"/>
                </pic:spPr>
              </pic:pic>
            </a:graphicData>
          </a:graphic>
        </wp:inline>
      </w:drawing>
    </w:r>
    <w:r>
      <w:rPr>
        <w:rFonts w:ascii="Arial" w:hAnsi="Arial" w:cs="Arial" w:eastAsia="Arial"/>
        <w:b w:val="0"/>
        <w:i w:val="0"/>
        <w:color w:val="A1A0BD"/>
        <w:sz w:val="17"/>
      </w:rPr>
      <w:tab/>
    </w:r>
    <w:r>
      <w:rPr>
        <w:rFonts w:ascii="Arial" w:hAnsi="Arial" w:cs="Arial" w:eastAsia="Arial"/>
        <w:b w:val="0"/>
        <w:i w:val="0"/>
        <w:color w:val="A1A0BD"/>
        <w:sz w:val="17"/>
      </w:rPr>
      <w:t>Commission policy ·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066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val="0"/>
      <w:bCs/>
      <w:i w:val="0"/>
      <w:color w:val="110663"/>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policy (template)</dc:title>
  <dc:subject/>
  <dc:creator>Prowi</dc:creator>
  <cp:keywords/>
  <dc:description>Company-wide rules for all commission plans</dc:description>
  <cp:lastModifiedBy/>
  <cp:revision>1</cp:revision>
  <dcterms:created xsi:type="dcterms:W3CDTF">2013-12-23T23:15:00Z</dcterms:created>
  <dcterms:modified xsi:type="dcterms:W3CDTF">2013-12-23T23:15:00Z</dcterms:modified>
  <cp:category/>
  <dc:language>en-GB</dc:language>
</cp:coreProperties>
</file>