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60" w:line="276" w:lineRule="auto"/>
      </w:pPr>
      <w:r>
        <w:rPr>
          <w:rFonts w:ascii="Arial" w:hAnsi="Arial" w:cs="Arial" w:eastAsia="Arial"/>
          <w:b w:val="0"/>
          <w:i w:val="0"/>
          <w:color w:val="4C39CA"/>
          <w:sz w:val="26"/>
        </w:rPr>
        <w:t>Bilag til provisionsaftale eller provisionsplan:</w:t>
      </w:r>
    </w:p>
    <w:p>
      <w:pPr>
        <w:keepNext/>
        <w:spacing w:before="0" w:after="0" w:line="240" w:lineRule="auto"/>
      </w:pPr>
      <w:r>
        <w:rPr>
          <w:rFonts w:ascii="Arial" w:hAnsi="Arial" w:cs="Arial" w:eastAsia="Arial"/>
          <w:b w:val="0"/>
          <w:i w:val="0"/>
          <w:color w:val="110663"/>
          <w:sz w:val="64"/>
        </w:rPr>
        <w:t>Clawback-regler</w:t>
      </w:r>
    </w:p>
    <w:p>
      <w:pPr>
        <w:pBdr>
          <w:bottom w:val="single" w:sz="24" w:space="1" w:color="46D3F7"/>
        </w:pBdr>
        <w:spacing w:before="120" w:after="160" w:line="276" w:lineRule="auto"/>
        <w:ind w:right="7726"/>
      </w:pPr>
    </w:p>
    <w:p>
      <w:pPr>
        <w:spacing w:before="0" w:after="360" w:line="276" w:lineRule="auto"/>
      </w:pPr>
      <w:r>
        <w:rPr>
          <w:rFonts w:ascii="Arial" w:hAnsi="Arial" w:cs="Arial" w:eastAsia="Arial"/>
          <w:b w:val="0"/>
          <w:i w:val="0"/>
          <w:color w:val="A1A0BD"/>
          <w:sz w:val="22"/>
        </w:rPr>
        <w:t>Skabelon med vejledning · Gratis fra Prowi</w:t>
      </w:r>
    </w:p>
    <w:p>
      <w:pPr>
        <w:pBdr>
          <w:top w:val="single" w:sz="4" w:space="6" w:color="F4F1FE"/>
          <w:left w:val="single" w:sz="18" w:space="6" w:color="4C39CA"/>
          <w:bottom w:val="single" w:sz="4" w:space="6" w:color="F4F1FE"/>
          <w:right w:val="single" w:sz="4" w:space="6" w:color="F4F1FE"/>
        </w:pBdr>
        <w:shd w:val="clear" w:color="auto" w:fill="F4F1FE"/>
        <w:spacing w:before="0" w:after="240" w:line="276" w:lineRule="auto"/>
        <w:ind w:left="140" w:right="120"/>
      </w:pPr>
      <w:r>
        <w:rPr>
          <w:rFonts w:ascii="Arial" w:hAnsi="Arial" w:cs="Arial" w:eastAsia="Arial"/>
          <w:b/>
          <w:i w:val="0"/>
          <w:color w:val="110663"/>
          <w:sz w:val="21"/>
        </w:rPr>
        <w:t>Skabelonen er et udgangspunkt og ikke juridisk rådgivning. Den er skrevet til funktionærer i Danmark. Tilpas den til jeres overenskomst, ansættelseskontrakt og provisionsaftale, og få den gennemgået, hvis I er i tvivl.</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 xml:space="preserve">Felter i </w:t>
      </w:r>
      <w:r>
        <w:rPr>
          <w:rFonts w:ascii="Arial" w:hAnsi="Arial" w:cs="Arial" w:eastAsia="Arial"/>
          <w:b w:val="0"/>
          <w:i/>
          <w:color w:val="4C39CA"/>
          <w:sz w:val="19"/>
          <w:shd w:val="clear" w:color="auto" w:fill="E6E0FB"/>
        </w:rPr>
        <w:t>[lavendel klammer]</w:t>
      </w:r>
      <w:r>
        <w:rPr>
          <w:rFonts w:ascii="Arial" w:hAnsi="Arial" w:cs="Arial" w:eastAsia="Arial"/>
          <w:b w:val="0"/>
          <w:i/>
          <w:color w:val="4A4775"/>
          <w:sz w:val="19"/>
        </w:rPr>
        <w:t xml:space="preserve"> udfyldes. Hvor der står </w:t>
      </w:r>
      <w:r>
        <w:rPr>
          <w:rFonts w:ascii="Arial" w:hAnsi="Arial" w:cs="Arial" w:eastAsia="Arial"/>
          <w:b w:val="0"/>
          <w:i/>
          <w:color w:val="4C39CA"/>
          <w:sz w:val="19"/>
          <w:shd w:val="clear" w:color="auto" w:fill="E6E0FB"/>
        </w:rPr>
        <w:t>[Vælg: ... / ...]</w:t>
      </w:r>
      <w:r>
        <w:rPr>
          <w:rFonts w:ascii="Arial" w:hAnsi="Arial" w:cs="Arial" w:eastAsia="Arial"/>
          <w:b w:val="0"/>
          <w:i/>
          <w:color w:val="4A4775"/>
          <w:sz w:val="19"/>
        </w:rPr>
        <w:t>, beholder I den mulighed, der passer, og sletter resten. Alle afsnit, der starter med "Vejledning", er forklaringer til jer og slettes, før reglerne underskrives. Skabelon fra Prowi (prowi.io).</w:t>
      </w:r>
    </w:p>
    <w:p>
      <w:pPr>
        <w:pStyle w:val="Heading2"/>
        <w:keepNext/>
        <w:spacing w:before="400" w:after="140" w:line="240" w:lineRule="auto"/>
      </w:pPr>
      <w:r>
        <w:rPr>
          <w:rFonts w:ascii="Arial" w:hAnsi="Arial" w:cs="Arial" w:eastAsia="Arial"/>
          <w:b w:val="0"/>
          <w:i w:val="0"/>
          <w:color w:val="110663"/>
          <w:sz w:val="30"/>
        </w:rPr>
        <w:t>1. Formål og omfang</w:t>
      </w:r>
    </w:p>
    <w:p>
      <w:pPr>
        <w:tabs>
          <w:tab w:pos="567" w:val="left"/>
        </w:tabs>
        <w:spacing w:before="0" w:after="120" w:line="276" w:lineRule="auto"/>
        <w:ind w:left="567" w:hanging="567"/>
      </w:pPr>
      <w:r>
        <w:rPr>
          <w:rFonts w:ascii="Arial" w:hAnsi="Arial" w:cs="Arial" w:eastAsia="Arial"/>
          <w:b/>
          <w:i w:val="0"/>
          <w:color w:val="4C39CA"/>
          <w:sz w:val="21"/>
        </w:rPr>
        <w:t>1.1</w:t>
      </w:r>
      <w:r>
        <w:rPr>
          <w:rFonts w:ascii="Arial" w:hAnsi="Arial" w:cs="Arial" w:eastAsia="Arial"/>
          <w:b w:val="0"/>
          <w:i w:val="0"/>
          <w:color w:val="110663"/>
          <w:sz w:val="21"/>
        </w:rPr>
        <w:tab/>
      </w:r>
      <w:r>
        <w:rPr>
          <w:rFonts w:ascii="Arial" w:hAnsi="Arial" w:cs="Arial" w:eastAsia="Arial"/>
          <w:b w:val="0"/>
          <w:i w:val="0"/>
          <w:color w:val="110663"/>
          <w:sz w:val="21"/>
        </w:rPr>
        <w:t>Disse regler beskriver, hvornår provision, der er beregnet eller udbetalt, helt eller delvis bortfalder (clawback), hvordan beløbet beregnes, og hvordan det modregnes.</w:t>
      </w:r>
    </w:p>
    <w:p>
      <w:pPr>
        <w:tabs>
          <w:tab w:pos="567" w:val="left"/>
        </w:tabs>
        <w:spacing w:before="0" w:after="120" w:line="276" w:lineRule="auto"/>
        <w:ind w:left="567" w:hanging="567"/>
      </w:pPr>
      <w:r>
        <w:rPr>
          <w:rFonts w:ascii="Arial" w:hAnsi="Arial" w:cs="Arial" w:eastAsia="Arial"/>
          <w:b/>
          <w:i w:val="0"/>
          <w:color w:val="4C39CA"/>
          <w:sz w:val="21"/>
        </w:rPr>
        <w:t>1.2</w:t>
      </w:r>
      <w:r>
        <w:rPr>
          <w:rFonts w:ascii="Arial" w:hAnsi="Arial" w:cs="Arial" w:eastAsia="Arial"/>
          <w:b w:val="0"/>
          <w:i w:val="0"/>
          <w:color w:val="110663"/>
          <w:sz w:val="21"/>
        </w:rPr>
        <w:tab/>
      </w:r>
      <w:r>
        <w:rPr>
          <w:rFonts w:ascii="Arial" w:hAnsi="Arial" w:cs="Arial" w:eastAsia="Arial"/>
          <w:b w:val="0"/>
          <w:i w:val="0"/>
          <w:color w:val="110663"/>
          <w:sz w:val="21"/>
        </w:rPr>
        <w:t xml:space="preserve">Reglerne gælder for </w:t>
      </w:r>
      <w:r>
        <w:rPr>
          <w:rFonts w:ascii="Arial" w:hAnsi="Arial" w:cs="Arial" w:eastAsia="Arial"/>
          <w:b w:val="0"/>
          <w:i w:val="0"/>
          <w:color w:val="4C39CA"/>
          <w:sz w:val="21"/>
          <w:shd w:val="clear" w:color="auto" w:fill="E6E0FB"/>
        </w:rPr>
        <w:t>[Vælg: Medarbejderens navn / alle sælgere, der er omfattet af provisionsplanen for år]</w:t>
      </w:r>
      <w:r>
        <w:rPr>
          <w:rFonts w:ascii="Arial" w:hAnsi="Arial" w:cs="Arial" w:eastAsia="Arial"/>
          <w:b w:val="0"/>
          <w:i w:val="0"/>
          <w:color w:val="110663"/>
          <w:sz w:val="21"/>
        </w:rPr>
        <w:t xml:space="preserve"> og er et bilag til </w:t>
      </w:r>
      <w:r>
        <w:rPr>
          <w:rFonts w:ascii="Arial" w:hAnsi="Arial" w:cs="Arial" w:eastAsia="Arial"/>
          <w:b w:val="0"/>
          <w:i w:val="0"/>
          <w:color w:val="4C39CA"/>
          <w:sz w:val="21"/>
          <w:shd w:val="clear" w:color="auto" w:fill="E6E0FB"/>
        </w:rPr>
        <w:t>[Vælg: provisionsaftalen af dato / provisionsplanen for år]</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1.3</w:t>
      </w:r>
      <w:r>
        <w:rPr>
          <w:rFonts w:ascii="Arial" w:hAnsi="Arial" w:cs="Arial" w:eastAsia="Arial"/>
          <w:b w:val="0"/>
          <w:i w:val="0"/>
          <w:color w:val="110663"/>
          <w:sz w:val="21"/>
        </w:rPr>
        <w:tab/>
      </w:r>
      <w:r>
        <w:rPr>
          <w:rFonts w:ascii="Arial" w:hAnsi="Arial" w:cs="Arial" w:eastAsia="Arial"/>
          <w:b w:val="0"/>
          <w:i w:val="0"/>
          <w:color w:val="110663"/>
          <w:sz w:val="21"/>
        </w:rPr>
        <w:t xml:space="preserve">Reglerne gælder for salg, der giver provision fra og med </w:t>
      </w:r>
      <w:r>
        <w:rPr>
          <w:rFonts w:ascii="Arial" w:hAnsi="Arial" w:cs="Arial" w:eastAsia="Arial"/>
          <w:b w:val="0"/>
          <w:i w:val="0"/>
          <w:color w:val="4C39CA"/>
          <w:sz w:val="21"/>
          <w:shd w:val="clear" w:color="auto" w:fill="E6E0FB"/>
        </w:rPr>
        <w:t>[dato]</w:t>
      </w:r>
      <w:r>
        <w:rPr>
          <w:rFonts w:ascii="Arial" w:hAnsi="Arial" w:cs="Arial" w:eastAsia="Arial"/>
          <w:b w:val="0"/>
          <w:i w:val="0"/>
          <w:color w:val="110663"/>
          <w:sz w:val="21"/>
        </w:rPr>
        <w:t>. Salg, der har givet provision før denne dato, følger de hidtidige regler.</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Clawback skal være aftalt skriftligt og på forhånd. Lønnens bestanddele, herunder provision, skal fremgå skriftligt af ansættelsesbeviset eller et bilag (ansættelsesbevisloven § 3). Regler, der indføres bagefter for provision, der allerede er optjent, er svære at gøre gældende.</w:t>
      </w:r>
    </w:p>
    <w:p>
      <w:pPr>
        <w:pStyle w:val="Heading2"/>
        <w:keepNext/>
        <w:spacing w:before="400" w:after="140" w:line="240" w:lineRule="auto"/>
      </w:pPr>
      <w:r>
        <w:rPr>
          <w:rFonts w:ascii="Arial" w:hAnsi="Arial" w:cs="Arial" w:eastAsia="Arial"/>
          <w:b w:val="0"/>
          <w:i w:val="0"/>
          <w:color w:val="110663"/>
          <w:sz w:val="30"/>
        </w:rPr>
        <w:t>2. Hvornår gælder clawback?</w:t>
      </w:r>
    </w:p>
    <w:p>
      <w:pPr>
        <w:tabs>
          <w:tab w:pos="567" w:val="left"/>
        </w:tabs>
        <w:spacing w:before="0" w:after="120" w:line="276" w:lineRule="auto"/>
        <w:ind w:left="567" w:hanging="567"/>
      </w:pPr>
      <w:r>
        <w:rPr>
          <w:rFonts w:ascii="Arial" w:hAnsi="Arial" w:cs="Arial" w:eastAsia="Arial"/>
          <w:b/>
          <w:i w:val="0"/>
          <w:color w:val="4C39CA"/>
          <w:sz w:val="21"/>
        </w:rPr>
        <w:t>2.1</w:t>
      </w:r>
      <w:r>
        <w:rPr>
          <w:rFonts w:ascii="Arial" w:hAnsi="Arial" w:cs="Arial" w:eastAsia="Arial"/>
          <w:b w:val="0"/>
          <w:i w:val="0"/>
          <w:color w:val="110663"/>
          <w:sz w:val="21"/>
        </w:rPr>
        <w:tab/>
      </w:r>
      <w:r>
        <w:rPr>
          <w:rFonts w:ascii="Arial" w:hAnsi="Arial" w:cs="Arial" w:eastAsia="Arial"/>
          <w:b w:val="0"/>
          <w:i w:val="0"/>
          <w:color w:val="110663"/>
          <w:sz w:val="21"/>
        </w:rPr>
        <w:t>Clawback gælder kun, hvis en af disse hændelser sker inden for clawback-perioden i punkt 3:</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a) Kunden annullerer eller fortryder aftalen helt eller delvis.</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 xml:space="preserve">b) Kunden har ikke betalt fakturaen </w:t>
      </w:r>
      <w:r>
        <w:rPr>
          <w:rFonts w:ascii="Arial" w:hAnsi="Arial" w:cs="Arial" w:eastAsia="Arial"/>
          <w:b w:val="0"/>
          <w:i w:val="0"/>
          <w:color w:val="4C39CA"/>
          <w:sz w:val="21"/>
          <w:shd w:val="clear" w:color="auto" w:fill="E6E0FB"/>
        </w:rPr>
        <w:t>[60]</w:t>
      </w:r>
      <w:r>
        <w:rPr>
          <w:rFonts w:ascii="Arial" w:hAnsi="Arial" w:cs="Arial" w:eastAsia="Arial"/>
          <w:b w:val="0"/>
          <w:i w:val="0"/>
          <w:color w:val="110663"/>
          <w:sz w:val="21"/>
        </w:rPr>
        <w:t xml:space="preserve"> dage efter forfald, og beløbet er sendt til inkasso eller afskrevet.</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c) Der udstedes en kreditnota, eller prisen sættes ned efter salget.</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 xml:space="preserve">d) Kunden opsiger en løbende aftale inden for </w:t>
      </w:r>
      <w:r>
        <w:rPr>
          <w:rFonts w:ascii="Arial" w:hAnsi="Arial" w:cs="Arial" w:eastAsia="Arial"/>
          <w:b w:val="0"/>
          <w:i w:val="0"/>
          <w:color w:val="4C39CA"/>
          <w:sz w:val="21"/>
          <w:shd w:val="clear" w:color="auto" w:fill="E6E0FB"/>
        </w:rPr>
        <w:t>[6]</w:t>
      </w:r>
      <w:r>
        <w:rPr>
          <w:rFonts w:ascii="Arial" w:hAnsi="Arial" w:cs="Arial" w:eastAsia="Arial"/>
          <w:b w:val="0"/>
          <w:i w:val="0"/>
          <w:color w:val="110663"/>
          <w:sz w:val="21"/>
        </w:rPr>
        <w:t xml:space="preserve"> måneder efter aftalens start.</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e) Varen returneres.</w:t>
      </w:r>
    </w:p>
    <w:p>
      <w:pPr>
        <w:tabs>
          <w:tab w:pos="567" w:val="left"/>
        </w:tabs>
        <w:spacing w:before="0" w:after="120" w:line="276" w:lineRule="auto"/>
        <w:ind w:left="567" w:hanging="567"/>
      </w:pPr>
      <w:r>
        <w:rPr>
          <w:rFonts w:ascii="Arial" w:hAnsi="Arial" w:cs="Arial" w:eastAsia="Arial"/>
          <w:b/>
          <w:i w:val="0"/>
          <w:color w:val="4C39CA"/>
          <w:sz w:val="21"/>
        </w:rPr>
        <w:t>2.2</w:t>
      </w:r>
      <w:r>
        <w:rPr>
          <w:rFonts w:ascii="Arial" w:hAnsi="Arial" w:cs="Arial" w:eastAsia="Arial"/>
          <w:b w:val="0"/>
          <w:i w:val="0"/>
          <w:color w:val="110663"/>
          <w:sz w:val="21"/>
        </w:rPr>
        <w:tab/>
      </w:r>
      <w:r>
        <w:rPr>
          <w:rFonts w:ascii="Arial" w:hAnsi="Arial" w:cs="Arial" w:eastAsia="Arial"/>
          <w:b w:val="0"/>
          <w:i w:val="0"/>
          <w:color w:val="110663"/>
          <w:sz w:val="21"/>
        </w:rPr>
        <w:t xml:space="preserve">Clawback gælder ikke, hvis hændelsen skyldes forhold, som Virksomheden har ansvaret for, fx </w:t>
      </w:r>
      <w:r>
        <w:rPr>
          <w:rFonts w:ascii="Arial" w:hAnsi="Arial" w:cs="Arial" w:eastAsia="Arial"/>
          <w:b w:val="0"/>
          <w:i w:val="0"/>
          <w:color w:val="4C39CA"/>
          <w:sz w:val="21"/>
          <w:shd w:val="clear" w:color="auto" w:fill="E6E0FB"/>
        </w:rPr>
        <w:t>[leveringssvigt, fejl i produktet eller prisændringer, som Virksomheden har besluttet]</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2.3</w:t>
      </w:r>
      <w:r>
        <w:rPr>
          <w:rFonts w:ascii="Arial" w:hAnsi="Arial" w:cs="Arial" w:eastAsia="Arial"/>
          <w:b w:val="0"/>
          <w:i w:val="0"/>
          <w:color w:val="110663"/>
          <w:sz w:val="21"/>
        </w:rPr>
        <w:tab/>
      </w:r>
      <w:r>
        <w:rPr>
          <w:rFonts w:ascii="Arial" w:hAnsi="Arial" w:cs="Arial" w:eastAsia="Arial"/>
          <w:b w:val="0"/>
          <w:i w:val="0"/>
          <w:color w:val="110663"/>
          <w:sz w:val="21"/>
        </w:rPr>
        <w:t>Betaler kunden senere, eller genoptages aftalen, tilbageføres clawback-beløbet i den førstkommende opgørelse.</w:t>
      </w:r>
    </w:p>
    <w:p>
      <w:pPr>
        <w:tabs>
          <w:tab w:pos="567" w:val="left"/>
        </w:tabs>
        <w:spacing w:before="0" w:after="120" w:line="276" w:lineRule="auto"/>
        <w:ind w:left="567" w:hanging="567"/>
      </w:pPr>
      <w:r>
        <w:rPr>
          <w:rFonts w:ascii="Arial" w:hAnsi="Arial" w:cs="Arial" w:eastAsia="Arial"/>
          <w:b/>
          <w:i w:val="0"/>
          <w:color w:val="4C39CA"/>
          <w:sz w:val="21"/>
        </w:rPr>
        <w:t>2.4</w:t>
      </w:r>
      <w:r>
        <w:rPr>
          <w:rFonts w:ascii="Arial" w:hAnsi="Arial" w:cs="Arial" w:eastAsia="Arial"/>
          <w:b w:val="0"/>
          <w:i w:val="0"/>
          <w:color w:val="110663"/>
          <w:sz w:val="21"/>
        </w:rPr>
        <w:tab/>
      </w:r>
      <w:r>
        <w:rPr>
          <w:rFonts w:ascii="Arial" w:hAnsi="Arial" w:cs="Arial" w:eastAsia="Arial"/>
          <w:b w:val="0"/>
          <w:i w:val="0"/>
          <w:color w:val="110663"/>
          <w:sz w:val="21"/>
        </w:rPr>
        <w:t>Fejl i beregningen, fx en forkert sats eller et salg registreret på den forkerte sælger, er ikke clawback, men en korrektion. Den rettes i den førstkommende opgørelse, uanset hvem fejlen er til fordel for.</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Gør listen over hændelser udtømmende, og slet dem, I ikke bruger. Brug de samme begreber som i CRM og økonomisystem, så det er til at se, om en hændelse er sket. En sen betaling bør ikke udløse clawback, før der er en klar frist.</w:t>
      </w:r>
    </w:p>
    <w:p>
      <w:pPr>
        <w:pStyle w:val="Heading2"/>
        <w:keepNext/>
        <w:spacing w:before="400" w:after="140" w:line="240" w:lineRule="auto"/>
      </w:pPr>
      <w:r>
        <w:rPr>
          <w:rFonts w:ascii="Arial" w:hAnsi="Arial" w:cs="Arial" w:eastAsia="Arial"/>
          <w:b w:val="0"/>
          <w:i w:val="0"/>
          <w:color w:val="110663"/>
          <w:sz w:val="30"/>
        </w:rPr>
        <w:t>3. Clawback-periode</w:t>
      </w:r>
    </w:p>
    <w:p>
      <w:pPr>
        <w:tabs>
          <w:tab w:pos="567" w:val="left"/>
        </w:tabs>
        <w:spacing w:before="0" w:after="120" w:line="276" w:lineRule="auto"/>
        <w:ind w:left="567" w:hanging="567"/>
      </w:pPr>
      <w:r>
        <w:rPr>
          <w:rFonts w:ascii="Arial" w:hAnsi="Arial" w:cs="Arial" w:eastAsia="Arial"/>
          <w:b/>
          <w:i w:val="0"/>
          <w:color w:val="4C39CA"/>
          <w:sz w:val="21"/>
        </w:rPr>
        <w:t>3.1</w:t>
      </w:r>
      <w:r>
        <w:rPr>
          <w:rFonts w:ascii="Arial" w:hAnsi="Arial" w:cs="Arial" w:eastAsia="Arial"/>
          <w:b w:val="0"/>
          <w:i w:val="0"/>
          <w:color w:val="110663"/>
          <w:sz w:val="21"/>
        </w:rPr>
        <w:tab/>
      </w:r>
      <w:r>
        <w:rPr>
          <w:rFonts w:ascii="Arial" w:hAnsi="Arial" w:cs="Arial" w:eastAsia="Arial"/>
          <w:b w:val="0"/>
          <w:i w:val="0"/>
          <w:color w:val="110663"/>
          <w:sz w:val="21"/>
        </w:rPr>
        <w:t xml:space="preserve">Clawback kan kun ske, hvis hændelsen i punkt 2.1 sker senest </w:t>
      </w:r>
      <w:r>
        <w:rPr>
          <w:rFonts w:ascii="Arial" w:hAnsi="Arial" w:cs="Arial" w:eastAsia="Arial"/>
          <w:b w:val="0"/>
          <w:i w:val="0"/>
          <w:color w:val="4C39CA"/>
          <w:sz w:val="21"/>
          <w:shd w:val="clear" w:color="auto" w:fill="E6E0FB"/>
        </w:rPr>
        <w:t>[3]</w:t>
      </w:r>
      <w:r>
        <w:rPr>
          <w:rFonts w:ascii="Arial" w:hAnsi="Arial" w:cs="Arial" w:eastAsia="Arial"/>
          <w:b w:val="0"/>
          <w:i w:val="0"/>
          <w:color w:val="110663"/>
          <w:sz w:val="21"/>
        </w:rPr>
        <w:t xml:space="preserve"> måneder efter </w:t>
      </w:r>
      <w:r>
        <w:rPr>
          <w:rFonts w:ascii="Arial" w:hAnsi="Arial" w:cs="Arial" w:eastAsia="Arial"/>
          <w:b w:val="0"/>
          <w:i w:val="0"/>
          <w:color w:val="4C39CA"/>
          <w:sz w:val="21"/>
          <w:shd w:val="clear" w:color="auto" w:fill="E6E0FB"/>
        </w:rPr>
        <w:t>[Vælg: den måned, hvor salget gav provision / fakturadatoen / aftalens startdato]</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3.2</w:t>
      </w:r>
      <w:r>
        <w:rPr>
          <w:rFonts w:ascii="Arial" w:hAnsi="Arial" w:cs="Arial" w:eastAsia="Arial"/>
          <w:b w:val="0"/>
          <w:i w:val="0"/>
          <w:color w:val="110663"/>
          <w:sz w:val="21"/>
        </w:rPr>
        <w:tab/>
      </w:r>
      <w:r>
        <w:rPr>
          <w:rFonts w:ascii="Arial" w:hAnsi="Arial" w:cs="Arial" w:eastAsia="Arial"/>
          <w:b w:val="0"/>
          <w:i w:val="0"/>
          <w:color w:val="110663"/>
          <w:sz w:val="21"/>
        </w:rPr>
        <w:t>Efter clawback-perioden er provisionen endelig, også hvis kunden senere annullerer eller ikke betaler.</w:t>
      </w:r>
    </w:p>
    <w:p>
      <w:pPr>
        <w:tabs>
          <w:tab w:pos="567" w:val="left"/>
        </w:tabs>
        <w:spacing w:before="0" w:after="120" w:line="276" w:lineRule="auto"/>
        <w:ind w:left="567" w:hanging="567"/>
      </w:pPr>
      <w:r>
        <w:rPr>
          <w:rFonts w:ascii="Arial" w:hAnsi="Arial" w:cs="Arial" w:eastAsia="Arial"/>
          <w:b/>
          <w:i w:val="0"/>
          <w:color w:val="4C39CA"/>
          <w:sz w:val="21"/>
        </w:rPr>
        <w:t>3.3</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[Hvis relevant:]</w:t>
      </w:r>
      <w:r>
        <w:rPr>
          <w:rFonts w:ascii="Arial" w:hAnsi="Arial" w:cs="Arial" w:eastAsia="Arial"/>
          <w:b w:val="0"/>
          <w:i w:val="0"/>
          <w:color w:val="110663"/>
          <w:sz w:val="21"/>
        </w:rPr>
        <w:t xml:space="preserve"> For aftaler, hvor provisionen beregnes af en kontraktværdi over flere år, er perioden </w:t>
      </w:r>
      <w:r>
        <w:rPr>
          <w:rFonts w:ascii="Arial" w:hAnsi="Arial" w:cs="Arial" w:eastAsia="Arial"/>
          <w:b w:val="0"/>
          <w:i w:val="0"/>
          <w:color w:val="4C39CA"/>
          <w:sz w:val="21"/>
          <w:shd w:val="clear" w:color="auto" w:fill="E6E0FB"/>
        </w:rPr>
        <w:t>[12]</w:t>
      </w:r>
      <w:r>
        <w:rPr>
          <w:rFonts w:ascii="Arial" w:hAnsi="Arial" w:cs="Arial" w:eastAsia="Arial"/>
          <w:b w:val="0"/>
          <w:i w:val="0"/>
          <w:color w:val="110663"/>
          <w:sz w:val="21"/>
        </w:rPr>
        <w:t xml:space="preserve"> måneder, og clawback beregnes kun af den del af kontraktværdien, kunden ikke betaler.</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En kort periode, fx 3 til 6 måneder, gør det muligt for sælgeren at vide, hvad hun har tjent. En lang periode skaber usikkerhed og flere tvister. Brug den samme periode i provisionsaftalen, provisionsplanen og jeres regneark eller system.</w:t>
      </w:r>
    </w:p>
    <w:p>
      <w:pPr>
        <w:pStyle w:val="Heading2"/>
        <w:keepNext/>
        <w:spacing w:before="400" w:after="140" w:line="240" w:lineRule="auto"/>
      </w:pPr>
      <w:r>
        <w:rPr>
          <w:rFonts w:ascii="Arial" w:hAnsi="Arial" w:cs="Arial" w:eastAsia="Arial"/>
          <w:b w:val="0"/>
          <w:i w:val="0"/>
          <w:color w:val="110663"/>
          <w:sz w:val="30"/>
        </w:rPr>
        <w:t>4. Beregning</w:t>
      </w:r>
    </w:p>
    <w:p>
      <w:pPr>
        <w:tabs>
          <w:tab w:pos="567" w:val="left"/>
        </w:tabs>
        <w:spacing w:before="0" w:after="120" w:line="276" w:lineRule="auto"/>
        <w:ind w:left="567" w:hanging="567"/>
      </w:pPr>
      <w:r>
        <w:rPr>
          <w:rFonts w:ascii="Arial" w:hAnsi="Arial" w:cs="Arial" w:eastAsia="Arial"/>
          <w:b/>
          <w:i w:val="0"/>
          <w:color w:val="4C39CA"/>
          <w:sz w:val="21"/>
        </w:rPr>
        <w:t>4.1</w:t>
      </w:r>
      <w:r>
        <w:rPr>
          <w:rFonts w:ascii="Arial" w:hAnsi="Arial" w:cs="Arial" w:eastAsia="Arial"/>
          <w:b w:val="0"/>
          <w:i w:val="0"/>
          <w:color w:val="110663"/>
          <w:sz w:val="21"/>
        </w:rPr>
        <w:tab/>
      </w:r>
      <w:r>
        <w:rPr>
          <w:rFonts w:ascii="Arial" w:hAnsi="Arial" w:cs="Arial" w:eastAsia="Arial"/>
          <w:b w:val="0"/>
          <w:i w:val="0"/>
          <w:color w:val="110663"/>
          <w:sz w:val="21"/>
        </w:rPr>
        <w:t>Clawback-beløbet er provisionsgrundlaget for den annullerede, ubetalte eller krediterede del ganget med den sats, der blev brugt, da salget gav provision.</w:t>
      </w:r>
    </w:p>
    <w:p>
      <w:pPr>
        <w:tabs>
          <w:tab w:pos="567" w:val="left"/>
        </w:tabs>
        <w:spacing w:before="0" w:after="120" w:line="276" w:lineRule="auto"/>
        <w:ind w:left="567" w:hanging="567"/>
      </w:pPr>
      <w:r>
        <w:rPr>
          <w:rFonts w:ascii="Arial" w:hAnsi="Arial" w:cs="Arial" w:eastAsia="Arial"/>
          <w:b/>
          <w:i w:val="0"/>
          <w:color w:val="4C39CA"/>
          <w:sz w:val="21"/>
        </w:rPr>
        <w:t>4.2</w:t>
      </w:r>
      <w:r>
        <w:rPr>
          <w:rFonts w:ascii="Arial" w:hAnsi="Arial" w:cs="Arial" w:eastAsia="Arial"/>
          <w:b w:val="0"/>
          <w:i w:val="0"/>
          <w:color w:val="110663"/>
          <w:sz w:val="21"/>
        </w:rPr>
        <w:tab/>
      </w:r>
      <w:r>
        <w:rPr>
          <w:rFonts w:ascii="Arial" w:hAnsi="Arial" w:cs="Arial" w:eastAsia="Arial"/>
          <w:b w:val="0"/>
          <w:i w:val="0"/>
          <w:color w:val="110663"/>
          <w:sz w:val="21"/>
        </w:rPr>
        <w:t xml:space="preserve">Ved trappemodel eller accelerator bruges </w:t>
      </w:r>
      <w:r>
        <w:rPr>
          <w:rFonts w:ascii="Arial" w:hAnsi="Arial" w:cs="Arial" w:eastAsia="Arial"/>
          <w:b w:val="0"/>
          <w:i w:val="0"/>
          <w:color w:val="4C39CA"/>
          <w:sz w:val="21"/>
          <w:shd w:val="clear" w:color="auto" w:fill="E6E0FB"/>
        </w:rPr>
        <w:t>[Vælg: sælgerens effektive sats i den måned, hvor salget gav provision, dvs. provision ÷ grundlag / satsen for det trin, salget lå i]</w:t>
      </w:r>
      <w:r>
        <w:rPr>
          <w:rFonts w:ascii="Arial" w:hAnsi="Arial" w:cs="Arial" w:eastAsia="Arial"/>
          <w:b w:val="0"/>
          <w:i w:val="0"/>
          <w:color w:val="110663"/>
          <w:sz w:val="21"/>
        </w:rPr>
        <w:t>.</w:t>
      </w:r>
    </w:p>
    <w:p>
      <w:pPr>
        <w:tabs>
          <w:tab w:pos="567" w:val="left"/>
        </w:tabs>
        <w:spacing w:before="0" w:after="120" w:line="276" w:lineRule="auto"/>
        <w:ind w:left="567" w:hanging="567"/>
      </w:pPr>
      <w:r>
        <w:rPr>
          <w:rFonts w:ascii="Arial" w:hAnsi="Arial" w:cs="Arial" w:eastAsia="Arial"/>
          <w:b/>
          <w:i w:val="0"/>
          <w:color w:val="4C39CA"/>
          <w:sz w:val="21"/>
        </w:rPr>
        <w:t>4.3</w:t>
      </w:r>
      <w:r>
        <w:rPr>
          <w:rFonts w:ascii="Arial" w:hAnsi="Arial" w:cs="Arial" w:eastAsia="Arial"/>
          <w:b w:val="0"/>
          <w:i w:val="0"/>
          <w:color w:val="110663"/>
          <w:sz w:val="21"/>
        </w:rPr>
        <w:tab/>
      </w:r>
      <w:r>
        <w:rPr>
          <w:rFonts w:ascii="Arial" w:hAnsi="Arial" w:cs="Arial" w:eastAsia="Arial"/>
          <w:b w:val="0"/>
          <w:i w:val="0"/>
          <w:color w:val="110663"/>
          <w:sz w:val="21"/>
        </w:rPr>
        <w:t>Ved delvis annullering eller kreditering beregnes clawback forholdsmæssigt af den del, der bortfalder.</w:t>
      </w:r>
    </w:p>
    <w:p>
      <w:pPr>
        <w:tabs>
          <w:tab w:pos="567" w:val="left"/>
        </w:tabs>
        <w:spacing w:before="0" w:after="120" w:line="276" w:lineRule="auto"/>
        <w:ind w:left="567" w:hanging="567"/>
      </w:pPr>
      <w:r>
        <w:rPr>
          <w:rFonts w:ascii="Arial" w:hAnsi="Arial" w:cs="Arial" w:eastAsia="Arial"/>
          <w:b/>
          <w:i w:val="0"/>
          <w:color w:val="4C39CA"/>
          <w:sz w:val="21"/>
        </w:rPr>
        <w:t>4.4</w:t>
      </w:r>
      <w:r>
        <w:rPr>
          <w:rFonts w:ascii="Arial" w:hAnsi="Arial" w:cs="Arial" w:eastAsia="Arial"/>
          <w:b w:val="0"/>
          <w:i w:val="0"/>
          <w:color w:val="110663"/>
          <w:sz w:val="21"/>
        </w:rPr>
        <w:tab/>
      </w:r>
      <w:r>
        <w:rPr>
          <w:rFonts w:ascii="Arial" w:hAnsi="Arial" w:cs="Arial" w:eastAsia="Arial"/>
          <w:b w:val="0"/>
          <w:i w:val="0"/>
          <w:color w:val="110663"/>
          <w:sz w:val="21"/>
        </w:rPr>
        <w:t>Var provisionen i måneden begrænset af et loft, beregnes clawback af den provision, der faktisk blev udbetalt for salget.</w:t>
      </w:r>
    </w:p>
    <w:p>
      <w:pPr>
        <w:tabs>
          <w:tab w:pos="567" w:val="left"/>
        </w:tabs>
        <w:spacing w:before="0" w:after="120" w:line="276" w:lineRule="auto"/>
        <w:ind w:left="567" w:hanging="567"/>
      </w:pPr>
      <w:r>
        <w:rPr>
          <w:rFonts w:ascii="Arial" w:hAnsi="Arial" w:cs="Arial" w:eastAsia="Arial"/>
          <w:b/>
          <w:i w:val="0"/>
          <w:color w:val="4C39CA"/>
          <w:sz w:val="21"/>
        </w:rPr>
        <w:t>4.5</w:t>
      </w:r>
      <w:r>
        <w:rPr>
          <w:rFonts w:ascii="Arial" w:hAnsi="Arial" w:cs="Arial" w:eastAsia="Arial"/>
          <w:b w:val="0"/>
          <w:i w:val="0"/>
          <w:color w:val="110663"/>
          <w:sz w:val="21"/>
        </w:rPr>
        <w:tab/>
      </w:r>
      <w:r>
        <w:rPr>
          <w:rFonts w:ascii="Arial" w:hAnsi="Arial" w:cs="Arial" w:eastAsia="Arial"/>
          <w:b w:val="0"/>
          <w:i w:val="0"/>
          <w:color w:val="110663"/>
          <w:sz w:val="21"/>
        </w:rPr>
        <w:t>Der beregnes ikke renter. Tidligere opgørelser ændres ikke. Clawback vises som en linje i den måned, hvor hændelsen registreres.</w:t>
      </w:r>
    </w:p>
    <w:p>
      <w:pPr>
        <w:spacing w:before="0" w:after="120" w:line="276" w:lineRule="auto"/>
      </w:pPr>
      <w:r>
        <w:rPr>
          <w:rFonts w:ascii="Arial" w:hAnsi="Arial" w:cs="Arial" w:eastAsia="Arial"/>
          <w:b w:val="0"/>
          <w:i w:val="0"/>
          <w:color w:val="110663"/>
          <w:sz w:val="21"/>
        </w:rPr>
        <w:t>Eksempel: Et salg på 200.000 kr. gav provision i marts. Sælgerens effektive sats i marts var 7 %, så provisionen var 14.000 kr. I maj annullerer kunden halvdelen af aftalen. Clawback = 100.000 × 7 % = 7.000 kr., som vises på opgørelsen for maj.</w:t>
      </w:r>
    </w:p>
    <w:p>
      <w:pPr>
        <w:pStyle w:val="Heading2"/>
        <w:keepNext/>
        <w:spacing w:before="400" w:after="140" w:line="240" w:lineRule="auto"/>
      </w:pPr>
      <w:r>
        <w:rPr>
          <w:rFonts w:ascii="Arial" w:hAnsi="Arial" w:cs="Arial" w:eastAsia="Arial"/>
          <w:b w:val="0"/>
          <w:i w:val="0"/>
          <w:color w:val="110663"/>
          <w:sz w:val="30"/>
        </w:rPr>
        <w:t>5. Modregning i senere provision</w:t>
      </w:r>
    </w:p>
    <w:p>
      <w:pPr>
        <w:tabs>
          <w:tab w:pos="567" w:val="left"/>
        </w:tabs>
        <w:spacing w:before="0" w:after="120" w:line="276" w:lineRule="auto"/>
        <w:ind w:left="567" w:hanging="567"/>
      </w:pPr>
      <w:r>
        <w:rPr>
          <w:rFonts w:ascii="Arial" w:hAnsi="Arial" w:cs="Arial" w:eastAsia="Arial"/>
          <w:b/>
          <w:i w:val="0"/>
          <w:color w:val="4C39CA"/>
          <w:sz w:val="21"/>
        </w:rPr>
        <w:t>5.1</w:t>
      </w:r>
      <w:r>
        <w:rPr>
          <w:rFonts w:ascii="Arial" w:hAnsi="Arial" w:cs="Arial" w:eastAsia="Arial"/>
          <w:b w:val="0"/>
          <w:i w:val="0"/>
          <w:color w:val="110663"/>
          <w:sz w:val="21"/>
        </w:rPr>
        <w:tab/>
      </w:r>
      <w:r>
        <w:rPr>
          <w:rFonts w:ascii="Arial" w:hAnsi="Arial" w:cs="Arial" w:eastAsia="Arial"/>
          <w:b w:val="0"/>
          <w:i w:val="0"/>
          <w:color w:val="110663"/>
          <w:sz w:val="21"/>
        </w:rPr>
        <w:t>Clawback-beløbet modregnes i den provision, Medarbejderen optjener i den måned, hvor hændelsen registreres, og i de følgende måneder.</w:t>
      </w:r>
    </w:p>
    <w:p>
      <w:pPr>
        <w:tabs>
          <w:tab w:pos="567" w:val="left"/>
        </w:tabs>
        <w:spacing w:before="0" w:after="120" w:line="276" w:lineRule="auto"/>
        <w:ind w:left="567" w:hanging="567"/>
      </w:pPr>
      <w:r>
        <w:rPr>
          <w:rFonts w:ascii="Arial" w:hAnsi="Arial" w:cs="Arial" w:eastAsia="Arial"/>
          <w:b/>
          <w:i w:val="0"/>
          <w:color w:val="4C39CA"/>
          <w:sz w:val="21"/>
        </w:rPr>
        <w:t>5.2</w:t>
      </w:r>
      <w:r>
        <w:rPr>
          <w:rFonts w:ascii="Arial" w:hAnsi="Arial" w:cs="Arial" w:eastAsia="Arial"/>
          <w:b w:val="0"/>
          <w:i w:val="0"/>
          <w:color w:val="110663"/>
          <w:sz w:val="21"/>
        </w:rPr>
        <w:tab/>
      </w:r>
      <w:r>
        <w:rPr>
          <w:rFonts w:ascii="Arial" w:hAnsi="Arial" w:cs="Arial" w:eastAsia="Arial"/>
          <w:b w:val="0"/>
          <w:i w:val="0"/>
          <w:color w:val="110663"/>
          <w:sz w:val="21"/>
        </w:rPr>
        <w:t xml:space="preserve">Modregningen udgør højst </w:t>
      </w:r>
      <w:r>
        <w:rPr>
          <w:rFonts w:ascii="Arial" w:hAnsi="Arial" w:cs="Arial" w:eastAsia="Arial"/>
          <w:b w:val="0"/>
          <w:i w:val="0"/>
          <w:color w:val="4C39CA"/>
          <w:sz w:val="21"/>
          <w:shd w:val="clear" w:color="auto" w:fill="E6E0FB"/>
        </w:rPr>
        <w:t>[50]</w:t>
      </w:r>
      <w:r>
        <w:rPr>
          <w:rFonts w:ascii="Arial" w:hAnsi="Arial" w:cs="Arial" w:eastAsia="Arial"/>
          <w:b w:val="0"/>
          <w:i w:val="0"/>
          <w:color w:val="110663"/>
          <w:sz w:val="21"/>
        </w:rPr>
        <w:t xml:space="preserve"> % af Medarbejderens provision i en måned. Resten overføres til næste måned.</w:t>
      </w:r>
    </w:p>
    <w:p>
      <w:pPr>
        <w:tabs>
          <w:tab w:pos="567" w:val="left"/>
        </w:tabs>
        <w:spacing w:before="0" w:after="120" w:line="276" w:lineRule="auto"/>
        <w:ind w:left="567" w:hanging="567"/>
      </w:pPr>
      <w:r>
        <w:rPr>
          <w:rFonts w:ascii="Arial" w:hAnsi="Arial" w:cs="Arial" w:eastAsia="Arial"/>
          <w:b/>
          <w:i w:val="0"/>
          <w:color w:val="4C39CA"/>
          <w:sz w:val="21"/>
        </w:rPr>
        <w:t>5.3</w:t>
      </w:r>
      <w:r>
        <w:rPr>
          <w:rFonts w:ascii="Arial" w:hAnsi="Arial" w:cs="Arial" w:eastAsia="Arial"/>
          <w:b w:val="0"/>
          <w:i w:val="0"/>
          <w:color w:val="110663"/>
          <w:sz w:val="21"/>
        </w:rPr>
        <w:tab/>
      </w:r>
      <w:r>
        <w:rPr>
          <w:rFonts w:ascii="Arial" w:hAnsi="Arial" w:cs="Arial" w:eastAsia="Arial"/>
          <w:b w:val="0"/>
          <w:i w:val="0"/>
          <w:color w:val="110663"/>
          <w:sz w:val="21"/>
        </w:rPr>
        <w:t>Er provisionen i en måned mindre end det beløb, der skal modregnes, overføres resten som en negativ saldo. Saldoen vises på hver opgørelse, indtil den er modregnet.</w:t>
      </w:r>
    </w:p>
    <w:p>
      <w:pPr>
        <w:tabs>
          <w:tab w:pos="567" w:val="left"/>
        </w:tabs>
        <w:spacing w:before="0" w:after="120" w:line="276" w:lineRule="auto"/>
        <w:ind w:left="567" w:hanging="567"/>
      </w:pPr>
      <w:r>
        <w:rPr>
          <w:rFonts w:ascii="Arial" w:hAnsi="Arial" w:cs="Arial" w:eastAsia="Arial"/>
          <w:b/>
          <w:i w:val="0"/>
          <w:color w:val="4C39CA"/>
          <w:sz w:val="21"/>
        </w:rPr>
        <w:t>5.4</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[Vælg: Der modregnes ikke i den faste løn. / Der modregnes også i den faste løn, dog højst ... kr. pr. måned, aldrig i løn under ferie, ferietillæg eller feriegodtgørelse, og kun efter skriftlig meddelelse til Medarbejderen senest 14 dage før lønudbetalingen.]</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Modregning i senere provision er den sikreste løsning. En arbejdsgiver kan ikke bare trække et beløb i lønnen. Der findes ingen samlet lov om modregning i løn; reglerne kommer fra retspraksis. Som udgangspunkt skal kravet være klart, dokumenteret og forfaldent og have direkte sammenhæng med ansættelsen, og medarbejderen skal have et vist eksistensminimum tilbage. Vent ikke for længe: passivitet kan koste retten til at modregne. Har sælgeren fået forskud på provision, kan forskuddet kun dækkes af løn og provision, sælgeren har til gode (funktionærloven § 9, stk. 2). Vælger I modregning i den faste løn, så skriv et beløbsloft og en varslingsfrist, og få reglen gennemgået. Der må ikke modregnes i løn under ferie, ferietillæg eller feriegodtgørelse, medmindre kravet skyldes et retsstridigt forhold, som medarbejderen har erkendt, eller som er fastslået ved dom (ferieloven § 29). En kunde, der annullerer eller ikke betaler, er ikke i sig selv et retsstridigt forhold fra sælgerens side.</w:t>
      </w:r>
    </w:p>
    <w:p>
      <w:pPr>
        <w:pStyle w:val="Heading2"/>
        <w:keepNext/>
        <w:spacing w:before="400" w:after="140" w:line="240" w:lineRule="auto"/>
      </w:pPr>
      <w:r>
        <w:rPr>
          <w:rFonts w:ascii="Arial" w:hAnsi="Arial" w:cs="Arial" w:eastAsia="Arial"/>
          <w:b w:val="0"/>
          <w:i w:val="0"/>
          <w:color w:val="110663"/>
          <w:sz w:val="30"/>
        </w:rPr>
        <w:t>6. Tilbagebetaling</w:t>
      </w:r>
    </w:p>
    <w:p>
      <w:pPr>
        <w:tabs>
          <w:tab w:pos="567" w:val="left"/>
        </w:tabs>
        <w:spacing w:before="0" w:after="120" w:line="276" w:lineRule="auto"/>
        <w:ind w:left="567" w:hanging="567"/>
      </w:pPr>
      <w:r>
        <w:rPr>
          <w:rFonts w:ascii="Arial" w:hAnsi="Arial" w:cs="Arial" w:eastAsia="Arial"/>
          <w:b/>
          <w:i w:val="0"/>
          <w:color w:val="4C39CA"/>
          <w:sz w:val="21"/>
        </w:rPr>
        <w:t>6.1</w:t>
      </w:r>
      <w:r>
        <w:rPr>
          <w:rFonts w:ascii="Arial" w:hAnsi="Arial" w:cs="Arial" w:eastAsia="Arial"/>
          <w:b w:val="0"/>
          <w:i w:val="0"/>
          <w:color w:val="110663"/>
          <w:sz w:val="21"/>
        </w:rPr>
        <w:tab/>
      </w:r>
      <w:r>
        <w:rPr>
          <w:rFonts w:ascii="Arial" w:hAnsi="Arial" w:cs="Arial" w:eastAsia="Arial"/>
          <w:b w:val="0"/>
          <w:i w:val="0"/>
          <w:color w:val="4C39CA"/>
          <w:sz w:val="21"/>
          <w:shd w:val="clear" w:color="auto" w:fill="E6E0FB"/>
        </w:rPr>
        <w:t>[Vælg: Medarbejderen skal ikke betale clawback-beløb tilbage. Et beløb, der ikke kan modregnes efter punkt 5 og 7, bortfalder. / Et beløb, der ikke er modregnet 12 måneder efter hændelsen, kan kræves tilbagebetalt efter en skriftlig aftale med Medarbejderen om en afdragsordning.]</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Den første mulighed er den enkleste og giver færrest tvister. Om provision, der allerede er optjent og udbetalt, kan kræves betalt tilbage, afhænger især af aftalen, og et forskud på provision kan efter funktionærloven § 9, stk. 2 ikke kræves betalt som almindelig gæld. Søg rådgivning, før I vælger den anden mulighed.</w:t>
      </w:r>
    </w:p>
    <w:p>
      <w:pPr>
        <w:pStyle w:val="Heading2"/>
        <w:keepNext/>
        <w:spacing w:before="400" w:after="140" w:line="240" w:lineRule="auto"/>
      </w:pPr>
      <w:r>
        <w:rPr>
          <w:rFonts w:ascii="Arial" w:hAnsi="Arial" w:cs="Arial" w:eastAsia="Arial"/>
          <w:b w:val="0"/>
          <w:i w:val="0"/>
          <w:color w:val="110663"/>
          <w:sz w:val="30"/>
        </w:rPr>
        <w:t>7. Fratræden</w:t>
      </w:r>
    </w:p>
    <w:p>
      <w:pPr>
        <w:tabs>
          <w:tab w:pos="567" w:val="left"/>
        </w:tabs>
        <w:spacing w:before="0" w:after="120" w:line="276" w:lineRule="auto"/>
        <w:ind w:left="567" w:hanging="567"/>
      </w:pPr>
      <w:r>
        <w:rPr>
          <w:rFonts w:ascii="Arial" w:hAnsi="Arial" w:cs="Arial" w:eastAsia="Arial"/>
          <w:b/>
          <w:i w:val="0"/>
          <w:color w:val="4C39CA"/>
          <w:sz w:val="21"/>
        </w:rPr>
        <w:t>7.1</w:t>
      </w:r>
      <w:r>
        <w:rPr>
          <w:rFonts w:ascii="Arial" w:hAnsi="Arial" w:cs="Arial" w:eastAsia="Arial"/>
          <w:b w:val="0"/>
          <w:i w:val="0"/>
          <w:color w:val="110663"/>
          <w:sz w:val="21"/>
        </w:rPr>
        <w:tab/>
      </w:r>
      <w:r>
        <w:rPr>
          <w:rFonts w:ascii="Arial" w:hAnsi="Arial" w:cs="Arial" w:eastAsia="Arial"/>
          <w:b w:val="0"/>
          <w:i w:val="0"/>
          <w:color w:val="110663"/>
          <w:sz w:val="21"/>
        </w:rPr>
        <w:t>Clawback-perioden gælder også for salg, der har givet provision før fratrædelsen, og for provision af salg, der lukker efter fratrædelsen.</w:t>
      </w:r>
    </w:p>
    <w:p>
      <w:pPr>
        <w:tabs>
          <w:tab w:pos="567" w:val="left"/>
        </w:tabs>
        <w:spacing w:before="0" w:after="120" w:line="276" w:lineRule="auto"/>
        <w:ind w:left="567" w:hanging="567"/>
      </w:pPr>
      <w:r>
        <w:rPr>
          <w:rFonts w:ascii="Arial" w:hAnsi="Arial" w:cs="Arial" w:eastAsia="Arial"/>
          <w:b/>
          <w:i w:val="0"/>
          <w:color w:val="4C39CA"/>
          <w:sz w:val="21"/>
        </w:rPr>
        <w:t>7.2</w:t>
      </w:r>
      <w:r>
        <w:rPr>
          <w:rFonts w:ascii="Arial" w:hAnsi="Arial" w:cs="Arial" w:eastAsia="Arial"/>
          <w:b w:val="0"/>
          <w:i w:val="0"/>
          <w:color w:val="110663"/>
          <w:sz w:val="21"/>
        </w:rPr>
        <w:tab/>
      </w:r>
      <w:r>
        <w:rPr>
          <w:rFonts w:ascii="Arial" w:hAnsi="Arial" w:cs="Arial" w:eastAsia="Arial"/>
          <w:b w:val="0"/>
          <w:i w:val="0"/>
          <w:color w:val="110663"/>
          <w:sz w:val="21"/>
        </w:rPr>
        <w:t xml:space="preserve">En negativ saldo ved fratrædelsen </w:t>
      </w:r>
      <w:r>
        <w:rPr>
          <w:rFonts w:ascii="Arial" w:hAnsi="Arial" w:cs="Arial" w:eastAsia="Arial"/>
          <w:b w:val="0"/>
          <w:i w:val="0"/>
          <w:color w:val="4C39CA"/>
          <w:sz w:val="21"/>
          <w:shd w:val="clear" w:color="auto" w:fill="E6E0FB"/>
        </w:rPr>
        <w:t>[Vælg: modregnes i den sidste provision / modregnes i den sidste provision og løn i det omfang, loven tillader det, dog ikke i løn under ferie, ferietillæg eller feriegodtgørelse, medmindre kravet skyldes et retsstridigt forhold, som Medarbejderen har erkendt, eller som er fastslået ved dom (ferieloven § 29) / bortfalder]</w:t>
      </w:r>
      <w:r>
        <w:rPr>
          <w:rFonts w:ascii="Arial" w:hAnsi="Arial" w:cs="Arial" w:eastAsia="Arial"/>
          <w:b w:val="0"/>
          <w:i w:val="0"/>
          <w:color w:val="110663"/>
          <w:sz w:val="21"/>
        </w:rPr>
        <w:t>. Et resterende beløb kræves ikke betalt</w:t>
      </w:r>
      <w:r>
        <w:rPr>
          <w:rFonts w:ascii="Arial" w:hAnsi="Arial" w:cs="Arial" w:eastAsia="Arial"/>
          <w:b w:val="0"/>
          <w:i w:val="0"/>
          <w:color w:val="4C39CA"/>
          <w:sz w:val="21"/>
          <w:shd w:val="clear" w:color="auto" w:fill="E6E0FB"/>
        </w:rPr>
        <w:t>[, medmindre andet er aftalt efter punkt 6]</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De samme grænser for modregning gælder i den sidste løn. Efter ferieloven § 29 kan der ikke modregnes i løn under ferie, ferietillæg eller feriegodtgørelse, medmindre kravet skyldes et retsstridigt forhold i ansættelsen, som medarbejderen har erkendt, eller som er fastslået ved dom. En clawback, fordi en kunde har annulleret eller ikke betalt, opfylder normalt ikke den betingelse, så hold feriebeløbene uden for modregningen i slutopgørelsen. Beskriv på forhånd, hvad der sker med en negativ saldo, så slutopgørelsen ikke bliver en forhandling.</w:t>
      </w:r>
    </w:p>
    <w:p>
      <w:pPr>
        <w:pStyle w:val="Heading2"/>
        <w:keepNext/>
        <w:spacing w:before="400" w:after="140" w:line="240" w:lineRule="auto"/>
      </w:pPr>
      <w:r>
        <w:rPr>
          <w:rFonts w:ascii="Arial" w:hAnsi="Arial" w:cs="Arial" w:eastAsia="Arial"/>
          <w:b w:val="0"/>
          <w:i w:val="0"/>
          <w:color w:val="110663"/>
          <w:sz w:val="30"/>
        </w:rPr>
        <w:t>8. Opgørelse og indsigelse</w:t>
      </w:r>
    </w:p>
    <w:p>
      <w:pPr>
        <w:tabs>
          <w:tab w:pos="567" w:val="left"/>
        </w:tabs>
        <w:spacing w:before="0" w:after="120" w:line="276" w:lineRule="auto"/>
        <w:ind w:left="567" w:hanging="567"/>
      </w:pPr>
      <w:r>
        <w:rPr>
          <w:rFonts w:ascii="Arial" w:hAnsi="Arial" w:cs="Arial" w:eastAsia="Arial"/>
          <w:b/>
          <w:i w:val="0"/>
          <w:color w:val="4C39CA"/>
          <w:sz w:val="21"/>
        </w:rPr>
        <w:t>8.1</w:t>
      </w:r>
      <w:r>
        <w:rPr>
          <w:rFonts w:ascii="Arial" w:hAnsi="Arial" w:cs="Arial" w:eastAsia="Arial"/>
          <w:b w:val="0"/>
          <w:i w:val="0"/>
          <w:color w:val="110663"/>
          <w:sz w:val="21"/>
        </w:rPr>
        <w:tab/>
      </w:r>
      <w:r>
        <w:rPr>
          <w:rFonts w:ascii="Arial" w:hAnsi="Arial" w:cs="Arial" w:eastAsia="Arial"/>
          <w:b w:val="0"/>
          <w:i w:val="0"/>
          <w:color w:val="110663"/>
          <w:sz w:val="21"/>
        </w:rPr>
        <w:t>Hver clawback vises som en særskilt linje på provisionsopgørelsen med kunde, deal-id, oprindelig måned, grundlag, sats, beløb og årsag (punkt 2.1 a til e).</w:t>
      </w:r>
    </w:p>
    <w:p>
      <w:pPr>
        <w:tabs>
          <w:tab w:pos="567" w:val="left"/>
        </w:tabs>
        <w:spacing w:before="0" w:after="120" w:line="276" w:lineRule="auto"/>
        <w:ind w:left="567" w:hanging="567"/>
      </w:pPr>
      <w:r>
        <w:rPr>
          <w:rFonts w:ascii="Arial" w:hAnsi="Arial" w:cs="Arial" w:eastAsia="Arial"/>
          <w:b/>
          <w:i w:val="0"/>
          <w:color w:val="4C39CA"/>
          <w:sz w:val="21"/>
        </w:rPr>
        <w:t>8.2</w:t>
      </w:r>
      <w:r>
        <w:rPr>
          <w:rFonts w:ascii="Arial" w:hAnsi="Arial" w:cs="Arial" w:eastAsia="Arial"/>
          <w:b w:val="0"/>
          <w:i w:val="0"/>
          <w:color w:val="110663"/>
          <w:sz w:val="21"/>
        </w:rPr>
        <w:tab/>
      </w:r>
      <w:r>
        <w:rPr>
          <w:rFonts w:ascii="Arial" w:hAnsi="Arial" w:cs="Arial" w:eastAsia="Arial"/>
          <w:b w:val="0"/>
          <w:i w:val="0"/>
          <w:color w:val="110663"/>
          <w:sz w:val="21"/>
        </w:rPr>
        <w:t>Medarbejderen kan få dokumentation for hændelsen, fx annulleringen, kreditnotaen eller rykkerforløbet.</w:t>
      </w:r>
    </w:p>
    <w:p>
      <w:pPr>
        <w:tabs>
          <w:tab w:pos="567" w:val="left"/>
        </w:tabs>
        <w:spacing w:before="0" w:after="120" w:line="276" w:lineRule="auto"/>
        <w:ind w:left="567" w:hanging="567"/>
      </w:pPr>
      <w:r>
        <w:rPr>
          <w:rFonts w:ascii="Arial" w:hAnsi="Arial" w:cs="Arial" w:eastAsia="Arial"/>
          <w:b/>
          <w:i w:val="0"/>
          <w:color w:val="4C39CA"/>
          <w:sz w:val="21"/>
        </w:rPr>
        <w:t>8.3</w:t>
      </w:r>
      <w:r>
        <w:rPr>
          <w:rFonts w:ascii="Arial" w:hAnsi="Arial" w:cs="Arial" w:eastAsia="Arial"/>
          <w:b w:val="0"/>
          <w:i w:val="0"/>
          <w:color w:val="110663"/>
          <w:sz w:val="21"/>
        </w:rPr>
        <w:tab/>
      </w:r>
      <w:r>
        <w:rPr>
          <w:rFonts w:ascii="Arial" w:hAnsi="Arial" w:cs="Arial" w:eastAsia="Arial"/>
          <w:b w:val="0"/>
          <w:i w:val="0"/>
          <w:color w:val="110663"/>
          <w:sz w:val="21"/>
        </w:rPr>
        <w:t xml:space="preserve">Indsigelser sendes skriftligt til </w:t>
      </w:r>
      <w:r>
        <w:rPr>
          <w:rFonts w:ascii="Arial" w:hAnsi="Arial" w:cs="Arial" w:eastAsia="Arial"/>
          <w:b w:val="0"/>
          <w:i w:val="0"/>
          <w:color w:val="4C39CA"/>
          <w:sz w:val="21"/>
          <w:shd w:val="clear" w:color="auto" w:fill="E6E0FB"/>
        </w:rPr>
        <w:t>[nærmeste leder]</w:t>
      </w:r>
      <w:r>
        <w:rPr>
          <w:rFonts w:ascii="Arial" w:hAnsi="Arial" w:cs="Arial" w:eastAsia="Arial"/>
          <w:b w:val="0"/>
          <w:i w:val="0"/>
          <w:color w:val="110663"/>
          <w:sz w:val="21"/>
        </w:rPr>
        <w:t xml:space="preserve"> inden </w:t>
      </w:r>
      <w:r>
        <w:rPr>
          <w:rFonts w:ascii="Arial" w:hAnsi="Arial" w:cs="Arial" w:eastAsia="Arial"/>
          <w:b w:val="0"/>
          <w:i w:val="0"/>
          <w:color w:val="4C39CA"/>
          <w:sz w:val="21"/>
          <w:shd w:val="clear" w:color="auto" w:fill="E6E0FB"/>
        </w:rPr>
        <w:t>[30]</w:t>
      </w:r>
      <w:r>
        <w:rPr>
          <w:rFonts w:ascii="Arial" w:hAnsi="Arial" w:cs="Arial" w:eastAsia="Arial"/>
          <w:b w:val="0"/>
          <w:i w:val="0"/>
          <w:color w:val="110663"/>
          <w:sz w:val="21"/>
        </w:rPr>
        <w:t xml:space="preserve"> dage efter modtagelsen af opgørelsen. Et beløb, der er gjort indsigelse imod, </w:t>
      </w:r>
      <w:r>
        <w:rPr>
          <w:rFonts w:ascii="Arial" w:hAnsi="Arial" w:cs="Arial" w:eastAsia="Arial"/>
          <w:b w:val="0"/>
          <w:i w:val="0"/>
          <w:color w:val="4C39CA"/>
          <w:sz w:val="21"/>
          <w:shd w:val="clear" w:color="auto" w:fill="E6E0FB"/>
        </w:rPr>
        <w:t>[Vælg: modregnes først, når indsigelsen er afgjort / modregnes, men tilbageføres, hvis Medarbejderen får medhold]</w:t>
      </w:r>
      <w:r>
        <w:rPr>
          <w:rFonts w:ascii="Arial" w:hAnsi="Arial" w:cs="Arial" w:eastAsia="Arial"/>
          <w:b w:val="0"/>
          <w:i w:val="0"/>
          <w:color w:val="110663"/>
          <w:sz w:val="21"/>
        </w:rPr>
        <w:t>.</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Clawbacks uden reference ligner fejl. Når sælgeren kan se den oprindelige handel og årsagen, er der færre spørgsmål. Et omstridt krav er ikke klart, så det er sikrest at vente med at modregne, til uenigheden er løst.</w:t>
      </w:r>
    </w:p>
    <w:p>
      <w:pPr>
        <w:pStyle w:val="Heading2"/>
        <w:keepNext/>
        <w:spacing w:before="400" w:after="140" w:line="240" w:lineRule="auto"/>
      </w:pPr>
      <w:r>
        <w:rPr>
          <w:rFonts w:ascii="Arial" w:hAnsi="Arial" w:cs="Arial" w:eastAsia="Arial"/>
          <w:b w:val="0"/>
          <w:i w:val="0"/>
          <w:color w:val="110663"/>
          <w:sz w:val="30"/>
        </w:rPr>
        <w:t>9. Ændringer</w:t>
      </w:r>
    </w:p>
    <w:p>
      <w:pPr>
        <w:tabs>
          <w:tab w:pos="567" w:val="left"/>
        </w:tabs>
        <w:spacing w:before="0" w:after="120" w:line="276" w:lineRule="auto"/>
        <w:ind w:left="567" w:hanging="567"/>
      </w:pPr>
      <w:r>
        <w:rPr>
          <w:rFonts w:ascii="Arial" w:hAnsi="Arial" w:cs="Arial" w:eastAsia="Arial"/>
          <w:b/>
          <w:i w:val="0"/>
          <w:color w:val="4C39CA"/>
          <w:sz w:val="21"/>
        </w:rPr>
        <w:t>9.1</w:t>
      </w:r>
      <w:r>
        <w:rPr>
          <w:rFonts w:ascii="Arial" w:hAnsi="Arial" w:cs="Arial" w:eastAsia="Arial"/>
          <w:b w:val="0"/>
          <w:i w:val="0"/>
          <w:color w:val="110663"/>
          <w:sz w:val="21"/>
        </w:rPr>
        <w:tab/>
      </w:r>
      <w:r>
        <w:rPr>
          <w:rFonts w:ascii="Arial" w:hAnsi="Arial" w:cs="Arial" w:eastAsia="Arial"/>
          <w:b w:val="0"/>
          <w:i w:val="0"/>
          <w:color w:val="110663"/>
          <w:sz w:val="21"/>
        </w:rPr>
        <w:t>Væsentlige ændringer, der stiller Medarbejderen ringere, fx en længere clawback-periode, nye hændelser eller en højere grænse for modregning, varsles individuelt og skriftligt med Medarbejderens opsigelsesvarsel.</w:t>
      </w:r>
    </w:p>
    <w:p>
      <w:pPr>
        <w:tabs>
          <w:tab w:pos="567" w:val="left"/>
        </w:tabs>
        <w:spacing w:before="0" w:after="120" w:line="276" w:lineRule="auto"/>
        <w:ind w:left="567" w:hanging="567"/>
      </w:pPr>
      <w:r>
        <w:rPr>
          <w:rFonts w:ascii="Arial" w:hAnsi="Arial" w:cs="Arial" w:eastAsia="Arial"/>
          <w:b/>
          <w:i w:val="0"/>
          <w:color w:val="4C39CA"/>
          <w:sz w:val="21"/>
        </w:rPr>
        <w:t>9.2</w:t>
      </w:r>
      <w:r>
        <w:rPr>
          <w:rFonts w:ascii="Arial" w:hAnsi="Arial" w:cs="Arial" w:eastAsia="Arial"/>
          <w:b w:val="0"/>
          <w:i w:val="0"/>
          <w:color w:val="110663"/>
          <w:sz w:val="21"/>
        </w:rPr>
        <w:tab/>
      </w:r>
      <w:r>
        <w:rPr>
          <w:rFonts w:ascii="Arial" w:hAnsi="Arial" w:cs="Arial" w:eastAsia="Arial"/>
          <w:b w:val="0"/>
          <w:i w:val="0"/>
          <w:color w:val="110663"/>
          <w:sz w:val="21"/>
        </w:rPr>
        <w:t>Ændringer gælder kun for salg, der giver provision, efter at ændringen er trådt i kraft.</w:t>
      </w:r>
    </w:p>
    <w:p>
      <w:pPr>
        <w:pStyle w:val="Heading2"/>
        <w:keepNext/>
        <w:spacing w:before="400" w:after="140" w:line="240" w:lineRule="auto"/>
      </w:pPr>
      <w:r>
        <w:rPr>
          <w:rFonts w:ascii="Arial" w:hAnsi="Arial" w:cs="Arial" w:eastAsia="Arial"/>
          <w:b w:val="0"/>
          <w:i w:val="0"/>
          <w:color w:val="110663"/>
          <w:sz w:val="30"/>
        </w:rPr>
        <w:t>10. Underskrifter</w:t>
      </w:r>
    </w:p>
    <w:p>
      <w:pPr>
        <w:spacing w:before="0" w:after="120" w:line="276" w:lineRule="auto"/>
      </w:pPr>
      <w:r>
        <w:rPr>
          <w:rFonts w:ascii="Arial" w:hAnsi="Arial" w:cs="Arial" w:eastAsia="Arial"/>
          <w:b w:val="0"/>
          <w:i w:val="0"/>
          <w:color w:val="110663"/>
          <w:sz w:val="21"/>
        </w:rPr>
        <w:t>Reglerne er udarbejdet i to eksemplarer, et til hver part.</w:t>
      </w:r>
    </w:p>
    <w:p>
      <w:pPr>
        <w:spacing w:before="0" w:after="60" w:line="276" w:lineRule="auto"/>
      </w:pPr>
    </w:p>
    <w:tbl>
      <w:tblPr>
        <w:tblW w:w="9026" w:type="dxa"/>
        <w:jc w:val="left"/>
        <w:tblBorders>
          <w:top w:val="single" w:sz="2" w:space="0" w:color="D9D5EA"/>
          <w:left w:val="single" w:sz="2" w:space="0" w:color="D9D5EA"/>
          <w:bottom w:val="single" w:sz="2" w:space="0" w:color="D9D5EA"/>
          <w:right w:val="single" w:sz="2" w:space="0" w:color="D9D5EA"/>
          <w:insideH w:val="single" w:sz="2" w:space="0" w:color="D9D5EA"/>
          <w:insideV w:val="single" w:sz="2" w:space="0" w:color="D9D5EA"/>
        </w:tblBorders>
        <w:tblLayout w:type="fixed"/>
        <w:tblCellMar>
          <w:top w:w="80" w:type="dxa"/>
          <w:left w:w="120" w:type="dxa"/>
          <w:bottom w:w="80" w:type="dxa"/>
          <w:right w:w="120" w:type="dxa"/>
        </w:tblCellMar>
        <w:tblLook w:firstColumn="1" w:firstRow="1" w:lastColumn="0" w:lastRow="0" w:noHBand="0" w:noVBand="1" w:val="04A0"/>
      </w:tblPr>
      <w:tblGrid>
        <w:gridCol w:w="4513"/>
        <w:gridCol w:w="4513"/>
      </w:tblGrid>
      <w:tr>
        <w:trPr>
          <w:tblHeader w:val="true"/>
          <w:cantSplit/>
        </w:trPr>
        <w:tc>
          <w:tcPr>
            <w:tcW w:type="dxa" w:w="4513"/>
            <w:shd w:val="clear" w:color="auto" w:fill="F4F1FE"/>
          </w:tcPr>
          <w:p>
            <w:pPr>
              <w:spacing w:before="0" w:after="0" w:line="252" w:lineRule="auto"/>
            </w:pPr>
            <w:r>
              <w:rPr>
                <w:rFonts w:ascii="Arial" w:hAnsi="Arial" w:cs="Arial" w:eastAsia="Arial"/>
                <w:b/>
                <w:i w:val="0"/>
                <w:color w:val="110663"/>
                <w:sz w:val="19"/>
              </w:rPr>
              <w:t>For Virksomheden</w:t>
            </w:r>
          </w:p>
        </w:tc>
        <w:tc>
          <w:tcPr>
            <w:tcW w:type="dxa" w:w="4513"/>
            <w:shd w:val="clear" w:color="auto" w:fill="F4F1FE"/>
          </w:tcPr>
          <w:p>
            <w:pPr>
              <w:spacing w:before="0" w:after="0" w:line="252" w:lineRule="auto"/>
            </w:pPr>
            <w:r>
              <w:rPr>
                <w:rFonts w:ascii="Arial" w:hAnsi="Arial" w:cs="Arial" w:eastAsia="Arial"/>
                <w:b/>
                <w:i w:val="0"/>
                <w:color w:val="110663"/>
                <w:sz w:val="19"/>
              </w:rPr>
              <w:t>Medarbejderen</w:t>
            </w:r>
          </w:p>
        </w:tc>
      </w:tr>
      <w:tr>
        <w:trPr>
          <w:cantSplit/>
        </w:trPr>
        <w:tc>
          <w:tcPr>
            <w:tcW w:type="dxa" w:w="4513"/>
          </w:tcPr>
          <w:p>
            <w:pPr>
              <w:spacing w:before="0" w:after="0" w:line="252" w:lineRule="auto"/>
            </w:pPr>
            <w:r>
              <w:rPr>
                <w:rFonts w:ascii="Arial" w:hAnsi="Arial" w:cs="Arial" w:eastAsia="Arial"/>
                <w:b w:val="0"/>
                <w:i w:val="0"/>
                <w:color w:val="110663"/>
                <w:sz w:val="19"/>
              </w:rPr>
              <w:t xml:space="preserve">Sted og dato: </w:t>
            </w:r>
            <w:r>
              <w:rPr>
                <w:rFonts w:ascii="Arial" w:hAnsi="Arial" w:cs="Arial" w:eastAsia="Arial"/>
                <w:b w:val="0"/>
                <w:i w:val="0"/>
                <w:color w:val="4C39CA"/>
                <w:sz w:val="19"/>
                <w:shd w:val="clear" w:color="auto" w:fill="E6E0FB"/>
              </w:rPr>
              <w:t>[                    ]</w:t>
            </w:r>
          </w:p>
        </w:tc>
        <w:tc>
          <w:tcPr>
            <w:tcW w:type="dxa" w:w="4513"/>
          </w:tcPr>
          <w:p>
            <w:pPr>
              <w:spacing w:before="0" w:after="0" w:line="252" w:lineRule="auto"/>
            </w:pPr>
            <w:r>
              <w:rPr>
                <w:rFonts w:ascii="Arial" w:hAnsi="Arial" w:cs="Arial" w:eastAsia="Arial"/>
                <w:b w:val="0"/>
                <w:i w:val="0"/>
                <w:color w:val="110663"/>
                <w:sz w:val="19"/>
              </w:rPr>
              <w:t xml:space="preserve">Sted og dato: </w:t>
            </w:r>
            <w:r>
              <w:rPr>
                <w:rFonts w:ascii="Arial" w:hAnsi="Arial" w:cs="Arial" w:eastAsia="Arial"/>
                <w:b w:val="0"/>
                <w:i w:val="0"/>
                <w:color w:val="4C39CA"/>
                <w:sz w:val="19"/>
                <w:shd w:val="clear" w:color="auto" w:fill="E6E0FB"/>
              </w:rPr>
              <w:t>[                    ]</w:t>
            </w:r>
          </w:p>
        </w:tc>
      </w:tr>
      <w:tr>
        <w:trPr>
          <w:cantSplit/>
        </w:trPr>
        <w:tc>
          <w:tcPr>
            <w:tcW w:type="dxa" w:w="4513"/>
          </w:tcPr>
          <w:p>
            <w:pPr>
              <w:spacing w:before="720" w:after="0" w:line="252" w:lineRule="auto"/>
            </w:pPr>
            <w:r>
              <w:rPr>
                <w:rFonts w:ascii="Arial" w:hAnsi="Arial" w:cs="Arial" w:eastAsia="Arial"/>
                <w:b w:val="0"/>
                <w:i w:val="0"/>
                <w:color w:val="110663"/>
                <w:sz w:val="19"/>
              </w:rPr>
              <w:t>_______________________________</w:t>
            </w:r>
          </w:p>
        </w:tc>
        <w:tc>
          <w:tcPr>
            <w:tcW w:type="dxa" w:w="4513"/>
          </w:tcPr>
          <w:p>
            <w:pPr>
              <w:spacing w:before="720" w:after="0" w:line="252" w:lineRule="auto"/>
            </w:pPr>
            <w:r>
              <w:rPr>
                <w:rFonts w:ascii="Arial" w:hAnsi="Arial" w:cs="Arial" w:eastAsia="Arial"/>
                <w:b w:val="0"/>
                <w:i w:val="0"/>
                <w:color w:val="110663"/>
                <w:sz w:val="19"/>
              </w:rPr>
              <w:t>_______________________________</w:t>
            </w:r>
          </w:p>
        </w:tc>
      </w:tr>
      <w:tr>
        <w:trPr>
          <w:cantSplit/>
        </w:trPr>
        <w:tc>
          <w:tcPr>
            <w:tcW w:type="dxa" w:w="4513"/>
          </w:tcPr>
          <w:p>
            <w:pPr>
              <w:spacing w:before="0" w:after="0" w:line="252" w:lineRule="auto"/>
            </w:pPr>
            <w:r>
              <w:rPr>
                <w:rFonts w:ascii="Arial" w:hAnsi="Arial" w:cs="Arial" w:eastAsia="Arial"/>
                <w:b w:val="0"/>
                <w:i w:val="0"/>
                <w:color w:val="4C39CA"/>
                <w:sz w:val="19"/>
                <w:shd w:val="clear" w:color="auto" w:fill="E6E0FB"/>
              </w:rPr>
              <w:t>[Navn og titel]</w:t>
            </w:r>
          </w:p>
        </w:tc>
        <w:tc>
          <w:tcPr>
            <w:tcW w:type="dxa" w:w="4513"/>
          </w:tcPr>
          <w:p>
            <w:pPr>
              <w:spacing w:before="0" w:after="0" w:line="252" w:lineRule="auto"/>
            </w:pPr>
            <w:r>
              <w:rPr>
                <w:rFonts w:ascii="Arial" w:hAnsi="Arial" w:cs="Arial" w:eastAsia="Arial"/>
                <w:b w:val="0"/>
                <w:i w:val="0"/>
                <w:color w:val="4C39CA"/>
                <w:sz w:val="19"/>
                <w:shd w:val="clear" w:color="auto" w:fill="E6E0FB"/>
              </w:rPr>
              <w:t>[Navn]</w:t>
            </w:r>
          </w:p>
        </w:tc>
      </w:tr>
    </w:tbl>
    <w:p>
      <w:pPr>
        <w:pStyle w:val="Heading2"/>
        <w:keepNext/>
        <w:spacing w:before="400" w:after="140" w:line="240" w:lineRule="auto"/>
      </w:pPr>
      <w:r>
        <w:rPr>
          <w:rFonts w:ascii="Arial" w:hAnsi="Arial" w:cs="Arial" w:eastAsia="Arial"/>
          <w:b w:val="0"/>
          <w:i w:val="0"/>
          <w:color w:val="110663"/>
          <w:sz w:val="30"/>
        </w:rPr>
        <w:t>Vejledning: Kilder</w:t>
      </w:r>
    </w:p>
    <w:p>
      <w:pPr>
        <w:keepLines/>
        <w:pBdr>
          <w:top w:val="single" w:sz="4" w:space="6" w:color="F4F1FE"/>
          <w:left w:val="single" w:sz="4" w:space="6" w:color="F4F1FE"/>
          <w:bottom w:val="single" w:sz="4" w:space="6" w:color="F4F1FE"/>
          <w:right w:val="single" w:sz="4" w:space="6" w:color="F4F1FE"/>
        </w:pBdr>
        <w:shd w:val="clear" w:color="auto" w:fill="F4F1FE"/>
        <w:spacing w:before="120" w:after="220" w:line="264" w:lineRule="auto"/>
        <w:ind w:left="687" w:right="120"/>
      </w:pPr>
      <w:r>
        <w:rPr>
          <w:rFonts w:ascii="Arial" w:hAnsi="Arial" w:cs="Arial" w:eastAsia="Arial"/>
          <w:b/>
          <w:i/>
          <w:color w:val="4C39CA"/>
          <w:sz w:val="19"/>
        </w:rPr>
        <w:t xml:space="preserve">Vejledning: </w:t>
      </w:r>
      <w:r>
        <w:rPr>
          <w:rFonts w:ascii="Arial" w:hAnsi="Arial" w:cs="Arial" w:eastAsia="Arial"/>
          <w:b w:val="0"/>
          <w:i/>
          <w:color w:val="4A4775"/>
          <w:sz w:val="19"/>
        </w:rPr>
        <w:t>Slet dette afsnit, før reglerne underskrives. Reglerne her er generel information og ikke juridisk rådgivning. Tjek jeres overenskomst, der kan have egne regler.</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Funktionærloven, LBK nr. 1002 af 24/08/2017, § 9 (provision og forskud) og § 21: retsinformation.dk/eli/lta/2017/1002</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Ferieloven, LBK nr. 152 af 20/02/2024, § 29 (modregning i løn under ferie, ferietillæg og feriegodtgørelse): retsinformation.dk/eli/lta/2024/152</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Lov om ansættelsesbeviser og visse arbejdsvilkår, lov nr. 501 af 16/05/2023, §§ 3 og 5: retsinformation.dk/eli/lta/2023/501</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Dansk Erhverv: Fejl i lønudbetalingen og adgang til modregning (2019): danskerhverv.dk</w:t>
      </w:r>
    </w:p>
    <w:p>
      <w:pPr>
        <w:tabs>
          <w:tab w:pos="567" w:val="left"/>
        </w:tabs>
        <w:spacing w:before="0" w:after="80" w:line="276" w:lineRule="auto"/>
        <w:ind w:left="567" w:hanging="283"/>
      </w:pPr>
      <w:r>
        <w:rPr>
          <w:rFonts w:ascii="Arial" w:hAnsi="Arial" w:cs="Arial" w:eastAsia="Arial"/>
          <w:b w:val="0"/>
          <w:i w:val="0"/>
          <w:color w:val="4C39CA"/>
          <w:sz w:val="21"/>
        </w:rPr>
        <w:t>•</w:t>
        <w:tab/>
      </w:r>
      <w:r>
        <w:rPr>
          <w:rFonts w:ascii="Arial" w:hAnsi="Arial" w:cs="Arial" w:eastAsia="Arial"/>
          <w:b w:val="0"/>
          <w:i w:val="0"/>
          <w:color w:val="110663"/>
          <w:sz w:val="21"/>
        </w:rPr>
        <w:t>TEKNIQ Arbejdsgiverne: Kan man modregne i løn?: tekniq.dk</w:t>
      </w:r>
    </w:p>
    <w:sectPr w:rsidR="00FC693F" w:rsidRPr="0006063C" w:rsidSect="00034616">
      <w:headerReference w:type="default" r:id="rId9"/>
      <w:footerReference w:type="default" r:id="rId10"/>
      <w:pgSz w:w="11906" w:h="16838"/>
      <w:pgMar w:top="1500" w:right="1440" w:bottom="1300" w:left="1440" w:header="60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2" w:space="6" w:color="D9D5EA"/>
      </w:pBdr>
      <w:tabs>
        <w:tab w:pos="9026" w:val="right"/>
      </w:tabs>
    </w:pPr>
    <w:r>
      <w:rPr>
        <w:rFonts w:ascii="Arial" w:hAnsi="Arial" w:cs="Arial" w:eastAsia="Arial"/>
        <w:b w:val="0"/>
        <w:i w:val="0"/>
        <w:color w:val="A1A0BD"/>
        <w:sz w:val="16"/>
      </w:rPr>
      <w:t>prowi.io · Gratis skabelon fra Prowi · Ikke juridisk rådgivning</w:t>
    </w:r>
    <w:r>
      <w:rPr>
        <w:rFonts w:ascii="Arial" w:hAnsi="Arial" w:cs="Arial" w:eastAsia="Arial"/>
        <w:b w:val="0"/>
        <w:i w:val="0"/>
        <w:color w:val="A1A0BD"/>
        <w:sz w:val="16"/>
      </w:rPr>
      <w:tab/>
    </w:r>
    <w:r>
      <w:rPr>
        <w:rFonts w:ascii="Arial" w:hAnsi="Arial" w:cs="Arial" w:eastAsia="Arial"/>
        <w:b w:val="0"/>
        <w:i w:val="0"/>
        <w:color w:val="A1A0BD"/>
        <w:sz w:val="16"/>
      </w:rPr>
      <w:t xml:space="preserve">Side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PAGE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r>
      <w:rPr>
        <w:rFonts w:ascii="Arial" w:hAnsi="Arial" w:cs="Arial" w:eastAsia="Arial"/>
        <w:b w:val="0"/>
        <w:i w:val="0"/>
        <w:color w:val="A1A0BD"/>
        <w:sz w:val="16"/>
      </w:rPr>
      <w:t xml:space="preserve"> af </w:t>
    </w:r>
    <w:r>
      <w:rPr>
        <w:rFonts w:ascii="Arial" w:hAnsi="Arial" w:cs="Arial" w:eastAsia="Arial"/>
        <w:b w:val="0"/>
        <w:i w:val="0"/>
        <w:color w:val="A1A0BD"/>
        <w:sz w:val="16"/>
      </w:rPr>
      <w:fldChar w:fldCharType="begin"/>
    </w:r>
    <w:r>
      <w:rPr>
        <w:rFonts w:ascii="Arial" w:hAnsi="Arial" w:cs="Arial" w:eastAsia="Arial"/>
        <w:b w:val="0"/>
        <w:i w:val="0"/>
        <w:color w:val="A1A0BD"/>
        <w:sz w:val="16"/>
      </w:rPr>
      <w:instrText xml:space="preserve"> NUMPAGES </w:instrText>
    </w:r>
    <w:r>
      <w:rPr>
        <w:rFonts w:ascii="Arial" w:hAnsi="Arial" w:cs="Arial" w:eastAsia="Arial"/>
        <w:b w:val="0"/>
        <w:i w:val="0"/>
        <w:color w:val="A1A0BD"/>
        <w:sz w:val="16"/>
      </w:rPr>
      <w:fldChar w:fldCharType="separate"/>
    </w:r>
    <w:r>
      <w:rPr>
        <w:rFonts w:ascii="Arial" w:hAnsi="Arial" w:cs="Arial" w:eastAsia="Arial"/>
        <w:b w:val="0"/>
        <w:i w:val="0"/>
        <w:color w:val="A1A0BD"/>
        <w:sz w:val="16"/>
      </w:rPr>
      <w:t>1</w:t>
    </w:r>
    <w:r>
      <w:rPr>
        <w:rFonts w:ascii="Arial" w:hAnsi="Arial" w:cs="Arial" w:eastAsia="Arial"/>
        <w:b w:val="0"/>
        <w:i w:val="0"/>
        <w:color w:val="A1A0B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2" w:space="6" w:color="D9D5EA"/>
      </w:pBdr>
      <w:tabs>
        <w:tab w:pos="9026" w:val="right"/>
      </w:tabs>
    </w:pPr>
    <w:r>
      <w:drawing>
        <wp:inline xmlns:a="http://schemas.openxmlformats.org/drawingml/2006/main" xmlns:pic="http://schemas.openxmlformats.org/drawingml/2006/picture">
          <wp:extent cx="838200" cy="257175"/>
          <wp:docPr id="1" name="Picture 1"/>
          <wp:cNvGraphicFramePr>
            <a:graphicFrameLocks noChangeAspect="1"/>
          </wp:cNvGraphicFramePr>
          <a:graphic>
            <a:graphicData uri="http://schemas.openxmlformats.org/drawingml/2006/picture">
              <pic:pic>
                <pic:nvPicPr>
                  <pic:cNvPr id="0" name="prowi-logo.png"/>
                  <pic:cNvPicPr/>
                </pic:nvPicPr>
                <pic:blipFill>
                  <a:blip r:embed="rId1"/>
                  <a:stretch>
                    <a:fillRect/>
                  </a:stretch>
                </pic:blipFill>
                <pic:spPr>
                  <a:xfrm>
                    <a:off x="0" y="0"/>
                    <a:ext cx="838200" cy="257175"/>
                  </a:xfrm>
                  <a:prstGeom prst="rect"/>
                </pic:spPr>
              </pic:pic>
            </a:graphicData>
          </a:graphic>
        </wp:inline>
      </w:drawing>
    </w:r>
    <w:r>
      <w:rPr>
        <w:rFonts w:ascii="Arial" w:hAnsi="Arial" w:cs="Arial" w:eastAsia="Arial"/>
        <w:b w:val="0"/>
        <w:i w:val="0"/>
        <w:color w:val="A1A0BD"/>
        <w:sz w:val="17"/>
      </w:rPr>
      <w:tab/>
    </w:r>
    <w:r>
      <w:rPr>
        <w:rFonts w:ascii="Arial" w:hAnsi="Arial" w:cs="Arial" w:eastAsia="Arial"/>
        <w:b w:val="0"/>
        <w:i w:val="0"/>
        <w:color w:val="A1A0BD"/>
        <w:sz w:val="17"/>
      </w:rPr>
      <w:t>Clawback-regler · Skabelon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066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val="0"/>
      <w:bCs/>
      <w:i w:val="0"/>
      <w:color w:val="110663"/>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Clawback-regler for provision (skabelon)</dc:title>
  <dc:subject/>
  <dc:creator>Prowi</dc:creator>
  <cp:keywords/>
  <dc:description>Bilag til provisionsaftale eller provisionsplan: Clawback-regler</dc:description>
  <cp:lastModifiedBy/>
  <cp:revision>1</cp:revision>
  <dcterms:created xsi:type="dcterms:W3CDTF">2013-12-23T23:15:00Z</dcterms:created>
  <dcterms:modified xsi:type="dcterms:W3CDTF">2013-12-23T23:15:00Z</dcterms:modified>
  <cp:category/>
  <dc:language>da-DK</dc:language>
</cp:coreProperties>
</file>