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40" w:after="60" w:line="276" w:lineRule="auto"/>
      </w:pPr>
      <w:r>
        <w:rPr>
          <w:rFonts w:ascii="Arial" w:hAnsi="Arial" w:cs="Arial" w:eastAsia="Arial"/>
          <w:b w:val="0"/>
          <w:i w:val="0"/>
          <w:color w:val="4C39CA"/>
          <w:sz w:val="26"/>
        </w:rPr>
        <w:t>Annex to a commission agreement or commission plan:</w:t>
      </w:r>
    </w:p>
    <w:p>
      <w:pPr>
        <w:keepNext/>
        <w:spacing w:before="0" w:after="0" w:line="240" w:lineRule="auto"/>
      </w:pPr>
      <w:r>
        <w:rPr>
          <w:rFonts w:ascii="Arial" w:hAnsi="Arial" w:cs="Arial" w:eastAsia="Arial"/>
          <w:b w:val="0"/>
          <w:i w:val="0"/>
          <w:color w:val="110663"/>
          <w:sz w:val="64"/>
        </w:rPr>
        <w:t>Commission clawback policy</w:t>
      </w:r>
    </w:p>
    <w:p>
      <w:pPr>
        <w:pBdr>
          <w:bottom w:val="single" w:sz="24" w:space="1" w:color="46D3F7"/>
        </w:pBdr>
        <w:spacing w:before="120" w:after="160" w:line="276" w:lineRule="auto"/>
        <w:ind w:right="7726"/>
      </w:pPr>
    </w:p>
    <w:p>
      <w:pPr>
        <w:spacing w:before="0" w:after="360" w:line="276" w:lineRule="auto"/>
      </w:pPr>
      <w:r>
        <w:rPr>
          <w:rFonts w:ascii="Arial" w:hAnsi="Arial" w:cs="Arial" w:eastAsia="Arial"/>
          <w:b w:val="0"/>
          <w:i w:val="0"/>
          <w:color w:val="A1A0BD"/>
          <w:sz w:val="22"/>
        </w:rPr>
        <w:t>Template with guidance · Free from Prowi</w:t>
      </w:r>
    </w:p>
    <w:p>
      <w:pPr>
        <w:pBdr>
          <w:top w:val="single" w:sz="4" w:space="6" w:color="F4F1FE"/>
          <w:left w:val="single" w:sz="18" w:space="6" w:color="4C39CA"/>
          <w:bottom w:val="single" w:sz="4" w:space="6" w:color="F4F1FE"/>
          <w:right w:val="single" w:sz="4" w:space="6" w:color="F4F1FE"/>
        </w:pBdr>
        <w:shd w:val="clear" w:color="auto" w:fill="F4F1FE"/>
        <w:spacing w:before="0" w:after="240" w:line="276" w:lineRule="auto"/>
        <w:ind w:left="140" w:right="120"/>
      </w:pPr>
      <w:r>
        <w:rPr>
          <w:rFonts w:ascii="Arial" w:hAnsi="Arial" w:cs="Arial" w:eastAsia="Arial"/>
          <w:b/>
          <w:i w:val="0"/>
          <w:color w:val="110663"/>
          <w:sz w:val="21"/>
        </w:rPr>
        <w:t>This template is a starting point, not legal advice. It is written for salaried employees in Denmark under Danish law. Adapt it to your collective agreement, employment contract and commission agreement, and have it reviewed if you are in doubt.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 xml:space="preserve">Fill in the fields in </w:t>
      </w:r>
      <w:r>
        <w:rPr>
          <w:rFonts w:ascii="Arial" w:hAnsi="Arial" w:cs="Arial" w:eastAsia="Arial"/>
          <w:b w:val="0"/>
          <w:i/>
          <w:color w:val="4C39CA"/>
          <w:sz w:val="19"/>
          <w:shd w:val="clear" w:color="auto" w:fill="E6E0FB"/>
        </w:rPr>
        <w:t>[lavender brackets]</w:t>
      </w:r>
      <w:r>
        <w:rPr>
          <w:rFonts w:ascii="Arial" w:hAnsi="Arial" w:cs="Arial" w:eastAsia="Arial"/>
          <w:b w:val="0"/>
          <w:i/>
          <w:color w:val="4A4775"/>
          <w:sz w:val="19"/>
        </w:rPr>
        <w:t xml:space="preserve">. Where it says </w:t>
      </w:r>
      <w:r>
        <w:rPr>
          <w:rFonts w:ascii="Arial" w:hAnsi="Arial" w:cs="Arial" w:eastAsia="Arial"/>
          <w:b w:val="0"/>
          <w:i/>
          <w:color w:val="4C39CA"/>
          <w:sz w:val="19"/>
          <w:shd w:val="clear" w:color="auto" w:fill="E6E0FB"/>
        </w:rPr>
        <w:t>[Choose: ... / ...]</w:t>
      </w:r>
      <w:r>
        <w:rPr>
          <w:rFonts w:ascii="Arial" w:hAnsi="Arial" w:cs="Arial" w:eastAsia="Arial"/>
          <w:b w:val="0"/>
          <w:i/>
          <w:color w:val="4A4775"/>
          <w:sz w:val="19"/>
        </w:rPr>
        <w:t>, keep the option that fits and delete the rest. Every paragraph that starts with "Guidance" is an explanation for you and is deleted before the policy is signed. If the policy must be in Danish, use the Danish version of this template. Template from Prowi (prowi.io).</w:t>
      </w:r>
    </w:p>
    <w:p>
      <w:pPr>
        <w:pStyle w:val="Heading2"/>
        <w:keepNext/>
        <w:spacing w:before="400" w:after="140" w:line="240" w:lineRule="auto"/>
      </w:pPr>
      <w:r>
        <w:rPr>
          <w:rFonts w:ascii="Arial" w:hAnsi="Arial" w:cs="Arial" w:eastAsia="Arial"/>
          <w:b w:val="0"/>
          <w:i w:val="0"/>
          <w:color w:val="110663"/>
          <w:sz w:val="30"/>
        </w:rPr>
        <w:t>1. Purpose and scope</w:t>
      </w:r>
    </w:p>
    <w:p>
      <w:pPr>
        <w:tabs>
          <w:tab w:pos="567" w:val="left"/>
        </w:tabs>
        <w:spacing w:before="0" w:after="120" w:line="276" w:lineRule="auto"/>
        <w:ind w:left="567" w:hanging="567"/>
      </w:pPr>
      <w:r>
        <w:rPr>
          <w:rFonts w:ascii="Arial" w:hAnsi="Arial" w:cs="Arial" w:eastAsia="Arial"/>
          <w:b/>
          <w:i w:val="0"/>
          <w:color w:val="4C39CA"/>
          <w:sz w:val="21"/>
        </w:rPr>
        <w:t>1.1</w:t>
      </w:r>
      <w:r>
        <w:rPr>
          <w:rFonts w:ascii="Arial" w:hAnsi="Arial" w:cs="Arial" w:eastAsia="Arial"/>
          <w:b w:val="0"/>
          <w:i w:val="0"/>
          <w:color w:val="110663"/>
          <w:sz w:val="21"/>
        </w:rPr>
        <w:tab/>
      </w:r>
      <w:r>
        <w:rPr>
          <w:rFonts w:ascii="Arial" w:hAnsi="Arial" w:cs="Arial" w:eastAsia="Arial"/>
          <w:b w:val="0"/>
          <w:i w:val="0"/>
          <w:color w:val="110663"/>
          <w:sz w:val="21"/>
        </w:rPr>
        <w:t>This policy describes when commission that has been calculated or paid lapses in full or in part (clawback), how the amount is calculated and how it is offset.</w:t>
      </w:r>
    </w:p>
    <w:p>
      <w:pPr>
        <w:tabs>
          <w:tab w:pos="567" w:val="left"/>
        </w:tabs>
        <w:spacing w:before="0" w:after="120" w:line="276" w:lineRule="auto"/>
        <w:ind w:left="567" w:hanging="567"/>
      </w:pPr>
      <w:r>
        <w:rPr>
          <w:rFonts w:ascii="Arial" w:hAnsi="Arial" w:cs="Arial" w:eastAsia="Arial"/>
          <w:b/>
          <w:i w:val="0"/>
          <w:color w:val="4C39CA"/>
          <w:sz w:val="21"/>
        </w:rPr>
        <w:t>1.2</w:t>
      </w:r>
      <w:r>
        <w:rPr>
          <w:rFonts w:ascii="Arial" w:hAnsi="Arial" w:cs="Arial" w:eastAsia="Arial"/>
          <w:b w:val="0"/>
          <w:i w:val="0"/>
          <w:color w:val="110663"/>
          <w:sz w:val="21"/>
        </w:rPr>
        <w:tab/>
      </w:r>
      <w:r>
        <w:rPr>
          <w:rFonts w:ascii="Arial" w:hAnsi="Arial" w:cs="Arial" w:eastAsia="Arial"/>
          <w:b w:val="0"/>
          <w:i w:val="0"/>
          <w:color w:val="110663"/>
          <w:sz w:val="21"/>
        </w:rPr>
        <w:t xml:space="preserve">The policy applies to </w:t>
      </w:r>
      <w:r>
        <w:rPr>
          <w:rFonts w:ascii="Arial" w:hAnsi="Arial" w:cs="Arial" w:eastAsia="Arial"/>
          <w:b w:val="0"/>
          <w:i w:val="0"/>
          <w:color w:val="4C39CA"/>
          <w:sz w:val="21"/>
          <w:shd w:val="clear" w:color="auto" w:fill="E6E0FB"/>
        </w:rPr>
        <w:t>[Choose: the Employee's name / all reps covered by the commission plan for year]</w:t>
      </w:r>
      <w:r>
        <w:rPr>
          <w:rFonts w:ascii="Arial" w:hAnsi="Arial" w:cs="Arial" w:eastAsia="Arial"/>
          <w:b w:val="0"/>
          <w:i w:val="0"/>
          <w:color w:val="110663"/>
          <w:sz w:val="21"/>
        </w:rPr>
        <w:t xml:space="preserve"> and is an annex to </w:t>
      </w:r>
      <w:r>
        <w:rPr>
          <w:rFonts w:ascii="Arial" w:hAnsi="Arial" w:cs="Arial" w:eastAsia="Arial"/>
          <w:b w:val="0"/>
          <w:i w:val="0"/>
          <w:color w:val="4C39CA"/>
          <w:sz w:val="21"/>
          <w:shd w:val="clear" w:color="auto" w:fill="E6E0FB"/>
        </w:rPr>
        <w:t>[Choose: the commission agreement dated ... / the commission plan for year]</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1.3</w:t>
      </w:r>
      <w:r>
        <w:rPr>
          <w:rFonts w:ascii="Arial" w:hAnsi="Arial" w:cs="Arial" w:eastAsia="Arial"/>
          <w:b w:val="0"/>
          <w:i w:val="0"/>
          <w:color w:val="110663"/>
          <w:sz w:val="21"/>
        </w:rPr>
        <w:tab/>
      </w:r>
      <w:r>
        <w:rPr>
          <w:rFonts w:ascii="Arial" w:hAnsi="Arial" w:cs="Arial" w:eastAsia="Arial"/>
          <w:b w:val="0"/>
          <w:i w:val="0"/>
          <w:color w:val="110663"/>
          <w:sz w:val="21"/>
        </w:rPr>
        <w:t xml:space="preserve">The policy applies to sales that earn commission from </w:t>
      </w:r>
      <w:r>
        <w:rPr>
          <w:rFonts w:ascii="Arial" w:hAnsi="Arial" w:cs="Arial" w:eastAsia="Arial"/>
          <w:b w:val="0"/>
          <w:i w:val="0"/>
          <w:color w:val="4C39CA"/>
          <w:sz w:val="21"/>
          <w:shd w:val="clear" w:color="auto" w:fill="E6E0FB"/>
        </w:rPr>
        <w:t>[date]</w:t>
      </w:r>
      <w:r>
        <w:rPr>
          <w:rFonts w:ascii="Arial" w:hAnsi="Arial" w:cs="Arial" w:eastAsia="Arial"/>
          <w:b w:val="0"/>
          <w:i w:val="0"/>
          <w:color w:val="110663"/>
          <w:sz w:val="21"/>
        </w:rPr>
        <w:t>. Sales that earned commission before that date follow the previous rules.</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Clawback must be agreed in writing and in advance. The components of pay, including commission, must be stated in writing in the employment contract or an annex (section 3 of the Danish Employment Contracts Act, ansættelsesbevisloven). Rules introduced afterwards for commission that has already been earned are hard to enforce.</w:t>
      </w:r>
    </w:p>
    <w:p>
      <w:pPr>
        <w:pStyle w:val="Heading2"/>
        <w:keepNext/>
        <w:spacing w:before="400" w:after="140" w:line="240" w:lineRule="auto"/>
      </w:pPr>
      <w:r>
        <w:rPr>
          <w:rFonts w:ascii="Arial" w:hAnsi="Arial" w:cs="Arial" w:eastAsia="Arial"/>
          <w:b w:val="0"/>
          <w:i w:val="0"/>
          <w:color w:val="110663"/>
          <w:sz w:val="30"/>
        </w:rPr>
        <w:t>2. When does clawback apply?</w:t>
      </w:r>
    </w:p>
    <w:p>
      <w:pPr>
        <w:tabs>
          <w:tab w:pos="567" w:val="left"/>
        </w:tabs>
        <w:spacing w:before="0" w:after="120" w:line="276" w:lineRule="auto"/>
        <w:ind w:left="567" w:hanging="567"/>
      </w:pPr>
      <w:r>
        <w:rPr>
          <w:rFonts w:ascii="Arial" w:hAnsi="Arial" w:cs="Arial" w:eastAsia="Arial"/>
          <w:b/>
          <w:i w:val="0"/>
          <w:color w:val="4C39CA"/>
          <w:sz w:val="21"/>
        </w:rPr>
        <w:t>2.1</w:t>
      </w:r>
      <w:r>
        <w:rPr>
          <w:rFonts w:ascii="Arial" w:hAnsi="Arial" w:cs="Arial" w:eastAsia="Arial"/>
          <w:b w:val="0"/>
          <w:i w:val="0"/>
          <w:color w:val="110663"/>
          <w:sz w:val="21"/>
        </w:rPr>
        <w:tab/>
      </w:r>
      <w:r>
        <w:rPr>
          <w:rFonts w:ascii="Arial" w:hAnsi="Arial" w:cs="Arial" w:eastAsia="Arial"/>
          <w:b w:val="0"/>
          <w:i w:val="0"/>
          <w:color w:val="110663"/>
          <w:sz w:val="21"/>
        </w:rPr>
        <w:t>Clawback only applies if one of these events happens within the clawback period in clause 3:</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a) The customer cancels or withdraws from the agreement in full or in part.</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 xml:space="preserve">b) The customer has not paid the invoice </w:t>
      </w:r>
      <w:r>
        <w:rPr>
          <w:rFonts w:ascii="Arial" w:hAnsi="Arial" w:cs="Arial" w:eastAsia="Arial"/>
          <w:b w:val="0"/>
          <w:i w:val="0"/>
          <w:color w:val="4C39CA"/>
          <w:sz w:val="21"/>
          <w:shd w:val="clear" w:color="auto" w:fill="E6E0FB"/>
        </w:rPr>
        <w:t>[60]</w:t>
      </w:r>
      <w:r>
        <w:rPr>
          <w:rFonts w:ascii="Arial" w:hAnsi="Arial" w:cs="Arial" w:eastAsia="Arial"/>
          <w:b w:val="0"/>
          <w:i w:val="0"/>
          <w:color w:val="110663"/>
          <w:sz w:val="21"/>
        </w:rPr>
        <w:t xml:space="preserve"> days after the due date, and the amount has been sent to debt collection or written off.</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c) A credit note is issued, or the price is reduced after the sale.</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 xml:space="preserve">d) The customer terminates a recurring agreement within </w:t>
      </w:r>
      <w:r>
        <w:rPr>
          <w:rFonts w:ascii="Arial" w:hAnsi="Arial" w:cs="Arial" w:eastAsia="Arial"/>
          <w:b w:val="0"/>
          <w:i w:val="0"/>
          <w:color w:val="4C39CA"/>
          <w:sz w:val="21"/>
          <w:shd w:val="clear" w:color="auto" w:fill="E6E0FB"/>
        </w:rPr>
        <w:t>[6]</w:t>
      </w:r>
      <w:r>
        <w:rPr>
          <w:rFonts w:ascii="Arial" w:hAnsi="Arial" w:cs="Arial" w:eastAsia="Arial"/>
          <w:b w:val="0"/>
          <w:i w:val="0"/>
          <w:color w:val="110663"/>
          <w:sz w:val="21"/>
        </w:rPr>
        <w:t xml:space="preserve"> months of its start.</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e) The goods are returned.</w:t>
      </w:r>
    </w:p>
    <w:p>
      <w:pPr>
        <w:tabs>
          <w:tab w:pos="567" w:val="left"/>
        </w:tabs>
        <w:spacing w:before="0" w:after="120" w:line="276" w:lineRule="auto"/>
        <w:ind w:left="567" w:hanging="567"/>
      </w:pPr>
      <w:r>
        <w:rPr>
          <w:rFonts w:ascii="Arial" w:hAnsi="Arial" w:cs="Arial" w:eastAsia="Arial"/>
          <w:b/>
          <w:i w:val="0"/>
          <w:color w:val="4C39CA"/>
          <w:sz w:val="21"/>
        </w:rPr>
        <w:t>2.2</w:t>
      </w:r>
      <w:r>
        <w:rPr>
          <w:rFonts w:ascii="Arial" w:hAnsi="Arial" w:cs="Arial" w:eastAsia="Arial"/>
          <w:b w:val="0"/>
          <w:i w:val="0"/>
          <w:color w:val="110663"/>
          <w:sz w:val="21"/>
        </w:rPr>
        <w:tab/>
      </w:r>
      <w:r>
        <w:rPr>
          <w:rFonts w:ascii="Arial" w:hAnsi="Arial" w:cs="Arial" w:eastAsia="Arial"/>
          <w:b w:val="0"/>
          <w:i w:val="0"/>
          <w:color w:val="110663"/>
          <w:sz w:val="21"/>
        </w:rPr>
        <w:t xml:space="preserve">Clawback does not apply if the event is caused by circumstances the Company is responsible for, for example </w:t>
      </w:r>
      <w:r>
        <w:rPr>
          <w:rFonts w:ascii="Arial" w:hAnsi="Arial" w:cs="Arial" w:eastAsia="Arial"/>
          <w:b w:val="0"/>
          <w:i w:val="0"/>
          <w:color w:val="4C39CA"/>
          <w:sz w:val="21"/>
          <w:shd w:val="clear" w:color="auto" w:fill="E6E0FB"/>
        </w:rPr>
        <w:t>[failed delivery, product faults or price changes the Company has decided]</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2.3</w:t>
      </w:r>
      <w:r>
        <w:rPr>
          <w:rFonts w:ascii="Arial" w:hAnsi="Arial" w:cs="Arial" w:eastAsia="Arial"/>
          <w:b w:val="0"/>
          <w:i w:val="0"/>
          <w:color w:val="110663"/>
          <w:sz w:val="21"/>
        </w:rPr>
        <w:tab/>
      </w:r>
      <w:r>
        <w:rPr>
          <w:rFonts w:ascii="Arial" w:hAnsi="Arial" w:cs="Arial" w:eastAsia="Arial"/>
          <w:b w:val="0"/>
          <w:i w:val="0"/>
          <w:color w:val="110663"/>
          <w:sz w:val="21"/>
        </w:rPr>
        <w:t>If the customer pays later, or the agreement is reinstated, the clawback amount is reversed in the next statement.</w:t>
      </w:r>
    </w:p>
    <w:p>
      <w:pPr>
        <w:tabs>
          <w:tab w:pos="567" w:val="left"/>
        </w:tabs>
        <w:spacing w:before="0" w:after="120" w:line="276" w:lineRule="auto"/>
        <w:ind w:left="567" w:hanging="567"/>
      </w:pPr>
      <w:r>
        <w:rPr>
          <w:rFonts w:ascii="Arial" w:hAnsi="Arial" w:cs="Arial" w:eastAsia="Arial"/>
          <w:b/>
          <w:i w:val="0"/>
          <w:color w:val="4C39CA"/>
          <w:sz w:val="21"/>
        </w:rPr>
        <w:t>2.4</w:t>
      </w:r>
      <w:r>
        <w:rPr>
          <w:rFonts w:ascii="Arial" w:hAnsi="Arial" w:cs="Arial" w:eastAsia="Arial"/>
          <w:b w:val="0"/>
          <w:i w:val="0"/>
          <w:color w:val="110663"/>
          <w:sz w:val="21"/>
        </w:rPr>
        <w:tab/>
      </w:r>
      <w:r>
        <w:rPr>
          <w:rFonts w:ascii="Arial" w:hAnsi="Arial" w:cs="Arial" w:eastAsia="Arial"/>
          <w:b w:val="0"/>
          <w:i w:val="0"/>
          <w:color w:val="110663"/>
          <w:sz w:val="21"/>
        </w:rPr>
        <w:t>Errors in the calculation, for example a wrong rate or a sale recorded on the wrong rep, are not clawback but a correction. It is corrected in the next statement, whoever the error favours.</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Make the list of events exhaustive, and delete the ones you do not use. Use the same terms as in your CRM and finance system, so it is easy to see whether an event has happened. A late payment should not trigger clawback until a clear deadline has passed.</w:t>
      </w:r>
    </w:p>
    <w:p>
      <w:pPr>
        <w:pStyle w:val="Heading2"/>
        <w:keepNext/>
        <w:spacing w:before="400" w:after="140" w:line="240" w:lineRule="auto"/>
      </w:pPr>
      <w:r>
        <w:rPr>
          <w:rFonts w:ascii="Arial" w:hAnsi="Arial" w:cs="Arial" w:eastAsia="Arial"/>
          <w:b w:val="0"/>
          <w:i w:val="0"/>
          <w:color w:val="110663"/>
          <w:sz w:val="30"/>
        </w:rPr>
        <w:t>3. Clawback period</w:t>
      </w:r>
    </w:p>
    <w:p>
      <w:pPr>
        <w:tabs>
          <w:tab w:pos="567" w:val="left"/>
        </w:tabs>
        <w:spacing w:before="0" w:after="120" w:line="276" w:lineRule="auto"/>
        <w:ind w:left="567" w:hanging="567"/>
      </w:pPr>
      <w:r>
        <w:rPr>
          <w:rFonts w:ascii="Arial" w:hAnsi="Arial" w:cs="Arial" w:eastAsia="Arial"/>
          <w:b/>
          <w:i w:val="0"/>
          <w:color w:val="4C39CA"/>
          <w:sz w:val="21"/>
        </w:rPr>
        <w:t>3.1</w:t>
      </w:r>
      <w:r>
        <w:rPr>
          <w:rFonts w:ascii="Arial" w:hAnsi="Arial" w:cs="Arial" w:eastAsia="Arial"/>
          <w:b w:val="0"/>
          <w:i w:val="0"/>
          <w:color w:val="110663"/>
          <w:sz w:val="21"/>
        </w:rPr>
        <w:tab/>
      </w:r>
      <w:r>
        <w:rPr>
          <w:rFonts w:ascii="Arial" w:hAnsi="Arial" w:cs="Arial" w:eastAsia="Arial"/>
          <w:b w:val="0"/>
          <w:i w:val="0"/>
          <w:color w:val="110663"/>
          <w:sz w:val="21"/>
        </w:rPr>
        <w:t xml:space="preserve">Clawback can only take place if the event in clause 2.1 happens no later than </w:t>
      </w:r>
      <w:r>
        <w:rPr>
          <w:rFonts w:ascii="Arial" w:hAnsi="Arial" w:cs="Arial" w:eastAsia="Arial"/>
          <w:b w:val="0"/>
          <w:i w:val="0"/>
          <w:color w:val="4C39CA"/>
          <w:sz w:val="21"/>
          <w:shd w:val="clear" w:color="auto" w:fill="E6E0FB"/>
        </w:rPr>
        <w:t>[3]</w:t>
      </w:r>
      <w:r>
        <w:rPr>
          <w:rFonts w:ascii="Arial" w:hAnsi="Arial" w:cs="Arial" w:eastAsia="Arial"/>
          <w:b w:val="0"/>
          <w:i w:val="0"/>
          <w:color w:val="110663"/>
          <w:sz w:val="21"/>
        </w:rPr>
        <w:t xml:space="preserve"> months after </w:t>
      </w:r>
      <w:r>
        <w:rPr>
          <w:rFonts w:ascii="Arial" w:hAnsi="Arial" w:cs="Arial" w:eastAsia="Arial"/>
          <w:b w:val="0"/>
          <w:i w:val="0"/>
          <w:color w:val="4C39CA"/>
          <w:sz w:val="21"/>
          <w:shd w:val="clear" w:color="auto" w:fill="E6E0FB"/>
        </w:rPr>
        <w:t>[Choose: the month in which the sale earned commission / the invoice date / the start date of the agreement]</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3.2</w:t>
      </w:r>
      <w:r>
        <w:rPr>
          <w:rFonts w:ascii="Arial" w:hAnsi="Arial" w:cs="Arial" w:eastAsia="Arial"/>
          <w:b w:val="0"/>
          <w:i w:val="0"/>
          <w:color w:val="110663"/>
          <w:sz w:val="21"/>
        </w:rPr>
        <w:tab/>
      </w:r>
      <w:r>
        <w:rPr>
          <w:rFonts w:ascii="Arial" w:hAnsi="Arial" w:cs="Arial" w:eastAsia="Arial"/>
          <w:b w:val="0"/>
          <w:i w:val="0"/>
          <w:color w:val="110663"/>
          <w:sz w:val="21"/>
        </w:rPr>
        <w:t>After the clawback period, the commission is final, even if the customer later cancels or does not pay.</w:t>
      </w:r>
    </w:p>
    <w:p>
      <w:pPr>
        <w:tabs>
          <w:tab w:pos="567" w:val="left"/>
        </w:tabs>
        <w:spacing w:before="0" w:after="120" w:line="276" w:lineRule="auto"/>
        <w:ind w:left="567" w:hanging="567"/>
      </w:pPr>
      <w:r>
        <w:rPr>
          <w:rFonts w:ascii="Arial" w:hAnsi="Arial" w:cs="Arial" w:eastAsia="Arial"/>
          <w:b/>
          <w:i w:val="0"/>
          <w:color w:val="4C39CA"/>
          <w:sz w:val="21"/>
        </w:rPr>
        <w:t>3.3</w:t>
      </w:r>
      <w:r>
        <w:rPr>
          <w:rFonts w:ascii="Arial" w:hAnsi="Arial" w:cs="Arial" w:eastAsia="Arial"/>
          <w:b w:val="0"/>
          <w:i w:val="0"/>
          <w:color w:val="110663"/>
          <w:sz w:val="21"/>
        </w:rPr>
        <w:tab/>
      </w:r>
      <w:r>
        <w:rPr>
          <w:rFonts w:ascii="Arial" w:hAnsi="Arial" w:cs="Arial" w:eastAsia="Arial"/>
          <w:b w:val="0"/>
          <w:i w:val="0"/>
          <w:color w:val="4C39CA"/>
          <w:sz w:val="21"/>
          <w:shd w:val="clear" w:color="auto" w:fill="E6E0FB"/>
        </w:rPr>
        <w:t>[If relevant:]</w:t>
      </w:r>
      <w:r>
        <w:rPr>
          <w:rFonts w:ascii="Arial" w:hAnsi="Arial" w:cs="Arial" w:eastAsia="Arial"/>
          <w:b w:val="0"/>
          <w:i w:val="0"/>
          <w:color w:val="110663"/>
          <w:sz w:val="21"/>
        </w:rPr>
        <w:t xml:space="preserve"> For agreements where commission is calculated on a multi-year contract value, the period is </w:t>
      </w:r>
      <w:r>
        <w:rPr>
          <w:rFonts w:ascii="Arial" w:hAnsi="Arial" w:cs="Arial" w:eastAsia="Arial"/>
          <w:b w:val="0"/>
          <w:i w:val="0"/>
          <w:color w:val="4C39CA"/>
          <w:sz w:val="21"/>
          <w:shd w:val="clear" w:color="auto" w:fill="E6E0FB"/>
        </w:rPr>
        <w:t>[12]</w:t>
      </w:r>
      <w:r>
        <w:rPr>
          <w:rFonts w:ascii="Arial" w:hAnsi="Arial" w:cs="Arial" w:eastAsia="Arial"/>
          <w:b w:val="0"/>
          <w:i w:val="0"/>
          <w:color w:val="110663"/>
          <w:sz w:val="21"/>
        </w:rPr>
        <w:t xml:space="preserve"> months, and clawback is only calculated on the part of the contract value the customer does not pay.</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A short period, for example 3 to 6 months, lets the rep know what they have earned. A long period creates uncertainty and more disputes. Use the same period in the commission agreement, the commission plan and your spreadsheet or system.</w:t>
      </w:r>
    </w:p>
    <w:p>
      <w:pPr>
        <w:pStyle w:val="Heading2"/>
        <w:keepNext/>
        <w:spacing w:before="400" w:after="140" w:line="240" w:lineRule="auto"/>
      </w:pPr>
      <w:r>
        <w:rPr>
          <w:rFonts w:ascii="Arial" w:hAnsi="Arial" w:cs="Arial" w:eastAsia="Arial"/>
          <w:b w:val="0"/>
          <w:i w:val="0"/>
          <w:color w:val="110663"/>
          <w:sz w:val="30"/>
        </w:rPr>
        <w:t>4. Calculation</w:t>
      </w:r>
    </w:p>
    <w:p>
      <w:pPr>
        <w:tabs>
          <w:tab w:pos="567" w:val="left"/>
        </w:tabs>
        <w:spacing w:before="0" w:after="120" w:line="276" w:lineRule="auto"/>
        <w:ind w:left="567" w:hanging="567"/>
      </w:pPr>
      <w:r>
        <w:rPr>
          <w:rFonts w:ascii="Arial" w:hAnsi="Arial" w:cs="Arial" w:eastAsia="Arial"/>
          <w:b/>
          <w:i w:val="0"/>
          <w:color w:val="4C39CA"/>
          <w:sz w:val="21"/>
        </w:rPr>
        <w:t>4.1</w:t>
      </w:r>
      <w:r>
        <w:rPr>
          <w:rFonts w:ascii="Arial" w:hAnsi="Arial" w:cs="Arial" w:eastAsia="Arial"/>
          <w:b w:val="0"/>
          <w:i w:val="0"/>
          <w:color w:val="110663"/>
          <w:sz w:val="21"/>
        </w:rPr>
        <w:tab/>
      </w:r>
      <w:r>
        <w:rPr>
          <w:rFonts w:ascii="Arial" w:hAnsi="Arial" w:cs="Arial" w:eastAsia="Arial"/>
          <w:b w:val="0"/>
          <w:i w:val="0"/>
          <w:color w:val="110663"/>
          <w:sz w:val="21"/>
        </w:rPr>
        <w:t>The clawback amount is the commission basis of the cancelled, unpaid or credited part multiplied by the rate that was used when the sale earned commission.</w:t>
      </w:r>
    </w:p>
    <w:p>
      <w:pPr>
        <w:tabs>
          <w:tab w:pos="567" w:val="left"/>
        </w:tabs>
        <w:spacing w:before="0" w:after="120" w:line="276" w:lineRule="auto"/>
        <w:ind w:left="567" w:hanging="567"/>
      </w:pPr>
      <w:r>
        <w:rPr>
          <w:rFonts w:ascii="Arial" w:hAnsi="Arial" w:cs="Arial" w:eastAsia="Arial"/>
          <w:b/>
          <w:i w:val="0"/>
          <w:color w:val="4C39CA"/>
          <w:sz w:val="21"/>
        </w:rPr>
        <w:t>4.2</w:t>
      </w:r>
      <w:r>
        <w:rPr>
          <w:rFonts w:ascii="Arial" w:hAnsi="Arial" w:cs="Arial" w:eastAsia="Arial"/>
          <w:b w:val="0"/>
          <w:i w:val="0"/>
          <w:color w:val="110663"/>
          <w:sz w:val="21"/>
        </w:rPr>
        <w:tab/>
      </w:r>
      <w:r>
        <w:rPr>
          <w:rFonts w:ascii="Arial" w:hAnsi="Arial" w:cs="Arial" w:eastAsia="Arial"/>
          <w:b w:val="0"/>
          <w:i w:val="0"/>
          <w:color w:val="110663"/>
          <w:sz w:val="21"/>
        </w:rPr>
        <w:t xml:space="preserve">With a tiered model or an accelerator, </w:t>
      </w:r>
      <w:r>
        <w:rPr>
          <w:rFonts w:ascii="Arial" w:hAnsi="Arial" w:cs="Arial" w:eastAsia="Arial"/>
          <w:b w:val="0"/>
          <w:i w:val="0"/>
          <w:color w:val="4C39CA"/>
          <w:sz w:val="21"/>
          <w:shd w:val="clear" w:color="auto" w:fill="E6E0FB"/>
        </w:rPr>
        <w:t>[Choose: the rep's effective rate in the month the sale earned commission, i.e. commission ÷ basis / the rate of the tier the sale fell in]</w:t>
      </w:r>
      <w:r>
        <w:rPr>
          <w:rFonts w:ascii="Arial" w:hAnsi="Arial" w:cs="Arial" w:eastAsia="Arial"/>
          <w:b w:val="0"/>
          <w:i w:val="0"/>
          <w:color w:val="110663"/>
          <w:sz w:val="21"/>
        </w:rPr>
        <w:t xml:space="preserve"> is used.</w:t>
      </w:r>
    </w:p>
    <w:p>
      <w:pPr>
        <w:tabs>
          <w:tab w:pos="567" w:val="left"/>
        </w:tabs>
        <w:spacing w:before="0" w:after="120" w:line="276" w:lineRule="auto"/>
        <w:ind w:left="567" w:hanging="567"/>
      </w:pPr>
      <w:r>
        <w:rPr>
          <w:rFonts w:ascii="Arial" w:hAnsi="Arial" w:cs="Arial" w:eastAsia="Arial"/>
          <w:b/>
          <w:i w:val="0"/>
          <w:color w:val="4C39CA"/>
          <w:sz w:val="21"/>
        </w:rPr>
        <w:t>4.3</w:t>
      </w:r>
      <w:r>
        <w:rPr>
          <w:rFonts w:ascii="Arial" w:hAnsi="Arial" w:cs="Arial" w:eastAsia="Arial"/>
          <w:b w:val="0"/>
          <w:i w:val="0"/>
          <w:color w:val="110663"/>
          <w:sz w:val="21"/>
        </w:rPr>
        <w:tab/>
      </w:r>
      <w:r>
        <w:rPr>
          <w:rFonts w:ascii="Arial" w:hAnsi="Arial" w:cs="Arial" w:eastAsia="Arial"/>
          <w:b w:val="0"/>
          <w:i w:val="0"/>
          <w:color w:val="110663"/>
          <w:sz w:val="21"/>
        </w:rPr>
        <w:t>For a partial cancellation or credit, clawback is calculated proportionally on the part that lapses.</w:t>
      </w:r>
    </w:p>
    <w:p>
      <w:pPr>
        <w:tabs>
          <w:tab w:pos="567" w:val="left"/>
        </w:tabs>
        <w:spacing w:before="0" w:after="120" w:line="276" w:lineRule="auto"/>
        <w:ind w:left="567" w:hanging="567"/>
      </w:pPr>
      <w:r>
        <w:rPr>
          <w:rFonts w:ascii="Arial" w:hAnsi="Arial" w:cs="Arial" w:eastAsia="Arial"/>
          <w:b/>
          <w:i w:val="0"/>
          <w:color w:val="4C39CA"/>
          <w:sz w:val="21"/>
        </w:rPr>
        <w:t>4.4</w:t>
      </w:r>
      <w:r>
        <w:rPr>
          <w:rFonts w:ascii="Arial" w:hAnsi="Arial" w:cs="Arial" w:eastAsia="Arial"/>
          <w:b w:val="0"/>
          <w:i w:val="0"/>
          <w:color w:val="110663"/>
          <w:sz w:val="21"/>
        </w:rPr>
        <w:tab/>
      </w:r>
      <w:r>
        <w:rPr>
          <w:rFonts w:ascii="Arial" w:hAnsi="Arial" w:cs="Arial" w:eastAsia="Arial"/>
          <w:b w:val="0"/>
          <w:i w:val="0"/>
          <w:color w:val="110663"/>
          <w:sz w:val="21"/>
        </w:rPr>
        <w:t>If commission in the month was limited by a cap, clawback is calculated on the commission actually paid for the sale.</w:t>
      </w:r>
    </w:p>
    <w:p>
      <w:pPr>
        <w:tabs>
          <w:tab w:pos="567" w:val="left"/>
        </w:tabs>
        <w:spacing w:before="0" w:after="120" w:line="276" w:lineRule="auto"/>
        <w:ind w:left="567" w:hanging="567"/>
      </w:pPr>
      <w:r>
        <w:rPr>
          <w:rFonts w:ascii="Arial" w:hAnsi="Arial" w:cs="Arial" w:eastAsia="Arial"/>
          <w:b/>
          <w:i w:val="0"/>
          <w:color w:val="4C39CA"/>
          <w:sz w:val="21"/>
        </w:rPr>
        <w:t>4.5</w:t>
      </w:r>
      <w:r>
        <w:rPr>
          <w:rFonts w:ascii="Arial" w:hAnsi="Arial" w:cs="Arial" w:eastAsia="Arial"/>
          <w:b w:val="0"/>
          <w:i w:val="0"/>
          <w:color w:val="110663"/>
          <w:sz w:val="21"/>
        </w:rPr>
        <w:tab/>
      </w:r>
      <w:r>
        <w:rPr>
          <w:rFonts w:ascii="Arial" w:hAnsi="Arial" w:cs="Arial" w:eastAsia="Arial"/>
          <w:b w:val="0"/>
          <w:i w:val="0"/>
          <w:color w:val="110663"/>
          <w:sz w:val="21"/>
        </w:rPr>
        <w:t>No interest is charged. Earlier statements are not changed. Clawback is shown as a line in the month the event is recorded.</w:t>
      </w:r>
    </w:p>
    <w:p>
      <w:pPr>
        <w:spacing w:before="0" w:after="120" w:line="276" w:lineRule="auto"/>
      </w:pPr>
      <w:r>
        <w:rPr>
          <w:rFonts w:ascii="Arial" w:hAnsi="Arial" w:cs="Arial" w:eastAsia="Arial"/>
          <w:b w:val="0"/>
          <w:i w:val="0"/>
          <w:color w:val="110663"/>
          <w:sz w:val="21"/>
        </w:rPr>
        <w:t>Example: A sale of DKK 200,000 earned commission in March. The rep's effective rate in March was 7%, so the commission was DKK 14,000. In May, the customer cancels half of the agreement. Clawback = 100,000 × 7% = DKK 7,000, shown on the May statement.</w:t>
      </w:r>
    </w:p>
    <w:p>
      <w:pPr>
        <w:pStyle w:val="Heading2"/>
        <w:keepNext/>
        <w:spacing w:before="400" w:after="140" w:line="240" w:lineRule="auto"/>
      </w:pPr>
      <w:r>
        <w:rPr>
          <w:rFonts w:ascii="Arial" w:hAnsi="Arial" w:cs="Arial" w:eastAsia="Arial"/>
          <w:b w:val="0"/>
          <w:i w:val="0"/>
          <w:color w:val="110663"/>
          <w:sz w:val="30"/>
        </w:rPr>
        <w:t>5. Offset against later commission</w:t>
      </w:r>
    </w:p>
    <w:p>
      <w:pPr>
        <w:tabs>
          <w:tab w:pos="567" w:val="left"/>
        </w:tabs>
        <w:spacing w:before="0" w:after="120" w:line="276" w:lineRule="auto"/>
        <w:ind w:left="567" w:hanging="567"/>
      </w:pPr>
      <w:r>
        <w:rPr>
          <w:rFonts w:ascii="Arial" w:hAnsi="Arial" w:cs="Arial" w:eastAsia="Arial"/>
          <w:b/>
          <w:i w:val="0"/>
          <w:color w:val="4C39CA"/>
          <w:sz w:val="21"/>
        </w:rPr>
        <w:t>5.1</w:t>
      </w:r>
      <w:r>
        <w:rPr>
          <w:rFonts w:ascii="Arial" w:hAnsi="Arial" w:cs="Arial" w:eastAsia="Arial"/>
          <w:b w:val="0"/>
          <w:i w:val="0"/>
          <w:color w:val="110663"/>
          <w:sz w:val="21"/>
        </w:rPr>
        <w:tab/>
      </w:r>
      <w:r>
        <w:rPr>
          <w:rFonts w:ascii="Arial" w:hAnsi="Arial" w:cs="Arial" w:eastAsia="Arial"/>
          <w:b w:val="0"/>
          <w:i w:val="0"/>
          <w:color w:val="110663"/>
          <w:sz w:val="21"/>
        </w:rPr>
        <w:t>The clawback amount is offset against the commission the Employee earns in the month the event is recorded and in the following months.</w:t>
      </w:r>
    </w:p>
    <w:p>
      <w:pPr>
        <w:tabs>
          <w:tab w:pos="567" w:val="left"/>
        </w:tabs>
        <w:spacing w:before="0" w:after="120" w:line="276" w:lineRule="auto"/>
        <w:ind w:left="567" w:hanging="567"/>
      </w:pPr>
      <w:r>
        <w:rPr>
          <w:rFonts w:ascii="Arial" w:hAnsi="Arial" w:cs="Arial" w:eastAsia="Arial"/>
          <w:b/>
          <w:i w:val="0"/>
          <w:color w:val="4C39CA"/>
          <w:sz w:val="21"/>
        </w:rPr>
        <w:t>5.2</w:t>
      </w:r>
      <w:r>
        <w:rPr>
          <w:rFonts w:ascii="Arial" w:hAnsi="Arial" w:cs="Arial" w:eastAsia="Arial"/>
          <w:b w:val="0"/>
          <w:i w:val="0"/>
          <w:color w:val="110663"/>
          <w:sz w:val="21"/>
        </w:rPr>
        <w:tab/>
      </w:r>
      <w:r>
        <w:rPr>
          <w:rFonts w:ascii="Arial" w:hAnsi="Arial" w:cs="Arial" w:eastAsia="Arial"/>
          <w:b w:val="0"/>
          <w:i w:val="0"/>
          <w:color w:val="110663"/>
          <w:sz w:val="21"/>
        </w:rPr>
        <w:t xml:space="preserve">The offset is at most </w:t>
      </w:r>
      <w:r>
        <w:rPr>
          <w:rFonts w:ascii="Arial" w:hAnsi="Arial" w:cs="Arial" w:eastAsia="Arial"/>
          <w:b w:val="0"/>
          <w:i w:val="0"/>
          <w:color w:val="4C39CA"/>
          <w:sz w:val="21"/>
          <w:shd w:val="clear" w:color="auto" w:fill="E6E0FB"/>
        </w:rPr>
        <w:t>[50]</w:t>
      </w:r>
      <w:r>
        <w:rPr>
          <w:rFonts w:ascii="Arial" w:hAnsi="Arial" w:cs="Arial" w:eastAsia="Arial"/>
          <w:b w:val="0"/>
          <w:i w:val="0"/>
          <w:color w:val="110663"/>
          <w:sz w:val="21"/>
        </w:rPr>
        <w:t>% of the Employee's commission in a month. The rest carries forward to the next month.</w:t>
      </w:r>
    </w:p>
    <w:p>
      <w:pPr>
        <w:tabs>
          <w:tab w:pos="567" w:val="left"/>
        </w:tabs>
        <w:spacing w:before="0" w:after="120" w:line="276" w:lineRule="auto"/>
        <w:ind w:left="567" w:hanging="567"/>
      </w:pPr>
      <w:r>
        <w:rPr>
          <w:rFonts w:ascii="Arial" w:hAnsi="Arial" w:cs="Arial" w:eastAsia="Arial"/>
          <w:b/>
          <w:i w:val="0"/>
          <w:color w:val="4C39CA"/>
          <w:sz w:val="21"/>
        </w:rPr>
        <w:t>5.3</w:t>
      </w:r>
      <w:r>
        <w:rPr>
          <w:rFonts w:ascii="Arial" w:hAnsi="Arial" w:cs="Arial" w:eastAsia="Arial"/>
          <w:b w:val="0"/>
          <w:i w:val="0"/>
          <w:color w:val="110663"/>
          <w:sz w:val="21"/>
        </w:rPr>
        <w:tab/>
      </w:r>
      <w:r>
        <w:rPr>
          <w:rFonts w:ascii="Arial" w:hAnsi="Arial" w:cs="Arial" w:eastAsia="Arial"/>
          <w:b w:val="0"/>
          <w:i w:val="0"/>
          <w:color w:val="110663"/>
          <w:sz w:val="21"/>
        </w:rPr>
        <w:t>If commission in a month is lower than the amount to be offset, the rest carries forward as a negative balance. The balance is shown on every statement until it has been offset.</w:t>
      </w:r>
    </w:p>
    <w:p>
      <w:pPr>
        <w:tabs>
          <w:tab w:pos="567" w:val="left"/>
        </w:tabs>
        <w:spacing w:before="0" w:after="120" w:line="276" w:lineRule="auto"/>
        <w:ind w:left="567" w:hanging="567"/>
      </w:pPr>
      <w:r>
        <w:rPr>
          <w:rFonts w:ascii="Arial" w:hAnsi="Arial" w:cs="Arial" w:eastAsia="Arial"/>
          <w:b/>
          <w:i w:val="0"/>
          <w:color w:val="4C39CA"/>
          <w:sz w:val="21"/>
        </w:rPr>
        <w:t>5.4</w:t>
      </w:r>
      <w:r>
        <w:rPr>
          <w:rFonts w:ascii="Arial" w:hAnsi="Arial" w:cs="Arial" w:eastAsia="Arial"/>
          <w:b w:val="0"/>
          <w:i w:val="0"/>
          <w:color w:val="110663"/>
          <w:sz w:val="21"/>
        </w:rPr>
        <w:tab/>
      </w:r>
      <w:r>
        <w:rPr>
          <w:rFonts w:ascii="Arial" w:hAnsi="Arial" w:cs="Arial" w:eastAsia="Arial"/>
          <w:b w:val="0"/>
          <w:i w:val="0"/>
          <w:color w:val="4C39CA"/>
          <w:sz w:val="21"/>
          <w:shd w:val="clear" w:color="auto" w:fill="E6E0FB"/>
        </w:rPr>
        <w:t>[Choose: No offset is made against the fixed salary. / An offset is also made against the fixed salary, but at most DKK ... per month, never against holiday pay, holiday supplement or holiday allowance, and only after written notice to the Employee no later than 14 days before payday.]</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Offsetting against later commission is the safest option. An employer cannot simply deduct an amount from salary. Denmark has no single statute on salary set-off; the rules come from case law. As a starting point, the claim must be clear, documented and due, and directly connected to the employment, and the employee must be left with a certain subsistence minimum. Do not wait too long: delay can cost you the right to set off. If the rep has received an advance on commission, the advance can only be covered by pay and commission owed to the rep (section 9(2) of the Danish Salaried Employees Act, funktionærloven). If you choose to offset against fixed salary, set a maximum amount and a notice period, and have the rule reviewed. No offset may be made against holiday pay (løn under ferie), the holiday supplement (ferietillæg) or holiday allowance (feriegodtgørelse) unless the claim stems from a wrongful act that the employee has admitted or that has been established by a court (section 29 of the Danish Holiday Act, ferieloven). A customer cancelling or not paying is not in itself a wrongful act by the rep.</w:t>
      </w:r>
    </w:p>
    <w:p>
      <w:pPr>
        <w:pStyle w:val="Heading2"/>
        <w:keepNext/>
        <w:spacing w:before="400" w:after="140" w:line="240" w:lineRule="auto"/>
      </w:pPr>
      <w:r>
        <w:rPr>
          <w:rFonts w:ascii="Arial" w:hAnsi="Arial" w:cs="Arial" w:eastAsia="Arial"/>
          <w:b w:val="0"/>
          <w:i w:val="0"/>
          <w:color w:val="110663"/>
          <w:sz w:val="30"/>
        </w:rPr>
        <w:t>6. Repayment</w:t>
      </w:r>
    </w:p>
    <w:p>
      <w:pPr>
        <w:tabs>
          <w:tab w:pos="567" w:val="left"/>
        </w:tabs>
        <w:spacing w:before="0" w:after="120" w:line="276" w:lineRule="auto"/>
        <w:ind w:left="567" w:hanging="567"/>
      </w:pPr>
      <w:r>
        <w:rPr>
          <w:rFonts w:ascii="Arial" w:hAnsi="Arial" w:cs="Arial" w:eastAsia="Arial"/>
          <w:b/>
          <w:i w:val="0"/>
          <w:color w:val="4C39CA"/>
          <w:sz w:val="21"/>
        </w:rPr>
        <w:t>6.1</w:t>
      </w:r>
      <w:r>
        <w:rPr>
          <w:rFonts w:ascii="Arial" w:hAnsi="Arial" w:cs="Arial" w:eastAsia="Arial"/>
          <w:b w:val="0"/>
          <w:i w:val="0"/>
          <w:color w:val="110663"/>
          <w:sz w:val="21"/>
        </w:rPr>
        <w:tab/>
      </w:r>
      <w:r>
        <w:rPr>
          <w:rFonts w:ascii="Arial" w:hAnsi="Arial" w:cs="Arial" w:eastAsia="Arial"/>
          <w:b w:val="0"/>
          <w:i w:val="0"/>
          <w:color w:val="4C39CA"/>
          <w:sz w:val="21"/>
          <w:shd w:val="clear" w:color="auto" w:fill="E6E0FB"/>
        </w:rPr>
        <w:t>[Choose: The Employee does not have to repay clawback amounts. Any amount that cannot be offset under clauses 5 and 7 lapses. / An amount that has not been offset 12 months after the event can be claimed back under a written agreement with the Employee on an instalment plan.]</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The first option is the simplest and leads to the fewest disputes. Whether commission that has already been earned and paid can be claimed back depends mainly on the agreement, and under section 9(2) of the Salaried Employees Act an advance on commission cannot be claimed as an ordinary debt. Take advice before you choose the second option.</w:t>
      </w:r>
    </w:p>
    <w:p>
      <w:pPr>
        <w:pStyle w:val="Heading2"/>
        <w:keepNext/>
        <w:spacing w:before="400" w:after="140" w:line="240" w:lineRule="auto"/>
      </w:pPr>
      <w:r>
        <w:rPr>
          <w:rFonts w:ascii="Arial" w:hAnsi="Arial" w:cs="Arial" w:eastAsia="Arial"/>
          <w:b w:val="0"/>
          <w:i w:val="0"/>
          <w:color w:val="110663"/>
          <w:sz w:val="30"/>
        </w:rPr>
        <w:t>7. Leaving the company</w:t>
      </w:r>
    </w:p>
    <w:p>
      <w:pPr>
        <w:tabs>
          <w:tab w:pos="567" w:val="left"/>
        </w:tabs>
        <w:spacing w:before="0" w:after="120" w:line="276" w:lineRule="auto"/>
        <w:ind w:left="567" w:hanging="567"/>
      </w:pPr>
      <w:r>
        <w:rPr>
          <w:rFonts w:ascii="Arial" w:hAnsi="Arial" w:cs="Arial" w:eastAsia="Arial"/>
          <w:b/>
          <w:i w:val="0"/>
          <w:color w:val="4C39CA"/>
          <w:sz w:val="21"/>
        </w:rPr>
        <w:t>7.1</w:t>
      </w:r>
      <w:r>
        <w:rPr>
          <w:rFonts w:ascii="Arial" w:hAnsi="Arial" w:cs="Arial" w:eastAsia="Arial"/>
          <w:b w:val="0"/>
          <w:i w:val="0"/>
          <w:color w:val="110663"/>
          <w:sz w:val="21"/>
        </w:rPr>
        <w:tab/>
      </w:r>
      <w:r>
        <w:rPr>
          <w:rFonts w:ascii="Arial" w:hAnsi="Arial" w:cs="Arial" w:eastAsia="Arial"/>
          <w:b w:val="0"/>
          <w:i w:val="0"/>
          <w:color w:val="110663"/>
          <w:sz w:val="21"/>
        </w:rPr>
        <w:t>The clawback period also applies to sales that earned commission before the Employee left, and to commission on sales that close after the Employee has left.</w:t>
      </w:r>
    </w:p>
    <w:p>
      <w:pPr>
        <w:tabs>
          <w:tab w:pos="567" w:val="left"/>
        </w:tabs>
        <w:spacing w:before="0" w:after="120" w:line="276" w:lineRule="auto"/>
        <w:ind w:left="567" w:hanging="567"/>
      </w:pPr>
      <w:r>
        <w:rPr>
          <w:rFonts w:ascii="Arial" w:hAnsi="Arial" w:cs="Arial" w:eastAsia="Arial"/>
          <w:b/>
          <w:i w:val="0"/>
          <w:color w:val="4C39CA"/>
          <w:sz w:val="21"/>
        </w:rPr>
        <w:t>7.2</w:t>
      </w:r>
      <w:r>
        <w:rPr>
          <w:rFonts w:ascii="Arial" w:hAnsi="Arial" w:cs="Arial" w:eastAsia="Arial"/>
          <w:b w:val="0"/>
          <w:i w:val="0"/>
          <w:color w:val="110663"/>
          <w:sz w:val="21"/>
        </w:rPr>
        <w:tab/>
      </w:r>
      <w:r>
        <w:rPr>
          <w:rFonts w:ascii="Arial" w:hAnsi="Arial" w:cs="Arial" w:eastAsia="Arial"/>
          <w:b w:val="0"/>
          <w:i w:val="0"/>
          <w:color w:val="110663"/>
          <w:sz w:val="21"/>
        </w:rPr>
        <w:t xml:space="preserve">A negative balance when the Employee leaves </w:t>
      </w:r>
      <w:r>
        <w:rPr>
          <w:rFonts w:ascii="Arial" w:hAnsi="Arial" w:cs="Arial" w:eastAsia="Arial"/>
          <w:b w:val="0"/>
          <w:i w:val="0"/>
          <w:color w:val="4C39CA"/>
          <w:sz w:val="21"/>
          <w:shd w:val="clear" w:color="auto" w:fill="E6E0FB"/>
        </w:rPr>
        <w:t>[Choose: is offset against the final commission / is offset against the final commission and salary to the extent the law allows, but not against holiday pay, holiday supplement or holiday allowance unless the claim stems from a wrongful act that the Employee has admitted or that has been established by a court (section 29 of the Danish Holiday Act) / lapses]</w:t>
      </w:r>
      <w:r>
        <w:rPr>
          <w:rFonts w:ascii="Arial" w:hAnsi="Arial" w:cs="Arial" w:eastAsia="Arial"/>
          <w:b w:val="0"/>
          <w:i w:val="0"/>
          <w:color w:val="110663"/>
          <w:sz w:val="21"/>
        </w:rPr>
        <w:t>. Any remaining amount is not claimed</w:t>
      </w:r>
      <w:r>
        <w:rPr>
          <w:rFonts w:ascii="Arial" w:hAnsi="Arial" w:cs="Arial" w:eastAsia="Arial"/>
          <w:b w:val="0"/>
          <w:i w:val="0"/>
          <w:color w:val="4C39CA"/>
          <w:sz w:val="21"/>
          <w:shd w:val="clear" w:color="auto" w:fill="E6E0FB"/>
        </w:rPr>
        <w:t>[, unless otherwise agreed under clause 6]</w:t>
      </w:r>
      <w:r>
        <w:rPr>
          <w:rFonts w:ascii="Arial" w:hAnsi="Arial" w:cs="Arial" w:eastAsia="Arial"/>
          <w:b w:val="0"/>
          <w:i w:val="0"/>
          <w:color w:val="110663"/>
          <w:sz w:val="21"/>
        </w:rPr>
        <w: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The same limits on set-off apply to the final salary. Under section 29 of the Danish Holiday Act (ferieloven), no offset may be made against holiday pay (løn under ferie), the holiday supplement (ferietillæg) or holiday allowance (feriegodtgørelse) unless the claim stems from a wrongful act in the employment that the employee has admitted or that has been established by a court. A clawback because a customer cancelled or did not pay does not normally meet that condition, so keep holiday amounts out of the offset in the final settlement. Describe in advance what happens to a negative balance, so the final statement does not turn into a negotiation.</w:t>
      </w:r>
    </w:p>
    <w:p>
      <w:pPr>
        <w:pStyle w:val="Heading2"/>
        <w:keepNext/>
        <w:spacing w:before="400" w:after="140" w:line="240" w:lineRule="auto"/>
      </w:pPr>
      <w:r>
        <w:rPr>
          <w:rFonts w:ascii="Arial" w:hAnsi="Arial" w:cs="Arial" w:eastAsia="Arial"/>
          <w:b w:val="0"/>
          <w:i w:val="0"/>
          <w:color w:val="110663"/>
          <w:sz w:val="30"/>
        </w:rPr>
        <w:t>8. Statement and objections</w:t>
      </w:r>
    </w:p>
    <w:p>
      <w:pPr>
        <w:tabs>
          <w:tab w:pos="567" w:val="left"/>
        </w:tabs>
        <w:spacing w:before="0" w:after="120" w:line="276" w:lineRule="auto"/>
        <w:ind w:left="567" w:hanging="567"/>
      </w:pPr>
      <w:r>
        <w:rPr>
          <w:rFonts w:ascii="Arial" w:hAnsi="Arial" w:cs="Arial" w:eastAsia="Arial"/>
          <w:b/>
          <w:i w:val="0"/>
          <w:color w:val="4C39CA"/>
          <w:sz w:val="21"/>
        </w:rPr>
        <w:t>8.1</w:t>
      </w:r>
      <w:r>
        <w:rPr>
          <w:rFonts w:ascii="Arial" w:hAnsi="Arial" w:cs="Arial" w:eastAsia="Arial"/>
          <w:b w:val="0"/>
          <w:i w:val="0"/>
          <w:color w:val="110663"/>
          <w:sz w:val="21"/>
        </w:rPr>
        <w:tab/>
      </w:r>
      <w:r>
        <w:rPr>
          <w:rFonts w:ascii="Arial" w:hAnsi="Arial" w:cs="Arial" w:eastAsia="Arial"/>
          <w:b w:val="0"/>
          <w:i w:val="0"/>
          <w:color w:val="110663"/>
          <w:sz w:val="21"/>
        </w:rPr>
        <w:t>Each clawback is shown as a separate line on the commission statement with customer, deal ID, original month, basis, rate, amount and reason (clause 2.1 a to e).</w:t>
      </w:r>
    </w:p>
    <w:p>
      <w:pPr>
        <w:tabs>
          <w:tab w:pos="567" w:val="left"/>
        </w:tabs>
        <w:spacing w:before="0" w:after="120" w:line="276" w:lineRule="auto"/>
        <w:ind w:left="567" w:hanging="567"/>
      </w:pPr>
      <w:r>
        <w:rPr>
          <w:rFonts w:ascii="Arial" w:hAnsi="Arial" w:cs="Arial" w:eastAsia="Arial"/>
          <w:b/>
          <w:i w:val="0"/>
          <w:color w:val="4C39CA"/>
          <w:sz w:val="21"/>
        </w:rPr>
        <w:t>8.2</w:t>
      </w:r>
      <w:r>
        <w:rPr>
          <w:rFonts w:ascii="Arial" w:hAnsi="Arial" w:cs="Arial" w:eastAsia="Arial"/>
          <w:b w:val="0"/>
          <w:i w:val="0"/>
          <w:color w:val="110663"/>
          <w:sz w:val="21"/>
        </w:rPr>
        <w:tab/>
      </w:r>
      <w:r>
        <w:rPr>
          <w:rFonts w:ascii="Arial" w:hAnsi="Arial" w:cs="Arial" w:eastAsia="Arial"/>
          <w:b w:val="0"/>
          <w:i w:val="0"/>
          <w:color w:val="110663"/>
          <w:sz w:val="21"/>
        </w:rPr>
        <w:t>The Employee can ask for documentation of the event, for example the cancellation, the credit note or the reminder history.</w:t>
      </w:r>
    </w:p>
    <w:p>
      <w:pPr>
        <w:tabs>
          <w:tab w:pos="567" w:val="left"/>
        </w:tabs>
        <w:spacing w:before="0" w:after="120" w:line="276" w:lineRule="auto"/>
        <w:ind w:left="567" w:hanging="567"/>
      </w:pPr>
      <w:r>
        <w:rPr>
          <w:rFonts w:ascii="Arial" w:hAnsi="Arial" w:cs="Arial" w:eastAsia="Arial"/>
          <w:b/>
          <w:i w:val="0"/>
          <w:color w:val="4C39CA"/>
          <w:sz w:val="21"/>
        </w:rPr>
        <w:t>8.3</w:t>
      </w:r>
      <w:r>
        <w:rPr>
          <w:rFonts w:ascii="Arial" w:hAnsi="Arial" w:cs="Arial" w:eastAsia="Arial"/>
          <w:b w:val="0"/>
          <w:i w:val="0"/>
          <w:color w:val="110663"/>
          <w:sz w:val="21"/>
        </w:rPr>
        <w:tab/>
      </w:r>
      <w:r>
        <w:rPr>
          <w:rFonts w:ascii="Arial" w:hAnsi="Arial" w:cs="Arial" w:eastAsia="Arial"/>
          <w:b w:val="0"/>
          <w:i w:val="0"/>
          <w:color w:val="110663"/>
          <w:sz w:val="21"/>
        </w:rPr>
        <w:t xml:space="preserve">Objections are sent in writing to </w:t>
      </w:r>
      <w:r>
        <w:rPr>
          <w:rFonts w:ascii="Arial" w:hAnsi="Arial" w:cs="Arial" w:eastAsia="Arial"/>
          <w:b w:val="0"/>
          <w:i w:val="0"/>
          <w:color w:val="4C39CA"/>
          <w:sz w:val="21"/>
          <w:shd w:val="clear" w:color="auto" w:fill="E6E0FB"/>
        </w:rPr>
        <w:t>[their manager]</w:t>
      </w:r>
      <w:r>
        <w:rPr>
          <w:rFonts w:ascii="Arial" w:hAnsi="Arial" w:cs="Arial" w:eastAsia="Arial"/>
          <w:b w:val="0"/>
          <w:i w:val="0"/>
          <w:color w:val="110663"/>
          <w:sz w:val="21"/>
        </w:rPr>
        <w:t xml:space="preserve"> within </w:t>
      </w:r>
      <w:r>
        <w:rPr>
          <w:rFonts w:ascii="Arial" w:hAnsi="Arial" w:cs="Arial" w:eastAsia="Arial"/>
          <w:b w:val="0"/>
          <w:i w:val="0"/>
          <w:color w:val="4C39CA"/>
          <w:sz w:val="21"/>
          <w:shd w:val="clear" w:color="auto" w:fill="E6E0FB"/>
        </w:rPr>
        <w:t>[30]</w:t>
      </w:r>
      <w:r>
        <w:rPr>
          <w:rFonts w:ascii="Arial" w:hAnsi="Arial" w:cs="Arial" w:eastAsia="Arial"/>
          <w:b w:val="0"/>
          <w:i w:val="0"/>
          <w:color w:val="110663"/>
          <w:sz w:val="21"/>
        </w:rPr>
        <w:t xml:space="preserve"> days of receiving the statement. An amount that has been objected to </w:t>
      </w:r>
      <w:r>
        <w:rPr>
          <w:rFonts w:ascii="Arial" w:hAnsi="Arial" w:cs="Arial" w:eastAsia="Arial"/>
          <w:b w:val="0"/>
          <w:i w:val="0"/>
          <w:color w:val="4C39CA"/>
          <w:sz w:val="21"/>
          <w:shd w:val="clear" w:color="auto" w:fill="E6E0FB"/>
        </w:rPr>
        <w:t>[Choose: is only offset once the objection has been decided / is offset, but reversed if the Employee is proved right]</w:t>
      </w:r>
      <w:r>
        <w:rPr>
          <w:rFonts w:ascii="Arial" w:hAnsi="Arial" w:cs="Arial" w:eastAsia="Arial"/>
          <w:b w:val="0"/>
          <w:i w:val="0"/>
          <w:color w:val="110663"/>
          <w:sz w:val="21"/>
        </w:rPr>
        <w: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Clawbacks without a reference look like errors. When the rep can see the original deal and the reason, there are fewer questions. A disputed claim is not a clear claim, so it is safest to wait with the offset until the disagreement is resolved.</w:t>
      </w:r>
    </w:p>
    <w:p>
      <w:pPr>
        <w:pStyle w:val="Heading2"/>
        <w:keepNext/>
        <w:spacing w:before="400" w:after="140" w:line="240" w:lineRule="auto"/>
      </w:pPr>
      <w:r>
        <w:rPr>
          <w:rFonts w:ascii="Arial" w:hAnsi="Arial" w:cs="Arial" w:eastAsia="Arial"/>
          <w:b w:val="0"/>
          <w:i w:val="0"/>
          <w:color w:val="110663"/>
          <w:sz w:val="30"/>
        </w:rPr>
        <w:t>9. Changes</w:t>
      </w:r>
    </w:p>
    <w:p>
      <w:pPr>
        <w:tabs>
          <w:tab w:pos="567" w:val="left"/>
        </w:tabs>
        <w:spacing w:before="0" w:after="120" w:line="276" w:lineRule="auto"/>
        <w:ind w:left="567" w:hanging="567"/>
      </w:pPr>
      <w:r>
        <w:rPr>
          <w:rFonts w:ascii="Arial" w:hAnsi="Arial" w:cs="Arial" w:eastAsia="Arial"/>
          <w:b/>
          <w:i w:val="0"/>
          <w:color w:val="4C39CA"/>
          <w:sz w:val="21"/>
        </w:rPr>
        <w:t>9.1</w:t>
      </w:r>
      <w:r>
        <w:rPr>
          <w:rFonts w:ascii="Arial" w:hAnsi="Arial" w:cs="Arial" w:eastAsia="Arial"/>
          <w:b w:val="0"/>
          <w:i w:val="0"/>
          <w:color w:val="110663"/>
          <w:sz w:val="21"/>
        </w:rPr>
        <w:tab/>
      </w:r>
      <w:r>
        <w:rPr>
          <w:rFonts w:ascii="Arial" w:hAnsi="Arial" w:cs="Arial" w:eastAsia="Arial"/>
          <w:b w:val="0"/>
          <w:i w:val="0"/>
          <w:color w:val="110663"/>
          <w:sz w:val="21"/>
        </w:rPr>
        <w:t>Material changes that leave the Employee worse off, for example a longer clawback period, new events or a higher offset limit, are notified individually and in writing with the Employee's notice period.</w:t>
      </w:r>
    </w:p>
    <w:p>
      <w:pPr>
        <w:tabs>
          <w:tab w:pos="567" w:val="left"/>
        </w:tabs>
        <w:spacing w:before="0" w:after="120" w:line="276" w:lineRule="auto"/>
        <w:ind w:left="567" w:hanging="567"/>
      </w:pPr>
      <w:r>
        <w:rPr>
          <w:rFonts w:ascii="Arial" w:hAnsi="Arial" w:cs="Arial" w:eastAsia="Arial"/>
          <w:b/>
          <w:i w:val="0"/>
          <w:color w:val="4C39CA"/>
          <w:sz w:val="21"/>
        </w:rPr>
        <w:t>9.2</w:t>
      </w:r>
      <w:r>
        <w:rPr>
          <w:rFonts w:ascii="Arial" w:hAnsi="Arial" w:cs="Arial" w:eastAsia="Arial"/>
          <w:b w:val="0"/>
          <w:i w:val="0"/>
          <w:color w:val="110663"/>
          <w:sz w:val="21"/>
        </w:rPr>
        <w:tab/>
      </w:r>
      <w:r>
        <w:rPr>
          <w:rFonts w:ascii="Arial" w:hAnsi="Arial" w:cs="Arial" w:eastAsia="Arial"/>
          <w:b w:val="0"/>
          <w:i w:val="0"/>
          <w:color w:val="110663"/>
          <w:sz w:val="21"/>
        </w:rPr>
        <w:t>Changes only apply to sales that earn commission after the change has taken effect.</w:t>
      </w:r>
    </w:p>
    <w:p>
      <w:pPr>
        <w:pStyle w:val="Heading2"/>
        <w:keepNext/>
        <w:spacing w:before="400" w:after="140" w:line="240" w:lineRule="auto"/>
      </w:pPr>
      <w:r>
        <w:rPr>
          <w:rFonts w:ascii="Arial" w:hAnsi="Arial" w:cs="Arial" w:eastAsia="Arial"/>
          <w:b w:val="0"/>
          <w:i w:val="0"/>
          <w:color w:val="110663"/>
          <w:sz w:val="30"/>
        </w:rPr>
        <w:t>10. Signatures</w:t>
      </w:r>
    </w:p>
    <w:p>
      <w:pPr>
        <w:spacing w:before="0" w:after="120" w:line="276" w:lineRule="auto"/>
      </w:pPr>
      <w:r>
        <w:rPr>
          <w:rFonts w:ascii="Arial" w:hAnsi="Arial" w:cs="Arial" w:eastAsia="Arial"/>
          <w:b w:val="0"/>
          <w:i w:val="0"/>
          <w:color w:val="110663"/>
          <w:sz w:val="21"/>
        </w:rPr>
        <w:t>The policy is made in two copies, one for each party.</w:t>
      </w:r>
    </w:p>
    <w:p>
      <w:pPr>
        <w:spacing w:before="0" w:after="60" w:line="276" w:lineRule="auto"/>
      </w:pPr>
    </w:p>
    <w:tbl>
      <w:tblPr>
        <w:tblW w:w="9026" w:type="dxa"/>
        <w:jc w:val="left"/>
        <w:tblBorders>
          <w:top w:val="single" w:sz="2" w:space="0" w:color="D9D5EA"/>
          <w:left w:val="single" w:sz="2" w:space="0" w:color="D9D5EA"/>
          <w:bottom w:val="single" w:sz="2" w:space="0" w:color="D9D5EA"/>
          <w:right w:val="single" w:sz="2" w:space="0" w:color="D9D5EA"/>
          <w:insideH w:val="single" w:sz="2" w:space="0" w:color="D9D5EA"/>
          <w:insideV w:val="single" w:sz="2" w:space="0" w:color="D9D5EA"/>
        </w:tblBorders>
        <w:tblLayout w:type="fixed"/>
        <w:tblCellMar>
          <w:top w:w="80" w:type="dxa"/>
          <w:left w:w="120" w:type="dxa"/>
          <w:bottom w:w="80" w:type="dxa"/>
          <w:right w:w="120" w:type="dxa"/>
        </w:tblCellMar>
        <w:tblLook w:firstColumn="1" w:firstRow="1" w:lastColumn="0" w:lastRow="0" w:noHBand="0" w:noVBand="1" w:val="04A0"/>
      </w:tblPr>
      <w:tblGrid>
        <w:gridCol w:w="4513"/>
        <w:gridCol w:w="4513"/>
      </w:tblGrid>
      <w:tr>
        <w:trPr>
          <w:tblHeader w:val="true"/>
          <w:cantSplit/>
        </w:trPr>
        <w:tc>
          <w:tcPr>
            <w:tcW w:type="dxa" w:w="4513"/>
            <w:shd w:val="clear" w:color="auto" w:fill="F4F1FE"/>
          </w:tcPr>
          <w:p>
            <w:pPr>
              <w:spacing w:before="0" w:after="0" w:line="252" w:lineRule="auto"/>
            </w:pPr>
            <w:r>
              <w:rPr>
                <w:rFonts w:ascii="Arial" w:hAnsi="Arial" w:cs="Arial" w:eastAsia="Arial"/>
                <w:b/>
                <w:i w:val="0"/>
                <w:color w:val="110663"/>
                <w:sz w:val="19"/>
              </w:rPr>
              <w:t>For the Company</w:t>
            </w:r>
          </w:p>
        </w:tc>
        <w:tc>
          <w:tcPr>
            <w:tcW w:type="dxa" w:w="4513"/>
            <w:shd w:val="clear" w:color="auto" w:fill="F4F1FE"/>
          </w:tcPr>
          <w:p>
            <w:pPr>
              <w:spacing w:before="0" w:after="0" w:line="252" w:lineRule="auto"/>
            </w:pPr>
            <w:r>
              <w:rPr>
                <w:rFonts w:ascii="Arial" w:hAnsi="Arial" w:cs="Arial" w:eastAsia="Arial"/>
                <w:b/>
                <w:i w:val="0"/>
                <w:color w:val="110663"/>
                <w:sz w:val="19"/>
              </w:rPr>
              <w:t>The Employee</w:t>
            </w:r>
          </w:p>
        </w:tc>
      </w:tr>
      <w:tr>
        <w:trPr>
          <w:cantSplit/>
        </w:trPr>
        <w:tc>
          <w:tcPr>
            <w:tcW w:type="dxa" w:w="4513"/>
          </w:tcPr>
          <w:p>
            <w:pPr>
              <w:spacing w:before="0" w:after="0" w:line="252" w:lineRule="auto"/>
            </w:pPr>
            <w:r>
              <w:rPr>
                <w:rFonts w:ascii="Arial" w:hAnsi="Arial" w:cs="Arial" w:eastAsia="Arial"/>
                <w:b w:val="0"/>
                <w:i w:val="0"/>
                <w:color w:val="110663"/>
                <w:sz w:val="19"/>
              </w:rPr>
              <w:t xml:space="preserve">Place and date: </w:t>
            </w:r>
            <w:r>
              <w:rPr>
                <w:rFonts w:ascii="Arial" w:hAnsi="Arial" w:cs="Arial" w:eastAsia="Arial"/>
                <w:b w:val="0"/>
                <w:i w:val="0"/>
                <w:color w:val="4C39CA"/>
                <w:sz w:val="19"/>
                <w:shd w:val="clear" w:color="auto" w:fill="E6E0FB"/>
              </w:rPr>
              <w:t>[                    ]</w:t>
            </w:r>
          </w:p>
        </w:tc>
        <w:tc>
          <w:tcPr>
            <w:tcW w:type="dxa" w:w="4513"/>
          </w:tcPr>
          <w:p>
            <w:pPr>
              <w:spacing w:before="0" w:after="0" w:line="252" w:lineRule="auto"/>
            </w:pPr>
            <w:r>
              <w:rPr>
                <w:rFonts w:ascii="Arial" w:hAnsi="Arial" w:cs="Arial" w:eastAsia="Arial"/>
                <w:b w:val="0"/>
                <w:i w:val="0"/>
                <w:color w:val="110663"/>
                <w:sz w:val="19"/>
              </w:rPr>
              <w:t xml:space="preserve">Place and date: </w:t>
            </w:r>
            <w:r>
              <w:rPr>
                <w:rFonts w:ascii="Arial" w:hAnsi="Arial" w:cs="Arial" w:eastAsia="Arial"/>
                <w:b w:val="0"/>
                <w:i w:val="0"/>
                <w:color w:val="4C39CA"/>
                <w:sz w:val="19"/>
                <w:shd w:val="clear" w:color="auto" w:fill="E6E0FB"/>
              </w:rPr>
              <w:t>[                    ]</w:t>
            </w:r>
          </w:p>
        </w:tc>
      </w:tr>
      <w:tr>
        <w:trPr>
          <w:cantSplit/>
        </w:trPr>
        <w:tc>
          <w:tcPr>
            <w:tcW w:type="dxa" w:w="4513"/>
          </w:tcPr>
          <w:p>
            <w:pPr>
              <w:spacing w:before="720" w:after="0" w:line="252" w:lineRule="auto"/>
            </w:pPr>
            <w:r>
              <w:rPr>
                <w:rFonts w:ascii="Arial" w:hAnsi="Arial" w:cs="Arial" w:eastAsia="Arial"/>
                <w:b w:val="0"/>
                <w:i w:val="0"/>
                <w:color w:val="110663"/>
                <w:sz w:val="19"/>
              </w:rPr>
              <w:t>_______________________________</w:t>
            </w:r>
          </w:p>
        </w:tc>
        <w:tc>
          <w:tcPr>
            <w:tcW w:type="dxa" w:w="4513"/>
          </w:tcPr>
          <w:p>
            <w:pPr>
              <w:spacing w:before="720" w:after="0" w:line="252" w:lineRule="auto"/>
            </w:pPr>
            <w:r>
              <w:rPr>
                <w:rFonts w:ascii="Arial" w:hAnsi="Arial" w:cs="Arial" w:eastAsia="Arial"/>
                <w:b w:val="0"/>
                <w:i w:val="0"/>
                <w:color w:val="110663"/>
                <w:sz w:val="19"/>
              </w:rPr>
              <w:t>_______________________________</w:t>
            </w:r>
          </w:p>
        </w:tc>
      </w:tr>
      <w:tr>
        <w:trPr>
          <w:cantSplit/>
        </w:trPr>
        <w:tc>
          <w:tcPr>
            <w:tcW w:type="dxa" w:w="4513"/>
          </w:tcPr>
          <w:p>
            <w:pPr>
              <w:spacing w:before="0" w:after="0" w:line="252" w:lineRule="auto"/>
            </w:pPr>
            <w:r>
              <w:rPr>
                <w:rFonts w:ascii="Arial" w:hAnsi="Arial" w:cs="Arial" w:eastAsia="Arial"/>
                <w:b w:val="0"/>
                <w:i w:val="0"/>
                <w:color w:val="4C39CA"/>
                <w:sz w:val="19"/>
                <w:shd w:val="clear" w:color="auto" w:fill="E6E0FB"/>
              </w:rPr>
              <w:t>[Name and title]</w:t>
            </w:r>
          </w:p>
        </w:tc>
        <w:tc>
          <w:tcPr>
            <w:tcW w:type="dxa" w:w="4513"/>
          </w:tcPr>
          <w:p>
            <w:pPr>
              <w:spacing w:before="0" w:after="0" w:line="252" w:lineRule="auto"/>
            </w:pPr>
            <w:r>
              <w:rPr>
                <w:rFonts w:ascii="Arial" w:hAnsi="Arial" w:cs="Arial" w:eastAsia="Arial"/>
                <w:b w:val="0"/>
                <w:i w:val="0"/>
                <w:color w:val="4C39CA"/>
                <w:sz w:val="19"/>
                <w:shd w:val="clear" w:color="auto" w:fill="E6E0FB"/>
              </w:rPr>
              <w:t>[Name]</w:t>
            </w:r>
          </w:p>
        </w:tc>
      </w:tr>
    </w:tbl>
    <w:p>
      <w:pPr>
        <w:pStyle w:val="Heading2"/>
        <w:keepNext/>
        <w:spacing w:before="400" w:after="140" w:line="240" w:lineRule="auto"/>
      </w:pPr>
      <w:r>
        <w:rPr>
          <w:rFonts w:ascii="Arial" w:hAnsi="Arial" w:cs="Arial" w:eastAsia="Arial"/>
          <w:b w:val="0"/>
          <w:i w:val="0"/>
          <w:color w:val="110663"/>
          <w:sz w:val="30"/>
        </w:rPr>
        <w:t>Guidance: Sources</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Delete this section before the policy is signed. The rules here are general information, not legal advice. Check your collective agreement, which may have its own rules.</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Danish Salaried Employees Act (funktionærloven), LBK no. 1002 of 24/08/2017, section 9 (commission and advances) and section 21: retsinformation.dk/eli/lta/2017/1002</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Danish Holiday Act (ferieloven), LBK no. 152 of 20/02/2024, section 29 (set-off against holiday pay, holiday supplement and holiday allowance): retsinformation.dk/eli/lta/2024/152</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Danish Employment Contracts Act (ansættelsesbevisloven), act no. 501 of 16/05/2023, sections 3 and 5: retsinformation.dk/eli/lta/2023/501</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Danish Chamber of Commerce (Dansk Erhverv): Errors in salary payments and the right to set off (2019, in Danish): danskerhverv.dk</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TEKNIQ Arbejdsgiverne: Can you set off against salary? (in Danish): tekniq.dk</w:t>
      </w:r>
    </w:p>
    <w:sectPr w:rsidR="00FC693F" w:rsidRPr="0006063C" w:rsidSect="00034616">
      <w:headerReference w:type="default" r:id="rId9"/>
      <w:footerReference w:type="default" r:id="rId10"/>
      <w:pgSz w:w="11906" w:h="16838"/>
      <w:pgMar w:top="1500" w:right="1440" w:bottom="1300" w:left="1440" w:header="600" w:footer="5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2" w:space="6" w:color="D9D5EA"/>
      </w:pBdr>
      <w:tabs>
        <w:tab w:pos="9026" w:val="right"/>
      </w:tabs>
    </w:pPr>
    <w:r>
      <w:rPr>
        <w:rFonts w:ascii="Arial" w:hAnsi="Arial" w:cs="Arial" w:eastAsia="Arial"/>
        <w:b w:val="0"/>
        <w:i w:val="0"/>
        <w:color w:val="A1A0BD"/>
        <w:sz w:val="16"/>
      </w:rPr>
      <w:t>prowi.io · Free template from Prowi · Not legal advice</w:t>
    </w:r>
    <w:r>
      <w:rPr>
        <w:rFonts w:ascii="Arial" w:hAnsi="Arial" w:cs="Arial" w:eastAsia="Arial"/>
        <w:b w:val="0"/>
        <w:i w:val="0"/>
        <w:color w:val="A1A0BD"/>
        <w:sz w:val="16"/>
      </w:rPr>
      <w:tab/>
    </w:r>
    <w:r>
      <w:rPr>
        <w:rFonts w:ascii="Arial" w:hAnsi="Arial" w:cs="Arial" w:eastAsia="Arial"/>
        <w:b w:val="0"/>
        <w:i w:val="0"/>
        <w:color w:val="A1A0BD"/>
        <w:sz w:val="16"/>
      </w:rPr>
      <w:t xml:space="preserve">Page </w:t>
    </w:r>
    <w:r>
      <w:rPr>
        <w:rFonts w:ascii="Arial" w:hAnsi="Arial" w:cs="Arial" w:eastAsia="Arial"/>
        <w:b w:val="0"/>
        <w:i w:val="0"/>
        <w:color w:val="A1A0BD"/>
        <w:sz w:val="16"/>
      </w:rPr>
      <w:fldChar w:fldCharType="begin"/>
    </w:r>
    <w:r>
      <w:rPr>
        <w:rFonts w:ascii="Arial" w:hAnsi="Arial" w:cs="Arial" w:eastAsia="Arial"/>
        <w:b w:val="0"/>
        <w:i w:val="0"/>
        <w:color w:val="A1A0BD"/>
        <w:sz w:val="16"/>
      </w:rPr>
      <w:instrText xml:space="preserve"> PAGE </w:instrText>
    </w:r>
    <w:r>
      <w:rPr>
        <w:rFonts w:ascii="Arial" w:hAnsi="Arial" w:cs="Arial" w:eastAsia="Arial"/>
        <w:b w:val="0"/>
        <w:i w:val="0"/>
        <w:color w:val="A1A0BD"/>
        <w:sz w:val="16"/>
      </w:rPr>
      <w:fldChar w:fldCharType="separate"/>
    </w:r>
    <w:r>
      <w:rPr>
        <w:rFonts w:ascii="Arial" w:hAnsi="Arial" w:cs="Arial" w:eastAsia="Arial"/>
        <w:b w:val="0"/>
        <w:i w:val="0"/>
        <w:color w:val="A1A0BD"/>
        <w:sz w:val="16"/>
      </w:rPr>
      <w:t>1</w:t>
    </w:r>
    <w:r>
      <w:rPr>
        <w:rFonts w:ascii="Arial" w:hAnsi="Arial" w:cs="Arial" w:eastAsia="Arial"/>
        <w:b w:val="0"/>
        <w:i w:val="0"/>
        <w:color w:val="A1A0BD"/>
        <w:sz w:val="16"/>
      </w:rPr>
      <w:fldChar w:fldCharType="end"/>
    </w:r>
    <w:r>
      <w:rPr>
        <w:rFonts w:ascii="Arial" w:hAnsi="Arial" w:cs="Arial" w:eastAsia="Arial"/>
        <w:b w:val="0"/>
        <w:i w:val="0"/>
        <w:color w:val="A1A0BD"/>
        <w:sz w:val="16"/>
      </w:rPr>
      <w:t xml:space="preserve"> of </w:t>
    </w:r>
    <w:r>
      <w:rPr>
        <w:rFonts w:ascii="Arial" w:hAnsi="Arial" w:cs="Arial" w:eastAsia="Arial"/>
        <w:b w:val="0"/>
        <w:i w:val="0"/>
        <w:color w:val="A1A0BD"/>
        <w:sz w:val="16"/>
      </w:rPr>
      <w:fldChar w:fldCharType="begin"/>
    </w:r>
    <w:r>
      <w:rPr>
        <w:rFonts w:ascii="Arial" w:hAnsi="Arial" w:cs="Arial" w:eastAsia="Arial"/>
        <w:b w:val="0"/>
        <w:i w:val="0"/>
        <w:color w:val="A1A0BD"/>
        <w:sz w:val="16"/>
      </w:rPr>
      <w:instrText xml:space="preserve"> NUMPAGES </w:instrText>
    </w:r>
    <w:r>
      <w:rPr>
        <w:rFonts w:ascii="Arial" w:hAnsi="Arial" w:cs="Arial" w:eastAsia="Arial"/>
        <w:b w:val="0"/>
        <w:i w:val="0"/>
        <w:color w:val="A1A0BD"/>
        <w:sz w:val="16"/>
      </w:rPr>
      <w:fldChar w:fldCharType="separate"/>
    </w:r>
    <w:r>
      <w:rPr>
        <w:rFonts w:ascii="Arial" w:hAnsi="Arial" w:cs="Arial" w:eastAsia="Arial"/>
        <w:b w:val="0"/>
        <w:i w:val="0"/>
        <w:color w:val="A1A0BD"/>
        <w:sz w:val="16"/>
      </w:rPr>
      <w:t>1</w:t>
    </w:r>
    <w:r>
      <w:rPr>
        <w:rFonts w:ascii="Arial" w:hAnsi="Arial" w:cs="Arial" w:eastAsia="Arial"/>
        <w:b w:val="0"/>
        <w:i w:val="0"/>
        <w:color w:val="A1A0BD"/>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2" w:space="6" w:color="D9D5EA"/>
      </w:pBdr>
      <w:tabs>
        <w:tab w:pos="9026" w:val="right"/>
      </w:tabs>
    </w:pPr>
    <w:r>
      <w:drawing>
        <wp:inline xmlns:a="http://schemas.openxmlformats.org/drawingml/2006/main" xmlns:pic="http://schemas.openxmlformats.org/drawingml/2006/picture">
          <wp:extent cx="838200" cy="257175"/>
          <wp:docPr id="1" name="Picture 1"/>
          <wp:cNvGraphicFramePr>
            <a:graphicFrameLocks noChangeAspect="1"/>
          </wp:cNvGraphicFramePr>
          <a:graphic>
            <a:graphicData uri="http://schemas.openxmlformats.org/drawingml/2006/picture">
              <pic:pic>
                <pic:nvPicPr>
                  <pic:cNvPr id="0" name="prowi-logo.png"/>
                  <pic:cNvPicPr/>
                </pic:nvPicPr>
                <pic:blipFill>
                  <a:blip r:embed="rId1"/>
                  <a:stretch>
                    <a:fillRect/>
                  </a:stretch>
                </pic:blipFill>
                <pic:spPr>
                  <a:xfrm>
                    <a:off x="0" y="0"/>
                    <a:ext cx="838200" cy="257175"/>
                  </a:xfrm>
                  <a:prstGeom prst="rect"/>
                </pic:spPr>
              </pic:pic>
            </a:graphicData>
          </a:graphic>
        </wp:inline>
      </w:drawing>
    </w:r>
    <w:r>
      <w:rPr>
        <w:rFonts w:ascii="Arial" w:hAnsi="Arial" w:cs="Arial" w:eastAsia="Arial"/>
        <w:b w:val="0"/>
        <w:i w:val="0"/>
        <w:color w:val="A1A0BD"/>
        <w:sz w:val="17"/>
      </w:rPr>
      <w:tab/>
    </w:r>
    <w:r>
      <w:rPr>
        <w:rFonts w:ascii="Arial" w:hAnsi="Arial" w:cs="Arial" w:eastAsia="Arial"/>
        <w:b w:val="0"/>
        <w:i w:val="0"/>
        <w:color w:val="A1A0BD"/>
        <w:sz w:val="17"/>
      </w:rPr>
      <w:t>Commission clawback policy ·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1066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eastAsia="Arial"/>
      <w:b w:val="0"/>
      <w:bCs/>
      <w:i w:val="0"/>
      <w:color w:val="110663"/>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 clawback policy (template)</dc:title>
  <dc:subject/>
  <dc:creator>Prowi</dc:creator>
  <cp:keywords/>
  <dc:description>Annex to a commission agreement or commission plan: Clawback policy</dc:description>
  <cp:lastModifiedBy/>
  <cp:revision>1</cp:revision>
  <dcterms:created xsi:type="dcterms:W3CDTF">2013-12-23T23:15:00Z</dcterms:created>
  <dcterms:modified xsi:type="dcterms:W3CDTF">2013-12-23T23:15:00Z</dcterms:modified>
  <cp:category/>
  <dc:language>en-GB</dc:language>
</cp:coreProperties>
</file>