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60" w:line="276" w:lineRule="auto"/>
      </w:pPr>
      <w:r>
        <w:rPr>
          <w:rFonts w:ascii="Arial" w:hAnsi="Arial" w:cs="Arial" w:eastAsia="Arial"/>
          <w:b w:val="0"/>
          <w:i w:val="0"/>
          <w:color w:val="4C39CA"/>
          <w:sz w:val="26"/>
        </w:rPr>
        <w:t>[Virksomhedens navn]</w:t>
      </w:r>
    </w:p>
    <w:p>
      <w:pPr>
        <w:keepNext/>
        <w:spacing w:before="0" w:after="0" w:line="240" w:lineRule="auto"/>
      </w:pPr>
      <w:r>
        <w:rPr>
          <w:rFonts w:ascii="Arial" w:hAnsi="Arial" w:cs="Arial" w:eastAsia="Arial"/>
          <w:b w:val="0"/>
          <w:i w:val="0"/>
          <w:color w:val="110663"/>
          <w:sz w:val="64"/>
        </w:rPr>
        <w:t>Provisionsplan [2026]</w:t>
      </w:r>
    </w:p>
    <w:p>
      <w:pPr>
        <w:pBdr>
          <w:bottom w:val="single" w:sz="24" w:space="1" w:color="46D3F7"/>
        </w:pBdr>
        <w:spacing w:before="120" w:after="160" w:line="276" w:lineRule="auto"/>
        <w:ind w:right="7726"/>
      </w:pPr>
    </w:p>
    <w:p>
      <w:pPr>
        <w:spacing w:before="0" w:after="360" w:line="276" w:lineRule="auto"/>
      </w:pPr>
      <w:r>
        <w:rPr>
          <w:rFonts w:ascii="Arial" w:hAnsi="Arial" w:cs="Arial" w:eastAsia="Arial"/>
          <w:b w:val="0"/>
          <w:i w:val="0"/>
          <w:color w:val="A1A0BD"/>
          <w:sz w:val="22"/>
        </w:rPr>
        <w:t>Skabelon med vejledning · Gratis fra Prowi</w:t>
      </w:r>
    </w:p>
    <w:p>
      <w:pPr>
        <w:pBdr>
          <w:top w:val="single" w:sz="4" w:space="6" w:color="F4F1FE"/>
          <w:left w:val="single" w:sz="18" w:space="6" w:color="4C39CA"/>
          <w:bottom w:val="single" w:sz="4" w:space="6" w:color="F4F1FE"/>
          <w:right w:val="single" w:sz="4" w:space="6" w:color="F4F1FE"/>
        </w:pBdr>
        <w:shd w:val="clear" w:color="auto" w:fill="F4F1FE"/>
        <w:spacing w:before="0" w:after="240" w:line="276" w:lineRule="auto"/>
        <w:ind w:left="140" w:right="120"/>
      </w:pPr>
      <w:r>
        <w:rPr>
          <w:rFonts w:ascii="Arial" w:hAnsi="Arial" w:cs="Arial" w:eastAsia="Arial"/>
          <w:b/>
          <w:i w:val="0"/>
          <w:color w:val="110663"/>
          <w:sz w:val="21"/>
        </w:rPr>
        <w:t>Skabelonen er et udgangspunkt og ikke juridisk rådgivning. Provisionsplanen beskriver reglerne for hele salgsteamet. Den enkelte sælgers vilkår skal også stå i ansættelseskontrakten eller en provisionsaftale. Tilpas planen til jeres overenskomst og kontrakter, og få den gennemgået, hvis I er i tvivl.</w:t>
      </w:r>
    </w:p>
    <w:p>
      <w:pPr>
        <w:keepLines/>
        <w:pBdr>
          <w:top w:val="single" w:sz="4" w:space="6" w:color="F4F1FE"/>
          <w:left w:val="single" w:sz="4" w:space="6" w:color="F4F1FE"/>
          <w:bottom w:val="single" w:sz="4" w:space="6" w:color="F4F1FE"/>
          <w:right w:val="single" w:sz="4" w:space="6" w:color="F4F1FE"/>
        </w:pBdr>
        <w:shd w:val="clear" w:color="auto" w:fill="F4F1FE"/>
        <w:spacing w:before="120" w:after="220" w:line="264" w:lineRule="auto"/>
        <w:ind w:left="687" w:right="120"/>
      </w:pPr>
      <w:r>
        <w:rPr>
          <w:rFonts w:ascii="Arial" w:hAnsi="Arial" w:cs="Arial" w:eastAsia="Arial"/>
          <w:b/>
          <w:i/>
          <w:color w:val="4C39CA"/>
          <w:sz w:val="19"/>
        </w:rPr>
        <w:t xml:space="preserve">Vejledning: </w:t>
      </w:r>
      <w:r>
        <w:rPr>
          <w:rFonts w:ascii="Arial" w:hAnsi="Arial" w:cs="Arial" w:eastAsia="Arial"/>
          <w:b w:val="0"/>
          <w:i/>
          <w:color w:val="4A4775"/>
          <w:sz w:val="19"/>
        </w:rPr>
        <w:t xml:space="preserve">Felter i </w:t>
      </w:r>
      <w:r>
        <w:rPr>
          <w:rFonts w:ascii="Arial" w:hAnsi="Arial" w:cs="Arial" w:eastAsia="Arial"/>
          <w:b w:val="0"/>
          <w:i/>
          <w:color w:val="4C39CA"/>
          <w:sz w:val="19"/>
          <w:shd w:val="clear" w:color="auto" w:fill="E6E0FB"/>
        </w:rPr>
        <w:t>[lavendel klammer]</w:t>
      </w:r>
      <w:r>
        <w:rPr>
          <w:rFonts w:ascii="Arial" w:hAnsi="Arial" w:cs="Arial" w:eastAsia="Arial"/>
          <w:b w:val="0"/>
          <w:i/>
          <w:color w:val="4A4775"/>
          <w:sz w:val="19"/>
        </w:rPr>
        <w:t xml:space="preserve"> udfyldes. Hvor der står </w:t>
      </w:r>
      <w:r>
        <w:rPr>
          <w:rFonts w:ascii="Arial" w:hAnsi="Arial" w:cs="Arial" w:eastAsia="Arial"/>
          <w:b w:val="0"/>
          <w:i/>
          <w:color w:val="4C39CA"/>
          <w:sz w:val="19"/>
          <w:shd w:val="clear" w:color="auto" w:fill="E6E0FB"/>
        </w:rPr>
        <w:t>[Vælg: ... / ...]</w:t>
      </w:r>
      <w:r>
        <w:rPr>
          <w:rFonts w:ascii="Arial" w:hAnsi="Arial" w:cs="Arial" w:eastAsia="Arial"/>
          <w:b w:val="0"/>
          <w:i/>
          <w:color w:val="4A4775"/>
          <w:sz w:val="19"/>
        </w:rPr>
        <w:t>, beholder I den mulighed, der passer, og sletter resten. Alle afsnit, der starter med "Vejledning", er forklaringer til jer og slettes, før planen sendes ud. Tal i eksemplerne er eksempler. Skabelon fra Prowi (prowi.io).</w:t>
      </w:r>
    </w:p>
    <w:tbl>
      <w:tblPr>
        <w:tblW w:w="9026" w:type="dxa"/>
        <w:jc w:val="left"/>
        <w:tblBorders>
          <w:top w:val="single" w:sz="2" w:space="0" w:color="D9D5EA"/>
          <w:left w:val="single" w:sz="2" w:space="0" w:color="D9D5EA"/>
          <w:bottom w:val="single" w:sz="2" w:space="0" w:color="D9D5EA"/>
          <w:right w:val="single" w:sz="2" w:space="0" w:color="D9D5EA"/>
          <w:insideH w:val="single" w:sz="2" w:space="0" w:color="D9D5EA"/>
          <w:insideV w:val="single" w:sz="2" w:space="0" w:color="D9D5EA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3000"/>
        <w:gridCol w:w="6026"/>
      </w:tblGrid>
      <w:tr>
        <w:trPr>
          <w:tblHeader w:val="true"/>
          <w:cantSplit/>
        </w:trPr>
        <w:tc>
          <w:tcPr>
            <w:tcW w:type="dxa" w:w="3000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Planens nøgleoplysninger</w:t>
            </w:r>
          </w:p>
        </w:tc>
        <w:tc>
          <w:tcPr>
            <w:tcW w:type="dxa" w:w="6026"/>
            <w:shd w:val="clear" w:color="auto" w:fill="F4F1FE"/>
          </w:tcPr>
          <w:p>
            <w:pPr>
              <w:spacing w:before="0" w:after="0" w:line="252" w:lineRule="auto"/>
            </w:pP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Gælder for</w:t>
            </w:r>
          </w:p>
        </w:tc>
        <w:tc>
          <w:tcPr>
            <w:tcW w:type="dxa" w:w="60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[Roller, fx account executives og inside sales]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Planperiode</w:t>
            </w:r>
          </w:p>
        </w:tc>
        <w:tc>
          <w:tcPr>
            <w:tcW w:type="dxa" w:w="60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[1. januar 2026]</w:t>
            </w: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 xml:space="preserve"> til </w:t>
            </w: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[31. december 2026]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Afregningsperiode</w:t>
            </w:r>
          </w:p>
        </w:tc>
        <w:tc>
          <w:tcPr>
            <w:tcW w:type="dxa" w:w="60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[Vælg: måned / kvartal]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Planejer</w:t>
            </w:r>
          </w:p>
        </w:tc>
        <w:tc>
          <w:tcPr>
            <w:tcW w:type="dxa" w:w="60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[Navn, titel]</w:t>
            </w: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, kontakt ved spørgsmål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Godkendt af</w:t>
            </w:r>
          </w:p>
        </w:tc>
        <w:tc>
          <w:tcPr>
            <w:tcW w:type="dxa" w:w="60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[Navn, titel]</w:t>
            </w: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 xml:space="preserve"> den </w:t>
            </w: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[dato]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Version</w:t>
            </w:r>
          </w:p>
        </w:tc>
        <w:tc>
          <w:tcPr>
            <w:tcW w:type="dxa" w:w="60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[1.0]</w:t>
            </w:r>
          </w:p>
        </w:tc>
      </w:tr>
    </w:tbl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1. Formål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1.1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Planen skal belønne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[Vælg: ny omsætning / dækningsbidrag / nye kunder / fornyelser]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og gøre det tydeligt for hver sælger, hvad der giver provision, hvordan den beregnes, og hvornår den udbetales.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1.2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Planens mål for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[2026]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er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[fx at nå en omsætning på 30 mio. kr. og 60 nye kunder]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.</w:t>
      </w:r>
    </w:p>
    <w:p>
      <w:pPr>
        <w:keepLines/>
        <w:pBdr>
          <w:top w:val="single" w:sz="4" w:space="6" w:color="F4F1FE"/>
          <w:left w:val="single" w:sz="4" w:space="6" w:color="F4F1FE"/>
          <w:bottom w:val="single" w:sz="4" w:space="6" w:color="F4F1FE"/>
          <w:right w:val="single" w:sz="4" w:space="6" w:color="F4F1FE"/>
        </w:pBdr>
        <w:shd w:val="clear" w:color="auto" w:fill="F4F1FE"/>
        <w:spacing w:before="120" w:after="220" w:line="264" w:lineRule="auto"/>
        <w:ind w:left="687" w:right="120"/>
      </w:pPr>
      <w:r>
        <w:rPr>
          <w:rFonts w:ascii="Arial" w:hAnsi="Arial" w:cs="Arial" w:eastAsia="Arial"/>
          <w:b/>
          <w:i/>
          <w:color w:val="4C39CA"/>
          <w:sz w:val="19"/>
        </w:rPr>
        <w:t xml:space="preserve">Vejledning: </w:t>
      </w:r>
      <w:r>
        <w:rPr>
          <w:rFonts w:ascii="Arial" w:hAnsi="Arial" w:cs="Arial" w:eastAsia="Arial"/>
          <w:b w:val="0"/>
          <w:i/>
          <w:color w:val="4A4775"/>
          <w:sz w:val="19"/>
        </w:rPr>
        <w:t>Skriv formålet i en eller to sætninger. Belønner planen noget andet end det, virksomheden har brug for, får I mere af det forkerte.</w:t>
      </w: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2. Hvem er omfattet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2.1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Planen gælder for medarbejdere i disse roller: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[rolle 1, rolle 2]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. Den enkelte sælgers rolle, kvote og satser står i bilag A.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2.2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>En sælger, der starter i løbet af planperioden, er omfattet fra startdatoen med en kvote, der er nedsat for opstartsperioden efter punkt 4.3.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2.3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Skifter en sælger rolle eller territorie, gælder de nye vilkår fra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[Vælg: den første dag i den følgende måned / datoen for skiftet]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. Salg, der er registreret før skiftet, afregnes efter de hidtidige vilkår.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2.4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>Fratræder en sælger, gælder reglerne om provision ved fratræden i sælgerens provisionsaftale.</w:t>
      </w: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3. Planperiode og afregning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3.1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Planen gælder fra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[dato]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til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[dato]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. Provision beregnes og afregnes pr.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[Vælg: kalendermåned / kvartal]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3.2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Kvoter og acceleratorer gælder pr.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[Vælg: måned / kvartal / år]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.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[Hvis år: Provisionen udbetales løbende med basissatsen, og acceleratoren afregnes, når årskvoten er nået.]</w:t>
      </w: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4. Kvote og mål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4.1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>Hver sælger har en kvote for planperioden, fordelt på måneder efter sæson. Kvoten står i bilag A.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4.2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Kvoten er fastsat ud fra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[virksomhedens omsætningsmål, territoriets potentiale og sælgerens kapacitet]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og meddeles skriftligt senest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[dato]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4.3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Nye sælgere har en nedsat kvote i opstartsperioden: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[25]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 % i første måned,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[50]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 % i anden og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[75]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 % i tredje måned. Derefter fuld kvote.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4.4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Ved fravær med løn, fx ferie ud over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[normal ferie]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, sygdom og barsel,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[Vælg: nedsættes kvoten forholdsmæssigt / medregnes den skønnede provision i målopfyldelsen]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efter provisionsaftalen.</w:t>
      </w:r>
    </w:p>
    <w:p>
      <w:pPr>
        <w:keepLines/>
        <w:pBdr>
          <w:top w:val="single" w:sz="4" w:space="6" w:color="F4F1FE"/>
          <w:left w:val="single" w:sz="4" w:space="6" w:color="F4F1FE"/>
          <w:bottom w:val="single" w:sz="4" w:space="6" w:color="F4F1FE"/>
          <w:right w:val="single" w:sz="4" w:space="6" w:color="F4F1FE"/>
        </w:pBdr>
        <w:shd w:val="clear" w:color="auto" w:fill="F4F1FE"/>
        <w:spacing w:before="120" w:after="220" w:line="264" w:lineRule="auto"/>
        <w:ind w:left="687" w:right="120"/>
      </w:pPr>
      <w:r>
        <w:rPr>
          <w:rFonts w:ascii="Arial" w:hAnsi="Arial" w:cs="Arial" w:eastAsia="Arial"/>
          <w:b/>
          <w:i/>
          <w:color w:val="4C39CA"/>
          <w:sz w:val="19"/>
        </w:rPr>
        <w:t xml:space="preserve">Vejledning: </w:t>
      </w:r>
      <w:r>
        <w:rPr>
          <w:rFonts w:ascii="Arial" w:hAnsi="Arial" w:cs="Arial" w:eastAsia="Arial"/>
          <w:b w:val="0"/>
          <w:i/>
          <w:color w:val="4A4775"/>
          <w:sz w:val="19"/>
        </w:rPr>
        <w:t>Summen af kvoterne er typisk højere end virksomhedens mål (over-assignment), så målet kan nås, selv om ikke alle sælgere når 100 %. Brug gerne vores gratis kvoteplan-skabelon til at regne kvoterne ud.</w:t>
      </w: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5. Provisionsgrundlag og satser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5.1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Provision beregnes af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[Vælg: nettoomsætning ekskl. moms, fragt og rabatter / dækningsbidrag / første års kontraktværdi (ACV)]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for salg, der er registreret som vundet i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[CRM-system]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5.2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Følgende giver ikke provision: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[fx salg til koncernforbundne selskaber, gratis perioder, kreditnotaer og fornyelser]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5.3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>Satserne pr. rolle:</w:t>
      </w:r>
    </w:p>
    <w:p>
      <w:pPr>
        <w:spacing w:before="0" w:after="60" w:line="276" w:lineRule="auto"/>
      </w:pPr>
    </w:p>
    <w:tbl>
      <w:tblPr>
        <w:tblW w:w="9026" w:type="dxa"/>
        <w:jc w:val="left"/>
        <w:tblBorders>
          <w:top w:val="single" w:sz="2" w:space="0" w:color="D9D5EA"/>
          <w:left w:val="single" w:sz="2" w:space="0" w:color="D9D5EA"/>
          <w:bottom w:val="single" w:sz="2" w:space="0" w:color="D9D5EA"/>
          <w:right w:val="single" w:sz="2" w:space="0" w:color="D9D5EA"/>
          <w:insideH w:val="single" w:sz="2" w:space="0" w:color="D9D5EA"/>
          <w:insideV w:val="single" w:sz="2" w:space="0" w:color="D9D5EA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2400"/>
        <w:gridCol w:w="2200"/>
        <w:gridCol w:w="2200"/>
        <w:gridCol w:w="2226"/>
      </w:tblGrid>
      <w:tr>
        <w:trPr>
          <w:tblHeader w:val="true"/>
          <w:cantSplit/>
        </w:trPr>
        <w:tc>
          <w:tcPr>
            <w:tcW w:type="dxa" w:w="2400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Rolle</w:t>
            </w:r>
          </w:p>
        </w:tc>
        <w:tc>
          <w:tcPr>
            <w:tcW w:type="dxa" w:w="2200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Sats op til kvote</w:t>
            </w:r>
          </w:p>
        </w:tc>
        <w:tc>
          <w:tcPr>
            <w:tcW w:type="dxa" w:w="2200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Sats over kvote</w:t>
            </w:r>
          </w:p>
        </w:tc>
        <w:tc>
          <w:tcPr>
            <w:tcW w:type="dxa" w:w="2226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Loft pr. periode</w:t>
            </w:r>
          </w:p>
        </w:tc>
      </w:tr>
      <w:tr>
        <w:trPr>
          <w:cantSplit/>
        </w:trPr>
        <w:tc>
          <w:tcPr>
            <w:tcW w:type="dxa" w:w="24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[Account executive]</w:t>
            </w:r>
          </w:p>
        </w:tc>
        <w:tc>
          <w:tcPr>
            <w:tcW w:type="dxa" w:w="22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[8]</w:t>
            </w: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 xml:space="preserve"> %</w:t>
            </w:r>
          </w:p>
        </w:tc>
        <w:tc>
          <w:tcPr>
            <w:tcW w:type="dxa" w:w="22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[12]</w:t>
            </w: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 xml:space="preserve"> %</w:t>
            </w:r>
          </w:p>
        </w:tc>
        <w:tc>
          <w:tcPr>
            <w:tcW w:type="dxa" w:w="22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[Intet loft]</w:t>
            </w:r>
          </w:p>
        </w:tc>
      </w:tr>
      <w:tr>
        <w:trPr>
          <w:cantSplit/>
        </w:trPr>
        <w:tc>
          <w:tcPr>
            <w:tcW w:type="dxa" w:w="24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[Inside sales]</w:t>
            </w:r>
          </w:p>
        </w:tc>
        <w:tc>
          <w:tcPr>
            <w:tcW w:type="dxa" w:w="22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[5]</w:t>
            </w: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 xml:space="preserve"> %</w:t>
            </w:r>
          </w:p>
        </w:tc>
        <w:tc>
          <w:tcPr>
            <w:tcW w:type="dxa" w:w="22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[7,5]</w:t>
            </w: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 xml:space="preserve"> %</w:t>
            </w:r>
          </w:p>
        </w:tc>
        <w:tc>
          <w:tcPr>
            <w:tcW w:type="dxa" w:w="22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[200]</w:t>
            </w: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 xml:space="preserve"> % af variabel løn</w:t>
            </w:r>
          </w:p>
        </w:tc>
      </w:tr>
      <w:tr>
        <w:trPr>
          <w:cantSplit/>
        </w:trPr>
        <w:tc>
          <w:tcPr>
            <w:tcW w:type="dxa" w:w="24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[Rolle 3]</w:t>
            </w:r>
          </w:p>
        </w:tc>
        <w:tc>
          <w:tcPr>
            <w:tcW w:type="dxa" w:w="22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22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22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</w:tr>
    </w:tbl>
    <w:p>
      <w:pPr>
        <w:spacing w:before="0" w:after="60" w:line="276" w:lineRule="auto"/>
      </w:pPr>
    </w:p>
    <w:p>
      <w:pPr>
        <w:spacing w:before="0" w:after="120" w:line="276" w:lineRule="auto"/>
      </w:pPr>
      <w:r>
        <w:rPr>
          <w:rFonts w:ascii="Arial" w:hAnsi="Arial" w:cs="Arial" w:eastAsia="Arial"/>
          <w:b w:val="0"/>
          <w:i w:val="0"/>
          <w:color w:val="110663"/>
          <w:sz w:val="21"/>
        </w:rPr>
        <w:t>Eksempel: En account executive med en månedskvote på 300.000 kr. sælger for 360.000 kr. Provisionen er 300.000 × 8 % + 60.000 × 12 % = 24.000 + 7.200 = 31.200 kr.</w:t>
      </w:r>
    </w:p>
    <w:p>
      <w:pPr>
        <w:keepLines/>
        <w:pBdr>
          <w:top w:val="single" w:sz="4" w:space="6" w:color="F4F1FE"/>
          <w:left w:val="single" w:sz="4" w:space="6" w:color="F4F1FE"/>
          <w:bottom w:val="single" w:sz="4" w:space="6" w:color="F4F1FE"/>
          <w:right w:val="single" w:sz="4" w:space="6" w:color="F4F1FE"/>
        </w:pBdr>
        <w:shd w:val="clear" w:color="auto" w:fill="F4F1FE"/>
        <w:spacing w:before="120" w:after="220" w:line="264" w:lineRule="auto"/>
        <w:ind w:left="687" w:right="120"/>
      </w:pPr>
      <w:r>
        <w:rPr>
          <w:rFonts w:ascii="Arial" w:hAnsi="Arial" w:cs="Arial" w:eastAsia="Arial"/>
          <w:b/>
          <w:i/>
          <w:color w:val="4C39CA"/>
          <w:sz w:val="19"/>
        </w:rPr>
        <w:t xml:space="preserve">Vejledning: </w:t>
      </w:r>
      <w:r>
        <w:rPr>
          <w:rFonts w:ascii="Arial" w:hAnsi="Arial" w:cs="Arial" w:eastAsia="Arial"/>
          <w:b w:val="0"/>
          <w:i/>
          <w:color w:val="4A4775"/>
          <w:sz w:val="19"/>
        </w:rPr>
        <w:t>Provisionssatsen er typisk den variable løn ved 100 % divideret med kvoten. Skriv altid et regneeksempel ind i planen, så alle læser satserne ens. Vores gratis OTE og pay mix skabelon regner satserne ud fra OTE og kvote.</w:t>
      </w: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6. Acceleratorer, deceleratorer og loft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6.1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>Over 100 % af kvoten gælder satsen over kvote i punkt 5.3, men kun for salget over kvoten.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6.2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[Hvis decelerator:]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Under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[50]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 % af kvoten er satsen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[halveret / 0 %]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6.3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[Hvis loft:]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Provisionen er højst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[beløb eller procent af variabel løn]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pr.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[periode]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. Ekstraordinært store handler over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[beløb]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behandles efter punkt 13.3.</w:t>
      </w:r>
    </w:p>
    <w:p>
      <w:pPr>
        <w:keepLines/>
        <w:pBdr>
          <w:top w:val="single" w:sz="4" w:space="6" w:color="F4F1FE"/>
          <w:left w:val="single" w:sz="4" w:space="6" w:color="F4F1FE"/>
          <w:bottom w:val="single" w:sz="4" w:space="6" w:color="F4F1FE"/>
          <w:right w:val="single" w:sz="4" w:space="6" w:color="F4F1FE"/>
        </w:pBdr>
        <w:shd w:val="clear" w:color="auto" w:fill="F4F1FE"/>
        <w:spacing w:before="120" w:after="220" w:line="264" w:lineRule="auto"/>
        <w:ind w:left="687" w:right="120"/>
      </w:pPr>
      <w:r>
        <w:rPr>
          <w:rFonts w:ascii="Arial" w:hAnsi="Arial" w:cs="Arial" w:eastAsia="Arial"/>
          <w:b/>
          <w:i/>
          <w:color w:val="4C39CA"/>
          <w:sz w:val="19"/>
        </w:rPr>
        <w:t xml:space="preserve">Vejledning: </w:t>
      </w:r>
      <w:r>
        <w:rPr>
          <w:rFonts w:ascii="Arial" w:hAnsi="Arial" w:cs="Arial" w:eastAsia="Arial"/>
          <w:b w:val="0"/>
          <w:i/>
          <w:color w:val="4A4775"/>
          <w:sz w:val="19"/>
        </w:rPr>
        <w:t>Et loft gør omkostningen forudsigelig, men kan få sælgere til at udskyde handler. Overvej i stedet en regel om, at provisionen af meget store handler aftales skriftligt, før handlen lukkes (punkt 13.3).</w:t>
      </w: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7. Kreditering og split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7.1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Et salg krediteres den sælger, der står som ejer af handlen i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[CRM-system]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, når handlen markeres som vundet.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7.2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Har flere bidraget, fordeles provisionen efter tabellen nedenfor. Andre fordelinger aftales skriftligt med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[salgschefen]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, før handlen lukkes.</w:t>
      </w:r>
    </w:p>
    <w:p>
      <w:pPr>
        <w:spacing w:before="0" w:after="60" w:line="276" w:lineRule="auto"/>
      </w:pPr>
    </w:p>
    <w:tbl>
      <w:tblPr>
        <w:tblW w:w="9026" w:type="dxa"/>
        <w:jc w:val="left"/>
        <w:tblBorders>
          <w:top w:val="single" w:sz="2" w:space="0" w:color="D9D5EA"/>
          <w:left w:val="single" w:sz="2" w:space="0" w:color="D9D5EA"/>
          <w:bottom w:val="single" w:sz="2" w:space="0" w:color="D9D5EA"/>
          <w:right w:val="single" w:sz="2" w:space="0" w:color="D9D5EA"/>
          <w:insideH w:val="single" w:sz="2" w:space="0" w:color="D9D5EA"/>
          <w:insideV w:val="single" w:sz="2" w:space="0" w:color="D9D5EA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4513"/>
        <w:gridCol w:w="2256"/>
        <w:gridCol w:w="2257"/>
      </w:tblGrid>
      <w:tr>
        <w:trPr>
          <w:tblHeader w:val="true"/>
          <w:cantSplit/>
        </w:trPr>
        <w:tc>
          <w:tcPr>
            <w:tcW w:type="dxa" w:w="4513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Situation</w:t>
            </w:r>
          </w:p>
        </w:tc>
        <w:tc>
          <w:tcPr>
            <w:tcW w:type="dxa" w:w="2256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Sælger 1</w:t>
            </w:r>
          </w:p>
        </w:tc>
        <w:tc>
          <w:tcPr>
            <w:tcW w:type="dxa" w:w="2257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Sælger 2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[SDR har booket mødet, AE lukker]</w:t>
            </w:r>
          </w:p>
        </w:tc>
        <w:tc>
          <w:tcPr>
            <w:tcW w:type="dxa" w:w="225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[AE 90 %]</w:t>
            </w:r>
          </w:p>
        </w:tc>
        <w:tc>
          <w:tcPr>
            <w:tcW w:type="dxa" w:w="2257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[SDR 10 %]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[Kunden har afdelinger i to territorier]</w:t>
            </w:r>
          </w:p>
        </w:tc>
        <w:tc>
          <w:tcPr>
            <w:tcW w:type="dxa" w:w="225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[50 %]</w:t>
            </w:r>
          </w:p>
        </w:tc>
        <w:tc>
          <w:tcPr>
            <w:tcW w:type="dxa" w:w="2257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[50 %]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[Key account med støtte fra specialist]</w:t>
            </w:r>
          </w:p>
        </w:tc>
        <w:tc>
          <w:tcPr>
            <w:tcW w:type="dxa" w:w="225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[80 %]</w:t>
            </w:r>
          </w:p>
        </w:tc>
        <w:tc>
          <w:tcPr>
            <w:tcW w:type="dxa" w:w="2257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[20 %]</w:t>
            </w:r>
          </w:p>
        </w:tc>
      </w:tr>
    </w:tbl>
    <w:p>
      <w:pPr>
        <w:spacing w:before="0" w:after="60" w:line="276" w:lineRule="auto"/>
      </w:pP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7.3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>Kunder på listen over husets kunder (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[house accounts]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) giver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[Vælg: ingen provision / provision med x %]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7.4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Uenighed om kreditering afgøres af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[salgschefen]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inden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[10]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dage efter, at den er meldt.</w:t>
      </w:r>
    </w:p>
    <w:p>
      <w:pPr>
        <w:keepLines/>
        <w:pBdr>
          <w:top w:val="single" w:sz="4" w:space="6" w:color="F4F1FE"/>
          <w:left w:val="single" w:sz="4" w:space="6" w:color="F4F1FE"/>
          <w:bottom w:val="single" w:sz="4" w:space="6" w:color="F4F1FE"/>
          <w:right w:val="single" w:sz="4" w:space="6" w:color="F4F1FE"/>
        </w:pBdr>
        <w:shd w:val="clear" w:color="auto" w:fill="F4F1FE"/>
        <w:spacing w:before="120" w:after="220" w:line="264" w:lineRule="auto"/>
        <w:ind w:left="687" w:right="120"/>
      </w:pPr>
      <w:r>
        <w:rPr>
          <w:rFonts w:ascii="Arial" w:hAnsi="Arial" w:cs="Arial" w:eastAsia="Arial"/>
          <w:b/>
          <w:i/>
          <w:color w:val="4C39CA"/>
          <w:sz w:val="19"/>
        </w:rPr>
        <w:t xml:space="preserve">Vejledning: </w:t>
      </w:r>
      <w:r>
        <w:rPr>
          <w:rFonts w:ascii="Arial" w:hAnsi="Arial" w:cs="Arial" w:eastAsia="Arial"/>
          <w:b w:val="0"/>
          <w:i/>
          <w:color w:val="4A4775"/>
          <w:sz w:val="19"/>
        </w:rPr>
        <w:t>Kreditering er den hyppigste kilde til uenighed i et team. Skriv reglerne ned, før der opstår en sag, og sørg for, at ejeren i CRM er opdateret, når handlen lukkes.</w:t>
      </w: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8. Hvornår et salg tæller, og hvornår der udbetales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8.1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Et salg tæller i den måned, hvor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[Vælg: kunden har underskrevet / kunden er faktureret / kunden har betalt]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8.2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Provisionen udbetales med lønnen for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[Vælg: måneden efter afregningsperioden / samme måned]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, når opgørelsen er godkendt efter punkt 11.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8.3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[Hvis forskud:]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Nye sælgere får et forskud på provision på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[beløb]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kr. pr. måned i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[3]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måneder, som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[Vælg: modregnes i senere provision / ikke modregnes (garanti)]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.</w:t>
      </w: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9. Clawback og korrektioner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9.1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Annullerer kunden, eller betaler kunden ikke, inden for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[3]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måneder, bortfalder provisionen af den del, efter reglerne i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[bilag om clawback-regler / provisionsaftalen]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9.2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>Clawback modregnes i senere provision og vises som en særskilt linje på opgørelsen med den oprindelige handel.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9.3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>Fejl i beregningen rettes i den førstkommende opgørelse, uanset hvem fejlen er til fordel for.</w:t>
      </w:r>
    </w:p>
    <w:p>
      <w:pPr>
        <w:keepLines/>
        <w:pBdr>
          <w:top w:val="single" w:sz="4" w:space="6" w:color="F4F1FE"/>
          <w:left w:val="single" w:sz="4" w:space="6" w:color="F4F1FE"/>
          <w:bottom w:val="single" w:sz="4" w:space="6" w:color="F4F1FE"/>
          <w:right w:val="single" w:sz="4" w:space="6" w:color="F4F1FE"/>
        </w:pBdr>
        <w:shd w:val="clear" w:color="auto" w:fill="F4F1FE"/>
        <w:spacing w:before="120" w:after="220" w:line="264" w:lineRule="auto"/>
        <w:ind w:left="687" w:right="120"/>
      </w:pPr>
      <w:r>
        <w:rPr>
          <w:rFonts w:ascii="Arial" w:hAnsi="Arial" w:cs="Arial" w:eastAsia="Arial"/>
          <w:b/>
          <w:i/>
          <w:color w:val="4C39CA"/>
          <w:sz w:val="19"/>
        </w:rPr>
        <w:t xml:space="preserve">Vejledning: </w:t>
      </w:r>
      <w:r>
        <w:rPr>
          <w:rFonts w:ascii="Arial" w:hAnsi="Arial" w:cs="Arial" w:eastAsia="Arial"/>
          <w:b w:val="0"/>
          <w:i/>
          <w:color w:val="4A4775"/>
          <w:sz w:val="19"/>
        </w:rPr>
        <w:t>Danske arbejdsgivere kan ikke bare trække et beløb i lønnen. Beskriv clawback i detaljer i et særskilt bilag, og få reglen gennemgået. Vores gratis skabelon til clawback-regler har tekst til det.</w:t>
      </w: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10. Opgørelse og indsigelser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10.1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Hver sælger får en skriftlig opgørelse senest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[den 5. hverdag]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efter afregningsperioden. Opgørelsen viser handler, grundlag, sats, acceleratorer, korrektioner, clawbacks og beløbet til udbetaling.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10.2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Mener sælgeren, at opgørelsen er forkert, sendes en skriftlig indsigelse til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[nærmeste leder]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inden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[30]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dage med en kort begrundelse.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10.3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[Nærmeste leder]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svarer inden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[10]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arbejdsdage. Kan sagen ikke løses, går den videre til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[salgsdirektør / HR / økonomichef]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, som træffer afgørelse inden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[10]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arbejdsdage.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10.4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>Sælgeren kan få grundlaget for beregningen af egne salg udleveret og kan inddrage sin tillidsrepræsentant.</w:t>
      </w:r>
    </w:p>
    <w:p>
      <w:pPr>
        <w:keepLines/>
        <w:pBdr>
          <w:top w:val="single" w:sz="4" w:space="6" w:color="F4F1FE"/>
          <w:left w:val="single" w:sz="4" w:space="6" w:color="F4F1FE"/>
          <w:bottom w:val="single" w:sz="4" w:space="6" w:color="F4F1FE"/>
          <w:right w:val="single" w:sz="4" w:space="6" w:color="F4F1FE"/>
        </w:pBdr>
        <w:shd w:val="clear" w:color="auto" w:fill="F4F1FE"/>
        <w:spacing w:before="120" w:after="220" w:line="264" w:lineRule="auto"/>
        <w:ind w:left="687" w:right="120"/>
      </w:pPr>
      <w:r>
        <w:rPr>
          <w:rFonts w:ascii="Arial" w:hAnsi="Arial" w:cs="Arial" w:eastAsia="Arial"/>
          <w:b/>
          <w:i/>
          <w:color w:val="4C39CA"/>
          <w:sz w:val="19"/>
        </w:rPr>
        <w:t xml:space="preserve">Vejledning: </w:t>
      </w:r>
      <w:r>
        <w:rPr>
          <w:rFonts w:ascii="Arial" w:hAnsi="Arial" w:cs="Arial" w:eastAsia="Arial"/>
          <w:b w:val="0"/>
          <w:i/>
          <w:color w:val="4A4775"/>
          <w:sz w:val="19"/>
        </w:rPr>
        <w:t>En fast indsigelsesfrist skaber ro, men den kan ikke afskære krav, som medarbejderen har efter loven. Gem opgørelser og planversioner i mindst 3 år.</w:t>
      </w: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11. Godkendelser</w:t>
      </w:r>
    </w:p>
    <w:p>
      <w:pPr>
        <w:spacing w:before="0" w:after="60" w:line="276" w:lineRule="auto"/>
      </w:pPr>
    </w:p>
    <w:tbl>
      <w:tblPr>
        <w:tblW w:w="9026" w:type="dxa"/>
        <w:jc w:val="left"/>
        <w:tblBorders>
          <w:top w:val="single" w:sz="2" w:space="0" w:color="D9D5EA"/>
          <w:left w:val="single" w:sz="2" w:space="0" w:color="D9D5EA"/>
          <w:bottom w:val="single" w:sz="2" w:space="0" w:color="D9D5EA"/>
          <w:right w:val="single" w:sz="2" w:space="0" w:color="D9D5EA"/>
          <w:insideH w:val="single" w:sz="2" w:space="0" w:color="D9D5EA"/>
          <w:insideV w:val="single" w:sz="2" w:space="0" w:color="D9D5EA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4000"/>
        <w:gridCol w:w="5026"/>
      </w:tblGrid>
      <w:tr>
        <w:trPr>
          <w:tblHeader w:val="true"/>
          <w:cantSplit/>
        </w:trPr>
        <w:tc>
          <w:tcPr>
            <w:tcW w:type="dxa" w:w="4000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Hvad</w:t>
            </w:r>
          </w:p>
        </w:tc>
        <w:tc>
          <w:tcPr>
            <w:tcW w:type="dxa" w:w="5026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Godkendes af</w:t>
            </w:r>
          </w:p>
        </w:tc>
      </w:tr>
      <w:tr>
        <w:trPr>
          <w:cantSplit/>
        </w:trPr>
        <w:tc>
          <w:tcPr>
            <w:tcW w:type="dxa" w:w="40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Planen og ændringer i planen</w:t>
            </w:r>
          </w:p>
        </w:tc>
        <w:tc>
          <w:tcPr>
            <w:tcW w:type="dxa" w:w="50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[Administrerende direktør og økonomichef]</w:t>
            </w:r>
          </w:p>
        </w:tc>
      </w:tr>
      <w:tr>
        <w:trPr>
          <w:cantSplit/>
        </w:trPr>
        <w:tc>
          <w:tcPr>
            <w:tcW w:type="dxa" w:w="40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Kvoter pr. sælger (bilag A)</w:t>
            </w:r>
          </w:p>
        </w:tc>
        <w:tc>
          <w:tcPr>
            <w:tcW w:type="dxa" w:w="50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[Salgsdirektør]</w:t>
            </w:r>
          </w:p>
        </w:tc>
      </w:tr>
      <w:tr>
        <w:trPr>
          <w:cantSplit/>
        </w:trPr>
        <w:tc>
          <w:tcPr>
            <w:tcW w:type="dxa" w:w="40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Splits og undtagelser</w:t>
            </w:r>
          </w:p>
        </w:tc>
        <w:tc>
          <w:tcPr>
            <w:tcW w:type="dxa" w:w="50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[Salgsdirektør]</w:t>
            </w: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, skriftligt før handlen lukkes</w:t>
            </w:r>
          </w:p>
        </w:tc>
      </w:tr>
      <w:tr>
        <w:trPr>
          <w:cantSplit/>
        </w:trPr>
        <w:tc>
          <w:tcPr>
            <w:tcW w:type="dxa" w:w="40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Månedlig opgørelse pr. sælger</w:t>
            </w:r>
          </w:p>
        </w:tc>
        <w:tc>
          <w:tcPr>
            <w:tcW w:type="dxa" w:w="50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[Nærmeste leder]</w:t>
            </w: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 xml:space="preserve">, derefter </w:t>
            </w: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[økonomi]</w:t>
            </w:r>
          </w:p>
        </w:tc>
      </w:tr>
      <w:tr>
        <w:trPr>
          <w:cantSplit/>
        </w:trPr>
        <w:tc>
          <w:tcPr>
            <w:tcW w:type="dxa" w:w="40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Udbetaling via lønsystemet</w:t>
            </w:r>
          </w:p>
        </w:tc>
        <w:tc>
          <w:tcPr>
            <w:tcW w:type="dxa" w:w="50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[Økonomi / HR]</w:t>
            </w:r>
          </w:p>
        </w:tc>
      </w:tr>
    </w:tbl>
    <w:p>
      <w:pPr>
        <w:spacing w:before="0" w:after="60" w:line="276" w:lineRule="auto"/>
      </w:pP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12. Ændringer af planen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12.1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Planen gælder for planperioden. Nye kvoter og satser for en ny periode meddeles skriftligt senest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[dato]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>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12.2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>Væsentlige ændringer i løbet af perioden, der stiller sælgerne ringere, fx lavere satser, et nyt grundlag eller et nyt loft, varsles individuelt og skriftligt med den enkelte sælgers opsigelsesvarsel.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12.3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>Andre ændringer meddeles skriftligt senest den dag, de træder i kraft.</w:t>
      </w:r>
    </w:p>
    <w:p>
      <w:pPr>
        <w:keepLines/>
        <w:pBdr>
          <w:top w:val="single" w:sz="4" w:space="6" w:color="F4F1FE"/>
          <w:left w:val="single" w:sz="4" w:space="6" w:color="F4F1FE"/>
          <w:bottom w:val="single" w:sz="4" w:space="6" w:color="F4F1FE"/>
          <w:right w:val="single" w:sz="4" w:space="6" w:color="F4F1FE"/>
        </w:pBdr>
        <w:shd w:val="clear" w:color="auto" w:fill="F4F1FE"/>
        <w:spacing w:before="120" w:after="220" w:line="264" w:lineRule="auto"/>
        <w:ind w:left="687" w:right="120"/>
      </w:pPr>
      <w:r>
        <w:rPr>
          <w:rFonts w:ascii="Arial" w:hAnsi="Arial" w:cs="Arial" w:eastAsia="Arial"/>
          <w:b/>
          <w:i/>
          <w:color w:val="4C39CA"/>
          <w:sz w:val="19"/>
        </w:rPr>
        <w:t xml:space="preserve">Vejledning: </w:t>
      </w:r>
      <w:r>
        <w:rPr>
          <w:rFonts w:ascii="Arial" w:hAnsi="Arial" w:cs="Arial" w:eastAsia="Arial"/>
          <w:b w:val="0"/>
          <w:i/>
          <w:color w:val="4A4775"/>
          <w:sz w:val="19"/>
        </w:rPr>
        <w:t>Et generelt forbehold om, at planen kan ændres til enhver tid, fjerner ikke nødvendigvis pligten til at varsle en væsentlig ændring. Ændringer i lønoplysningerne skal meddeles skriftligt senest den dag, de træder i kraft (ansættelsesbevisloven § 5).</w:t>
      </w: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13. Særlige situationer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13.1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Tvivl om, hvordan planen skal forstås, afgøres af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[planejeren]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efter drøftelse med sælgeren.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13.2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>Handler, der er oprettet eller ændret for at opnå provision, uden at der er et reelt salg, giver ikke provision.</w:t>
      </w:r>
    </w:p>
    <w:p>
      <w:pPr>
        <w:tabs>
          <w:tab w:pos="567" w:val="left"/>
        </w:tabs>
        <w:spacing w:before="0" w:after="120" w:line="276" w:lineRule="auto"/>
        <w:ind w:left="567" w:hanging="567"/>
      </w:pPr>
      <w:r>
        <w:rPr>
          <w:rFonts w:ascii="Arial" w:hAnsi="Arial" w:cs="Arial" w:eastAsia="Arial"/>
          <w:b/>
          <w:i w:val="0"/>
          <w:color w:val="4C39CA"/>
          <w:sz w:val="21"/>
        </w:rPr>
        <w:t>13.3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ab/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Provisionen af handler over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[beløb]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aftales skriftligt mellem Virksomheden og sælgeren, før handlen lukkes. Er der ikke indgået en sådan aftale, gælder planens almindelige regler.</w:t>
      </w: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14. Bekræftelse</w:t>
      </w:r>
    </w:p>
    <w:p>
      <w:pPr>
        <w:spacing w:before="0" w:after="120" w:line="276" w:lineRule="auto"/>
      </w:pP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Jeg har modtaget og læst provisionsplanen for </w:t>
      </w:r>
      <w:r>
        <w:rPr>
          <w:rFonts w:ascii="Arial" w:hAnsi="Arial" w:cs="Arial" w:eastAsia="Arial"/>
          <w:b w:val="0"/>
          <w:i w:val="0"/>
          <w:color w:val="4C39CA"/>
          <w:sz w:val="21"/>
          <w:shd w:val="clear" w:color="auto" w:fill="E6E0FB"/>
        </w:rPr>
        <w:t>[2026]</w:t>
      </w:r>
      <w:r>
        <w:rPr>
          <w:rFonts w:ascii="Arial" w:hAnsi="Arial" w:cs="Arial" w:eastAsia="Arial"/>
          <w:b w:val="0"/>
          <w:i w:val="0"/>
          <w:color w:val="110663"/>
          <w:sz w:val="21"/>
        </w:rPr>
        <w:t xml:space="preserve"> og bilag A med mine egne vilkår.</w:t>
      </w:r>
    </w:p>
    <w:p>
      <w:pPr>
        <w:spacing w:before="0" w:after="60" w:line="276" w:lineRule="auto"/>
      </w:pPr>
    </w:p>
    <w:tbl>
      <w:tblPr>
        <w:tblW w:w="9026" w:type="dxa"/>
        <w:jc w:val="left"/>
        <w:tblBorders>
          <w:top w:val="single" w:sz="2" w:space="0" w:color="D9D5EA"/>
          <w:left w:val="single" w:sz="2" w:space="0" w:color="D9D5EA"/>
          <w:bottom w:val="single" w:sz="2" w:space="0" w:color="D9D5EA"/>
          <w:right w:val="single" w:sz="2" w:space="0" w:color="D9D5EA"/>
          <w:insideH w:val="single" w:sz="2" w:space="0" w:color="D9D5EA"/>
          <w:insideV w:val="single" w:sz="2" w:space="0" w:color="D9D5EA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type="dxa" w:w="4513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Sælger</w:t>
            </w:r>
          </w:p>
        </w:tc>
        <w:tc>
          <w:tcPr>
            <w:tcW w:type="dxa" w:w="4513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For Virksomheden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 xml:space="preserve">Sted og dato: </w:t>
            </w: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                   ]</w:t>
            </w:r>
          </w:p>
        </w:tc>
        <w:tc>
          <w:tcPr>
            <w:tcW w:type="dxa" w:w="4513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 xml:space="preserve">Sted og dato: </w:t>
            </w: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                   ]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before="72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_______________________________</w:t>
            </w:r>
          </w:p>
        </w:tc>
        <w:tc>
          <w:tcPr>
            <w:tcW w:type="dxa" w:w="4513"/>
          </w:tcPr>
          <w:p>
            <w:pPr>
              <w:spacing w:before="72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>_______________________________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[Navn]</w:t>
            </w:r>
          </w:p>
        </w:tc>
        <w:tc>
          <w:tcPr>
            <w:tcW w:type="dxa" w:w="4513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[Navn og titel]</w:t>
            </w:r>
          </w:p>
        </w:tc>
      </w:tr>
    </w:tbl>
    <w:p>
      <w:pPr>
        <w:keepLines/>
        <w:pBdr>
          <w:top w:val="single" w:sz="4" w:space="6" w:color="F4F1FE"/>
          <w:left w:val="single" w:sz="4" w:space="6" w:color="F4F1FE"/>
          <w:bottom w:val="single" w:sz="4" w:space="6" w:color="F4F1FE"/>
          <w:right w:val="single" w:sz="4" w:space="6" w:color="F4F1FE"/>
        </w:pBdr>
        <w:shd w:val="clear" w:color="auto" w:fill="F4F1FE"/>
        <w:spacing w:before="120" w:after="220" w:line="264" w:lineRule="auto"/>
        <w:ind w:left="687" w:right="120"/>
      </w:pPr>
      <w:r>
        <w:rPr>
          <w:rFonts w:ascii="Arial" w:hAnsi="Arial" w:cs="Arial" w:eastAsia="Arial"/>
          <w:b/>
          <w:i/>
          <w:color w:val="4C39CA"/>
          <w:sz w:val="19"/>
        </w:rPr>
        <w:t xml:space="preserve">Vejledning: </w:t>
      </w:r>
      <w:r>
        <w:rPr>
          <w:rFonts w:ascii="Arial" w:hAnsi="Arial" w:cs="Arial" w:eastAsia="Arial"/>
          <w:b w:val="0"/>
          <w:i/>
          <w:color w:val="4A4775"/>
          <w:sz w:val="19"/>
        </w:rPr>
        <w:t>Bekræftelsen viser, at sælgeren har fået planen. Den gør ikke planen til en del af ansættelseskontrakten, hvis vilkårene ikke også står i kontrakten eller en provisionsaftale.</w:t>
      </w:r>
    </w:p>
    <w:p>
      <w:pPr>
        <w:pStyle w:val="Heading2"/>
        <w:keepNext/>
        <w:spacing w:before="400" w:after="140" w:line="240" w:lineRule="auto"/>
      </w:pPr>
      <w:r>
        <w:rPr>
          <w:rFonts w:ascii="Arial" w:hAnsi="Arial" w:cs="Arial" w:eastAsia="Arial"/>
          <w:b w:val="0"/>
          <w:i w:val="0"/>
          <w:color w:val="110663"/>
          <w:sz w:val="30"/>
        </w:rPr>
        <w:t>Bilag A: Vilkår pr. sælger</w:t>
      </w:r>
    </w:p>
    <w:tbl>
      <w:tblPr>
        <w:tblW w:w="9026" w:type="dxa"/>
        <w:jc w:val="left"/>
        <w:tblBorders>
          <w:top w:val="single" w:sz="2" w:space="0" w:color="D9D5EA"/>
          <w:left w:val="single" w:sz="2" w:space="0" w:color="D9D5EA"/>
          <w:bottom w:val="single" w:sz="2" w:space="0" w:color="D9D5EA"/>
          <w:right w:val="single" w:sz="2" w:space="0" w:color="D9D5EA"/>
          <w:insideH w:val="single" w:sz="2" w:space="0" w:color="D9D5EA"/>
          <w:insideV w:val="single" w:sz="2" w:space="0" w:color="D9D5EA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2100"/>
        <w:gridCol w:w="1500"/>
        <w:gridCol w:w="1500"/>
        <w:gridCol w:w="1300"/>
        <w:gridCol w:w="1300"/>
        <w:gridCol w:w="1326"/>
      </w:tblGrid>
      <w:tr>
        <w:trPr>
          <w:tblHeader w:val="true"/>
          <w:cantSplit/>
        </w:trPr>
        <w:tc>
          <w:tcPr>
            <w:tcW w:type="dxa" w:w="2100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Sælger</w:t>
            </w:r>
          </w:p>
        </w:tc>
        <w:tc>
          <w:tcPr>
            <w:tcW w:type="dxa" w:w="1500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Rolle</w:t>
            </w:r>
          </w:p>
        </w:tc>
        <w:tc>
          <w:tcPr>
            <w:tcW w:type="dxa" w:w="1500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Kvote i perioden</w:t>
            </w:r>
          </w:p>
        </w:tc>
        <w:tc>
          <w:tcPr>
            <w:tcW w:type="dxa" w:w="1300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Sats op til kvote</w:t>
            </w:r>
          </w:p>
        </w:tc>
        <w:tc>
          <w:tcPr>
            <w:tcW w:type="dxa" w:w="1300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Sats over kvote</w:t>
            </w:r>
          </w:p>
        </w:tc>
        <w:tc>
          <w:tcPr>
            <w:tcW w:type="dxa" w:w="1326"/>
            <w:shd w:val="clear" w:color="auto" w:fill="F4F1FE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/>
                <w:i w:val="0"/>
                <w:color w:val="110663"/>
                <w:sz w:val="19"/>
              </w:rPr>
              <w:t>Startdato / opstart</w:t>
            </w:r>
          </w:p>
        </w:tc>
      </w:tr>
      <w:tr>
        <w:trPr>
          <w:cantSplit/>
        </w:trPr>
        <w:tc>
          <w:tcPr>
            <w:tcW w:type="dxa" w:w="21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[Navn]</w:t>
            </w:r>
          </w:p>
        </w:tc>
        <w:tc>
          <w:tcPr>
            <w:tcW w:type="dxa" w:w="15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[AE]</w:t>
            </w:r>
          </w:p>
        </w:tc>
        <w:tc>
          <w:tcPr>
            <w:tcW w:type="dxa" w:w="15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[3.600.000 kr.]</w:t>
            </w:r>
          </w:p>
        </w:tc>
        <w:tc>
          <w:tcPr>
            <w:tcW w:type="dxa" w:w="13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[8]</w:t>
            </w: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 xml:space="preserve"> %</w:t>
            </w:r>
          </w:p>
        </w:tc>
        <w:tc>
          <w:tcPr>
            <w:tcW w:type="dxa" w:w="13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[12]</w:t>
            </w:r>
            <w:r>
              <w:rPr>
                <w:rFonts w:ascii="Arial" w:hAnsi="Arial" w:cs="Arial" w:eastAsia="Arial"/>
                <w:b w:val="0"/>
                <w:i w:val="0"/>
                <w:color w:val="110663"/>
                <w:sz w:val="19"/>
              </w:rPr>
              <w:t xml:space="preserve"> %</w:t>
            </w:r>
          </w:p>
        </w:tc>
        <w:tc>
          <w:tcPr>
            <w:tcW w:type="dxa" w:w="13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</w:tr>
      <w:tr>
        <w:trPr>
          <w:cantSplit/>
        </w:trPr>
        <w:tc>
          <w:tcPr>
            <w:tcW w:type="dxa" w:w="21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[Navn]</w:t>
            </w:r>
          </w:p>
        </w:tc>
        <w:tc>
          <w:tcPr>
            <w:tcW w:type="dxa" w:w="15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15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13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13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13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</w:tr>
      <w:tr>
        <w:trPr>
          <w:cantSplit/>
        </w:trPr>
        <w:tc>
          <w:tcPr>
            <w:tcW w:type="dxa" w:w="21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[Navn]</w:t>
            </w:r>
          </w:p>
        </w:tc>
        <w:tc>
          <w:tcPr>
            <w:tcW w:type="dxa" w:w="15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15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13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13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13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</w:tr>
      <w:tr>
        <w:trPr>
          <w:cantSplit/>
        </w:trPr>
        <w:tc>
          <w:tcPr>
            <w:tcW w:type="dxa" w:w="21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[Navn]</w:t>
            </w:r>
          </w:p>
        </w:tc>
        <w:tc>
          <w:tcPr>
            <w:tcW w:type="dxa" w:w="15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15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13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1300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  <w:tc>
          <w:tcPr>
            <w:tcW w:type="dxa" w:w="1326"/>
          </w:tcPr>
          <w:p>
            <w:pPr>
              <w:spacing w:before="0" w:after="0" w:line="252" w:lineRule="auto"/>
            </w:pPr>
            <w:r>
              <w:rPr>
                <w:rFonts w:ascii="Arial" w:hAnsi="Arial" w:cs="Arial" w:eastAsia="Arial"/>
                <w:b w:val="0"/>
                <w:i w:val="0"/>
                <w:color w:val="4C39CA"/>
                <w:sz w:val="19"/>
                <w:shd w:val="clear" w:color="auto" w:fill="E6E0FB"/>
              </w:rPr>
              <w:t>[ 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500" w:right="1440" w:bottom="1300" w:left="1440" w:header="60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2" w:space="6" w:color="D9D5EA"/>
      </w:pBdr>
      <w:tabs>
        <w:tab w:pos="9026" w:val="right"/>
      </w:tabs>
    </w:pPr>
    <w:r>
      <w:rPr>
        <w:rFonts w:ascii="Arial" w:hAnsi="Arial" w:cs="Arial" w:eastAsia="Arial"/>
        <w:b w:val="0"/>
        <w:i w:val="0"/>
        <w:color w:val="A1A0BD"/>
        <w:sz w:val="16"/>
      </w:rPr>
      <w:t>prowi.io · Gratis skabelon fra Prowi · Ikke juridisk rådgivning</w:t>
    </w:r>
    <w:r>
      <w:rPr>
        <w:rFonts w:ascii="Arial" w:hAnsi="Arial" w:cs="Arial" w:eastAsia="Arial"/>
        <w:b w:val="0"/>
        <w:i w:val="0"/>
        <w:color w:val="A1A0BD"/>
        <w:sz w:val="16"/>
      </w:rPr>
      <w:tab/>
    </w:r>
    <w:r>
      <w:rPr>
        <w:rFonts w:ascii="Arial" w:hAnsi="Arial" w:cs="Arial" w:eastAsia="Arial"/>
        <w:b w:val="0"/>
        <w:i w:val="0"/>
        <w:color w:val="A1A0BD"/>
        <w:sz w:val="16"/>
      </w:rPr>
      <w:t xml:space="preserve">Side </w:t>
    </w:r>
    <w:r>
      <w:rPr>
        <w:rFonts w:ascii="Arial" w:hAnsi="Arial" w:cs="Arial" w:eastAsia="Arial"/>
        <w:b w:val="0"/>
        <w:i w:val="0"/>
        <w:color w:val="A1A0BD"/>
        <w:sz w:val="16"/>
      </w:rPr>
      <w:fldChar w:fldCharType="begin"/>
    </w:r>
    <w:r>
      <w:rPr>
        <w:rFonts w:ascii="Arial" w:hAnsi="Arial" w:cs="Arial" w:eastAsia="Arial"/>
        <w:b w:val="0"/>
        <w:i w:val="0"/>
        <w:color w:val="A1A0BD"/>
        <w:sz w:val="16"/>
      </w:rPr>
      <w:instrText xml:space="preserve"> PAGE </w:instrText>
    </w:r>
    <w:r>
      <w:rPr>
        <w:rFonts w:ascii="Arial" w:hAnsi="Arial" w:cs="Arial" w:eastAsia="Arial"/>
        <w:b w:val="0"/>
        <w:i w:val="0"/>
        <w:color w:val="A1A0BD"/>
        <w:sz w:val="16"/>
      </w:rPr>
      <w:fldChar w:fldCharType="separate"/>
    </w:r>
    <w:r>
      <w:rPr>
        <w:rFonts w:ascii="Arial" w:hAnsi="Arial" w:cs="Arial" w:eastAsia="Arial"/>
        <w:b w:val="0"/>
        <w:i w:val="0"/>
        <w:color w:val="A1A0BD"/>
        <w:sz w:val="16"/>
      </w:rPr>
      <w:t>1</w:t>
    </w:r>
    <w:r>
      <w:rPr>
        <w:rFonts w:ascii="Arial" w:hAnsi="Arial" w:cs="Arial" w:eastAsia="Arial"/>
        <w:b w:val="0"/>
        <w:i w:val="0"/>
        <w:color w:val="A1A0BD"/>
        <w:sz w:val="16"/>
      </w:rPr>
      <w:fldChar w:fldCharType="end"/>
    </w:r>
    <w:r>
      <w:rPr>
        <w:rFonts w:ascii="Arial" w:hAnsi="Arial" w:cs="Arial" w:eastAsia="Arial"/>
        <w:b w:val="0"/>
        <w:i w:val="0"/>
        <w:color w:val="A1A0BD"/>
        <w:sz w:val="16"/>
      </w:rPr>
      <w:t xml:space="preserve"> af </w:t>
    </w:r>
    <w:r>
      <w:rPr>
        <w:rFonts w:ascii="Arial" w:hAnsi="Arial" w:cs="Arial" w:eastAsia="Arial"/>
        <w:b w:val="0"/>
        <w:i w:val="0"/>
        <w:color w:val="A1A0BD"/>
        <w:sz w:val="16"/>
      </w:rPr>
      <w:fldChar w:fldCharType="begin"/>
    </w:r>
    <w:r>
      <w:rPr>
        <w:rFonts w:ascii="Arial" w:hAnsi="Arial" w:cs="Arial" w:eastAsia="Arial"/>
        <w:b w:val="0"/>
        <w:i w:val="0"/>
        <w:color w:val="A1A0BD"/>
        <w:sz w:val="16"/>
      </w:rPr>
      <w:instrText xml:space="preserve"> NUMPAGES </w:instrText>
    </w:r>
    <w:r>
      <w:rPr>
        <w:rFonts w:ascii="Arial" w:hAnsi="Arial" w:cs="Arial" w:eastAsia="Arial"/>
        <w:b w:val="0"/>
        <w:i w:val="0"/>
        <w:color w:val="A1A0BD"/>
        <w:sz w:val="16"/>
      </w:rPr>
      <w:fldChar w:fldCharType="separate"/>
    </w:r>
    <w:r>
      <w:rPr>
        <w:rFonts w:ascii="Arial" w:hAnsi="Arial" w:cs="Arial" w:eastAsia="Arial"/>
        <w:b w:val="0"/>
        <w:i w:val="0"/>
        <w:color w:val="A1A0BD"/>
        <w:sz w:val="16"/>
      </w:rPr>
      <w:t>1</w:t>
    </w:r>
    <w:r>
      <w:rPr>
        <w:rFonts w:ascii="Arial" w:hAnsi="Arial" w:cs="Arial" w:eastAsia="Arial"/>
        <w:b w:val="0"/>
        <w:i w:val="0"/>
        <w:color w:val="A1A0BD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2" w:space="6" w:color="D9D5EA"/>
      </w:pBdr>
      <w:tabs>
        <w:tab w:pos="9026" w:val="right"/>
      </w:tabs>
    </w:pPr>
    <w:r>
      <w:drawing>
        <wp:inline xmlns:a="http://schemas.openxmlformats.org/drawingml/2006/main" xmlns:pic="http://schemas.openxmlformats.org/drawingml/2006/picture">
          <wp:extent cx="838200" cy="25717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wi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257175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i w:val="0"/>
        <w:color w:val="A1A0BD"/>
        <w:sz w:val="17"/>
      </w:rPr>
      <w:tab/>
    </w:r>
    <w:r>
      <w:rPr>
        <w:rFonts w:ascii="Arial" w:hAnsi="Arial" w:cs="Arial" w:eastAsia="Arial"/>
        <w:b w:val="0"/>
        <w:i w:val="0"/>
        <w:color w:val="A1A0BD"/>
        <w:sz w:val="17"/>
      </w:rPr>
      <w:t>Provisionsplan · Skabelon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106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 w:val="0"/>
      <w:bCs/>
      <w:i w:val="0"/>
      <w:color w:val="110663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Provisionsplan (skabelon)</dc:title>
  <dc:subject/>
  <dc:creator>Prowi</dc:creator>
  <cp:keywords/>
  <dc:description>Provisionsplan for salgsteamet</dc:description>
  <cp:lastModifiedBy/>
  <cp:revision>1</cp:revision>
  <dcterms:created xsi:type="dcterms:W3CDTF">2013-12-23T23:15:00Z</dcterms:created>
  <dcterms:modified xsi:type="dcterms:W3CDTF">2013-12-23T23:15:00Z</dcterms:modified>
  <cp:category/>
  <dc:language>da-DK</dc:language>
</cp:coreProperties>
</file>