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00"/>
        <w:jc w:val="center"/>
      </w:pPr>
      <w:r>
        <w:rPr>
          <w:rFonts w:ascii="Arial" w:cs="Arial" w:eastAsia="Arial" w:hAnsi="Arial"/>
          <w:b/>
          <w:bCs/>
          <w:color w:val="1F3864"/>
          <w:sz w:val="48"/>
          <w:szCs w:val="48"/>
        </w:rPr>
        <w:t xml:space="preserve">DOCUMENTATION ANALYSIS</w:t>
      </w:r>
    </w:p>
    <w:p>
      <w:pPr>
        <w:spacing w:after="80"/>
        <w:jc w:val="center"/>
      </w:pPr>
      <w:r>
        <w:rPr>
          <w:rFonts w:ascii="Arial" w:cs="Arial" w:eastAsia="Arial" w:hAnsi="Arial"/>
          <w:color w:val="2E75B6"/>
          <w:sz w:val="28"/>
          <w:szCs w:val="28"/>
        </w:rPr>
        <w:t xml:space="preserve">Fitbit Inspire 3 User Manual</w:t>
      </w:r>
    </w:p>
    <w:p>
      <w:pPr>
        <w:pBdr>
          <w:bottom w:val="single" w:color="2E75B6" w:sz="6" w:space="4"/>
        </w:pBdr>
        <w:spacing w:after="60"/>
        <w:jc w:val="center"/>
      </w:pPr>
      <w:r>
        <w:t xml:space="preserve"/>
      </w:r>
    </w:p>
    <w:p>
      <w:pPr>
        <w:spacing w:before="120" w:after="60"/>
        <w:jc w:val="center"/>
      </w:pPr>
      <w:r>
        <w:rPr>
          <w:rFonts w:ascii="Arial" w:cs="Arial" w:eastAsia="Arial" w:hAnsi="Arial"/>
          <w:color w:val="444444"/>
          <w:sz w:val="22"/>
          <w:szCs w:val="22"/>
        </w:rPr>
        <w:t xml:space="preserve">Prepared by: Samuel Owusu</w:t>
      </w:r>
    </w:p>
    <w:p>
      <w:pPr>
        <w:spacing w:after="60"/>
        <w:jc w:val="center"/>
      </w:pPr>
      <w:r>
        <w:rPr>
          <w:rFonts w:ascii="Arial" w:cs="Arial" w:eastAsia="Arial" w:hAnsi="Arial"/>
          <w:color w:val="666666"/>
          <w:sz w:val="20"/>
          <w:szCs w:val="20"/>
        </w:rPr>
        <w:t xml:space="preserve">University of Houston-Downtown  |  Technical Communication Program</w:t>
      </w:r>
    </w:p>
    <w:p>
      <w:pPr>
        <w:spacing w:after="480"/>
        <w:jc w:val="center"/>
      </w:pPr>
      <w:r>
        <w:rPr>
          <w:rFonts w:ascii="Arial" w:cs="Arial" w:eastAsia="Arial" w:hAnsi="Arial"/>
          <w:color w:val="666666"/>
          <w:sz w:val="20"/>
          <w:szCs w:val="20"/>
        </w:rPr>
        <w:t xml:space="preserve">2025</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INTRODUCTION</w:t>
      </w:r>
    </w:p>
    <w:p>
      <w:pPr>
        <w:spacing w:before="80" w:after="80"/>
      </w:pPr>
      <w:r>
        <w:rPr>
          <w:rFonts w:ascii="Arial" w:cs="Arial" w:eastAsia="Arial" w:hAnsi="Arial"/>
          <w:sz w:val="20"/>
          <w:szCs w:val="20"/>
        </w:rPr>
        <w:t xml:space="preserve">This report analyzes the design and effectiveness of the Fitbit Inspire 3 user manual as a piece of technical communication. The manual serves as the primary reference guide for users setting up, operating, and troubleshooting their Fitbit Inspire 3 fitness tracker, and is available both in print and online.</w:t>
      </w:r>
    </w:p>
    <w:p>
      <w:pPr>
        <w:spacing w:before="80" w:after="80"/>
      </w:pPr>
      <w:r>
        <w:rPr>
          <w:rFonts w:ascii="Arial" w:cs="Arial" w:eastAsia="Arial" w:hAnsi="Arial"/>
          <w:sz w:val="20"/>
          <w:szCs w:val="20"/>
        </w:rPr>
        <w:t xml:space="preserve">This analysis evaluates the manual across five dimensions: genre and genre conventions, rhetorical situation and appeals, organizational patterns, document design, and overall usability. The goal is to assess how effectively the manual meets the needs of its intended audience and to identify specific areas where targeted revisions could strengthen its usability and accessibility.</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GENRE AND GENRE CONVENTIONS</w:t>
      </w:r>
    </w:p>
    <w:p>
      <w:pPr>
        <w:spacing w:before="80" w:after="80"/>
      </w:pPr>
      <w:r>
        <w:rPr>
          <w:rFonts w:ascii="Arial" w:cs="Arial" w:eastAsia="Arial" w:hAnsi="Arial"/>
          <w:sz w:val="20"/>
          <w:szCs w:val="20"/>
        </w:rPr>
        <w:t xml:space="preserve">The Fitbit Inspire 3 user manual belongs to the genre of technical communication — specifically, a consumer product user manual. This genre is defined by its instructional purpose: to help users of varying technical backgrounds safely and effectively operate a product. User manuals occupy a unique communicative space because they must be both comprehensive and immediately accessible, serving as a reference tool users return to rather than read linearly.</w:t>
      </w:r>
    </w:p>
    <w:p>
      <w:pPr>
        <w:spacing w:before="80" w:after="80"/>
      </w:pPr>
      <w:r>
        <w:rPr>
          <w:rFonts w:ascii="Arial" w:cs="Arial" w:eastAsia="Arial" w:hAnsi="Arial"/>
          <w:sz w:val="20"/>
          <w:szCs w:val="20"/>
        </w:rPr>
        <w:t xml:space="preserve">Standard conventions of this genre include:</w:t>
      </w:r>
    </w:p>
    <w:p>
      <w:pPr>
        <w:pStyle w:val="ListParagraph"/>
        <w:numPr>
          <w:ilvl w:val="0"/>
          <w:numId w:val="2"/>
        </w:numPr>
        <w:spacing w:before="60" w:after="60"/>
      </w:pPr>
      <w:r>
        <w:rPr>
          <w:rFonts w:ascii="Arial" w:cs="Arial" w:eastAsia="Arial" w:hAnsi="Arial"/>
          <w:sz w:val="20"/>
          <w:szCs w:val="20"/>
        </w:rPr>
        <w:t xml:space="preserve">Step-by-step instructions organized around user tasks (setup, operation, troubleshooting)</w:t>
      </w:r>
    </w:p>
    <w:p>
      <w:pPr>
        <w:pStyle w:val="ListParagraph"/>
        <w:numPr>
          <w:ilvl w:val="0"/>
          <w:numId w:val="2"/>
        </w:numPr>
        <w:spacing w:before="60" w:after="60"/>
      </w:pPr>
      <w:r>
        <w:rPr>
          <w:rFonts w:ascii="Arial" w:cs="Arial" w:eastAsia="Arial" w:hAnsi="Arial"/>
          <w:sz w:val="20"/>
          <w:szCs w:val="20"/>
        </w:rPr>
        <w:t xml:space="preserve">Visual aids such as diagrams, screenshots, and labeled illustrations</w:t>
      </w:r>
    </w:p>
    <w:p>
      <w:pPr>
        <w:pStyle w:val="ListParagraph"/>
        <w:numPr>
          <w:ilvl w:val="0"/>
          <w:numId w:val="2"/>
        </w:numPr>
        <w:spacing w:before="60" w:after="60"/>
      </w:pPr>
      <w:r>
        <w:rPr>
          <w:rFonts w:ascii="Arial" w:cs="Arial" w:eastAsia="Arial" w:hAnsi="Arial"/>
          <w:sz w:val="20"/>
          <w:szCs w:val="20"/>
        </w:rPr>
        <w:t xml:space="preserve">Clear section headings and navigational aids (table of contents, index)</w:t>
      </w:r>
    </w:p>
    <w:p>
      <w:pPr>
        <w:pStyle w:val="ListParagraph"/>
        <w:numPr>
          <w:ilvl w:val="0"/>
          <w:numId w:val="2"/>
        </w:numPr>
        <w:spacing w:before="60" w:after="60"/>
      </w:pPr>
      <w:r>
        <w:rPr>
          <w:rFonts w:ascii="Arial" w:cs="Arial" w:eastAsia="Arial" w:hAnsi="Arial"/>
          <w:sz w:val="20"/>
          <w:szCs w:val="20"/>
        </w:rPr>
        <w:t xml:space="preserve">Plain, direct language calibrated for a general audience</w:t>
      </w:r>
    </w:p>
    <w:p>
      <w:pPr>
        <w:pStyle w:val="ListParagraph"/>
        <w:numPr>
          <w:ilvl w:val="0"/>
          <w:numId w:val="2"/>
        </w:numPr>
        <w:spacing w:before="60" w:after="60"/>
      </w:pPr>
      <w:r>
        <w:rPr>
          <w:rFonts w:ascii="Arial" w:cs="Arial" w:eastAsia="Arial" w:hAnsi="Arial"/>
          <w:sz w:val="20"/>
          <w:szCs w:val="20"/>
        </w:rPr>
        <w:t xml:space="preserve">Safety notices and regulatory information</w:t>
      </w:r>
    </w:p>
    <w:p>
      <w:pPr>
        <w:spacing w:before="100" w:after="80"/>
      </w:pPr>
    </w:p>
    <w:p>
      <w:pPr>
        <w:spacing w:before="80" w:after="80"/>
      </w:pPr>
      <w:r>
        <w:rPr>
          <w:rFonts w:ascii="Arial" w:cs="Arial" w:eastAsia="Arial" w:hAnsi="Arial"/>
          <w:sz w:val="20"/>
          <w:szCs w:val="20"/>
        </w:rPr>
        <w:t xml:space="preserve">The Fitbit Inspire 3 manual adheres to most of these conventions, including task-based organization, step-by-step instructions, and consistent section headings. Its primary deviation is the inconsistent use of visual aids — well-represented in setup sections but notably absent in troubleshooting — which partially undermines the manual’s effectiveness for users who rely on visual guidance to resolve issues.</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RHETORICAL SITUATION AND APPEALS</w:t>
      </w:r>
    </w:p>
    <w:p>
      <w:pPr>
        <w:spacing w:before="240" w:after="80"/>
      </w:pPr>
      <w:r>
        <w:rPr>
          <w:rFonts w:ascii="Arial" w:cs="Arial" w:eastAsia="Arial" w:hAnsi="Arial"/>
          <w:b/>
          <w:bCs/>
          <w:color w:val="17375E"/>
          <w:sz w:val="22"/>
          <w:szCs w:val="22"/>
        </w:rPr>
        <w:t xml:space="preserve">Audience and Context</w:t>
      </w:r>
    </w:p>
    <w:p>
      <w:pPr>
        <w:spacing w:before="80" w:after="80"/>
      </w:pPr>
      <w:r>
        <w:rPr>
          <w:rFonts w:ascii="Arial" w:cs="Arial" w:eastAsia="Arial" w:hAnsi="Arial"/>
          <w:sz w:val="20"/>
          <w:szCs w:val="20"/>
        </w:rPr>
        <w:t xml:space="preserve">The manual’s primary audience is Fitbit Inspire 3 owners, a broad consumer demographic that includes fitness beginners, casual health trackers, and individuals with limited experience with wearable technology. The document is written for general consumers rather than specialists, requiring a register that is both informative and approachable. The rhetorical situation is post-purchase: the user already has the device and needs to act quickly and confidently.</w:t>
      </w:r>
    </w:p>
    <w:p>
      <w:pPr>
        <w:spacing w:before="240" w:after="80"/>
      </w:pPr>
      <w:r>
        <w:rPr>
          <w:rFonts w:ascii="Arial" w:cs="Arial" w:eastAsia="Arial" w:hAnsi="Arial"/>
          <w:b/>
          <w:bCs/>
          <w:color w:val="17375E"/>
          <w:sz w:val="22"/>
          <w:szCs w:val="22"/>
        </w:rPr>
        <w:t xml:space="preserve">Rhetorical Appeals</w:t>
      </w:r>
    </w:p>
    <w:p>
      <w:pPr>
        <w:spacing w:before="80" w:after="80"/>
      </w:pPr>
      <w:r>
        <w:rPr>
          <w:rFonts w:ascii="Arial" w:cs="Arial" w:eastAsia="Arial" w:hAnsi="Arial"/>
          <w:sz w:val="20"/>
          <w:szCs w:val="20"/>
        </w:rPr>
        <w:t xml:space="preserve">The manual employs all three classical rhetorical appeals to engage and reassure its audience:</w:t>
      </w:r>
    </w:p>
    <w:p>
      <w:pPr>
        <w:spacing w:before="140" w:after="60"/>
      </w:pPr>
      <w:r>
        <w:rPr>
          <w:rFonts w:ascii="Arial" w:cs="Arial" w:eastAsia="Arial" w:hAnsi="Arial"/>
          <w:b/>
          <w:bCs/>
          <w:color w:val="17375E"/>
          <w:sz w:val="20"/>
          <w:szCs w:val="20"/>
        </w:rPr>
        <w:t xml:space="preserve">Logos (Logical Appeal)</w:t>
      </w:r>
    </w:p>
    <w:p>
      <w:pPr>
        <w:spacing w:before="80" w:after="80"/>
      </w:pPr>
      <w:r>
        <w:rPr>
          <w:rFonts w:ascii="Arial" w:cs="Arial" w:eastAsia="Arial" w:hAnsi="Arial"/>
          <w:sz w:val="20"/>
          <w:szCs w:val="20"/>
        </w:rPr>
        <w:t xml:space="preserve">The manual’s core structure is built on logical appeal. Sequential, numbered instructions allow users to follow tasks in the correct order without ambiguity. Troubleshooting sections are organized as cause-and-effect pairings, helping users reason through problems systematically. This logical scaffolding reduces cognitive load and builds user confidence.</w:t>
      </w:r>
    </w:p>
    <w:p>
      <w:pPr>
        <w:spacing w:before="140" w:after="60"/>
      </w:pPr>
      <w:r>
        <w:rPr>
          <w:rFonts w:ascii="Arial" w:cs="Arial" w:eastAsia="Arial" w:hAnsi="Arial"/>
          <w:b/>
          <w:bCs/>
          <w:color w:val="17375E"/>
          <w:sz w:val="20"/>
          <w:szCs w:val="20"/>
        </w:rPr>
        <w:t xml:space="preserve">Ethos (Credibility Appeal)</w:t>
      </w:r>
    </w:p>
    <w:p>
      <w:pPr>
        <w:spacing w:before="80" w:after="80"/>
      </w:pPr>
      <w:r>
        <w:rPr>
          <w:rFonts w:ascii="Arial" w:cs="Arial" w:eastAsia="Arial" w:hAnsi="Arial"/>
          <w:sz w:val="20"/>
          <w:szCs w:val="20"/>
        </w:rPr>
        <w:t xml:space="preserve">Fitbit’s established reputation in the fitness technology industry lends the manual inherent credibility. The formal register, precise technical specifications, and manufacturer-sourced accuracy reinforce that the document is an authoritative, trustworthy source. The manual’s inclusion of safety notices and medical disclaimers — such as recommending users consult a physician before beginning an exercise program — further strengthens ethos by demonstrating responsible communication and genuine concern for user wellbeing.</w:t>
      </w:r>
    </w:p>
    <w:p>
      <w:pPr>
        <w:spacing w:before="140" w:after="60"/>
      </w:pPr>
      <w:r>
        <w:rPr>
          <w:rFonts w:ascii="Arial" w:cs="Arial" w:eastAsia="Arial" w:hAnsi="Arial"/>
          <w:b/>
          <w:bCs/>
          <w:color w:val="17375E"/>
          <w:sz w:val="20"/>
          <w:szCs w:val="20"/>
        </w:rPr>
        <w:t xml:space="preserve">Pathos (Emotional Appeal)</w:t>
      </w:r>
    </w:p>
    <w:p>
      <w:pPr>
        <w:spacing w:before="80" w:after="80"/>
      </w:pPr>
      <w:r>
        <w:rPr>
          <w:rFonts w:ascii="Arial" w:cs="Arial" w:eastAsia="Arial" w:hAnsi="Arial"/>
          <w:sz w:val="20"/>
          <w:szCs w:val="20"/>
        </w:rPr>
        <w:t xml:space="preserve">While primarily functional, the manual incorporates subtle emotional appeals through aspirational language. Phrases that encourage users to pursue their fitness goals and take ownership of their health frame the device as a tool for personal transformation rather than merely a piece of technology. Visual elements — including interface screenshots and images of the device in use — support this appeal by helping users visualize the Fitbit as integrated into their daily routine, strengthening both product engagement and user motivation.</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ORGANIZATIONAL PATTERNS</w:t>
      </w:r>
    </w:p>
    <w:p>
      <w:pPr>
        <w:spacing w:before="80" w:after="80"/>
      </w:pPr>
      <w:r>
        <w:rPr>
          <w:rFonts w:ascii="Arial" w:cs="Arial" w:eastAsia="Arial" w:hAnsi="Arial"/>
          <w:sz w:val="20"/>
          <w:szCs w:val="20"/>
        </w:rPr>
        <w:t xml:space="preserve">The manual follows a task-based organizational pattern — a standard and effective approach for consumer product documentation. Content is sequenced according to user need rather than product architecture, prioritizing the order in which a user is most likely to require information:</w:t>
      </w:r>
    </w:p>
    <w:p>
      <w:pPr>
        <w:pStyle w:val="ListParagraph"/>
        <w:numPr>
          <w:ilvl w:val="0"/>
          <w:numId w:val="3"/>
        </w:numPr>
        <w:spacing w:before="100" w:after="60"/>
      </w:pPr>
      <w:r>
        <w:rPr>
          <w:rFonts w:ascii="Arial" w:cs="Arial" w:eastAsia="Arial" w:hAnsi="Arial"/>
          <w:b/>
          <w:bCs/>
          <w:sz w:val="20"/>
          <w:szCs w:val="20"/>
        </w:rPr>
        <w:t xml:space="preserve">Setup and Onboarding: </w:t>
      </w:r>
      <w:r>
        <w:rPr>
          <w:rFonts w:ascii="Arial" w:cs="Arial" w:eastAsia="Arial" w:hAnsi="Arial"/>
          <w:sz w:val="20"/>
          <w:szCs w:val="20"/>
        </w:rPr>
        <w:t xml:space="preserve">Users are guided through unboxing, charging, and initial device configuration before any other content is introduced.</w:t>
      </w:r>
    </w:p>
    <w:p>
      <w:pPr>
        <w:pStyle w:val="ListParagraph"/>
        <w:numPr>
          <w:ilvl w:val="0"/>
          <w:numId w:val="3"/>
        </w:numPr>
        <w:spacing w:before="100" w:after="60"/>
      </w:pPr>
      <w:r>
        <w:rPr>
          <w:rFonts w:ascii="Arial" w:cs="Arial" w:eastAsia="Arial" w:hAnsi="Arial"/>
          <w:b/>
          <w:bCs/>
          <w:sz w:val="20"/>
          <w:szCs w:val="20"/>
        </w:rPr>
        <w:t xml:space="preserve">Device Operation: </w:t>
      </w:r>
      <w:r>
        <w:rPr>
          <w:rFonts w:ascii="Arial" w:cs="Arial" w:eastAsia="Arial" w:hAnsi="Arial"/>
          <w:sz w:val="20"/>
          <w:szCs w:val="20"/>
        </w:rPr>
        <w:t xml:space="preserve">Instructions for core functions — syncing data, wearing the device, and navigating the interface — follow setup.</w:t>
      </w:r>
    </w:p>
    <w:p>
      <w:pPr>
        <w:pStyle w:val="ListParagraph"/>
        <w:numPr>
          <w:ilvl w:val="0"/>
          <w:numId w:val="3"/>
        </w:numPr>
        <w:spacing w:before="100" w:after="60"/>
      </w:pPr>
      <w:r>
        <w:rPr>
          <w:rFonts w:ascii="Arial" w:cs="Arial" w:eastAsia="Arial" w:hAnsi="Arial"/>
          <w:b/>
          <w:bCs/>
          <w:sz w:val="20"/>
          <w:szCs w:val="20"/>
        </w:rPr>
        <w:t xml:space="preserve">Troubleshooting and FAQs: </w:t>
      </w:r>
      <w:r>
        <w:rPr>
          <w:rFonts w:ascii="Arial" w:cs="Arial" w:eastAsia="Arial" w:hAnsi="Arial"/>
          <w:sz w:val="20"/>
          <w:szCs w:val="20"/>
        </w:rPr>
        <w:t xml:space="preserve">Solutions to common issues are positioned after core usage instructions, accessible when needed but not disruptive to the initial learning flow.</w:t>
      </w:r>
    </w:p>
    <w:p>
      <w:pPr>
        <w:pStyle w:val="ListParagraph"/>
        <w:numPr>
          <w:ilvl w:val="0"/>
          <w:numId w:val="3"/>
        </w:numPr>
        <w:spacing w:before="100" w:after="60"/>
      </w:pPr>
      <w:r>
        <w:rPr>
          <w:rFonts w:ascii="Arial" w:cs="Arial" w:eastAsia="Arial" w:hAnsi="Arial"/>
          <w:b/>
          <w:bCs/>
          <w:sz w:val="20"/>
          <w:szCs w:val="20"/>
        </w:rPr>
        <w:t xml:space="preserve">Legal and Warranty Information: </w:t>
      </w:r>
      <w:r>
        <w:rPr>
          <w:rFonts w:ascii="Arial" w:cs="Arial" w:eastAsia="Arial" w:hAnsi="Arial"/>
          <w:sz w:val="20"/>
          <w:szCs w:val="20"/>
        </w:rPr>
        <w:t xml:space="preserve">Regulatory content, terms, and warranty coverage are appropriately placed at the end, where they are available for reference without impeding task-oriented sections.</w:t>
      </w:r>
    </w:p>
    <w:p>
      <w:pPr>
        <w:spacing w:before="100" w:after="80"/>
      </w:pPr>
    </w:p>
    <w:p>
      <w:pPr>
        <w:spacing w:before="80" w:after="80"/>
      </w:pPr>
      <w:r>
        <w:rPr>
          <w:rFonts w:ascii="Arial" w:cs="Arial" w:eastAsia="Arial" w:hAnsi="Arial"/>
          <w:sz w:val="20"/>
          <w:szCs w:val="20"/>
        </w:rPr>
        <w:t xml:space="preserve">This organizational structure reflects best practices in instructional design: it mirrors the user’s actual experience with the product, reducing the effort required to locate relevant information at each stage of use.</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DOCUMENT DESIGN ANALYSIS</w:t>
      </w:r>
    </w:p>
    <w:p>
      <w:pPr>
        <w:spacing w:before="240" w:after="80"/>
      </w:pPr>
      <w:r>
        <w:rPr>
          <w:rFonts w:ascii="Arial" w:cs="Arial" w:eastAsia="Arial" w:hAnsi="Arial"/>
          <w:b/>
          <w:bCs/>
          <w:color w:val="17375E"/>
          <w:sz w:val="22"/>
          <w:szCs w:val="22"/>
        </w:rPr>
        <w:t xml:space="preserve">1. Headings and Navigation</w:t>
      </w:r>
    </w:p>
    <w:p>
      <w:pPr>
        <w:spacing w:before="80" w:after="80"/>
      </w:pPr>
      <w:r>
        <w:rPr>
          <w:rFonts w:ascii="Arial" w:cs="Arial" w:eastAsia="Arial" w:hAnsi="Arial"/>
          <w:sz w:val="20"/>
          <w:szCs w:val="20"/>
        </w:rPr>
        <w:t xml:space="preserve">The manual uses bold headings and descriptive subheadings effectively throughout, with each section clearly labeled to support non-linear reading. Users seeking a specific task — such as charging instructions or syncing steps — can locate relevant sections quickly. The online version reinforces this through hyperlinked navigation, allowing users to jump directly to needed content. The print version, however, lacks both a detailed table of contents and a back-matter index, which significantly reduces its usability for users who need to locate specific information by keyword or task.</w:t>
      </w:r>
    </w:p>
    <w:p>
      <w:pPr>
        <w:spacing w:before="240" w:after="80"/>
      </w:pPr>
      <w:r>
        <w:rPr>
          <w:rFonts w:ascii="Arial" w:cs="Arial" w:eastAsia="Arial" w:hAnsi="Arial"/>
          <w:b/>
          <w:bCs/>
          <w:color w:val="17375E"/>
          <w:sz w:val="22"/>
          <w:szCs w:val="22"/>
        </w:rPr>
        <w:t xml:space="preserve">2. Typography</w:t>
      </w:r>
    </w:p>
    <w:p>
      <w:pPr>
        <w:spacing w:before="80" w:after="80"/>
      </w:pPr>
      <w:r>
        <w:rPr>
          <w:rFonts w:ascii="Arial" w:cs="Arial" w:eastAsia="Arial" w:hAnsi="Arial"/>
          <w:sz w:val="20"/>
          <w:szCs w:val="20"/>
        </w:rPr>
        <w:t xml:space="preserve">The manual employs consistent typographic conventions: bold text for headings and critical instructions, standard weight for body text, and bullet points for lists. This hierarchy helps users distinguish between instructional steps, supplementary information, and warnings at a glance. Key actions and alerts are visually differentiated, reducing the risk of users overlooking safety-critical content.</w:t>
      </w:r>
    </w:p>
    <w:p>
      <w:pPr>
        <w:spacing w:before="240" w:after="80"/>
      </w:pPr>
      <w:r>
        <w:rPr>
          <w:rFonts w:ascii="Arial" w:cs="Arial" w:eastAsia="Arial" w:hAnsi="Arial"/>
          <w:b/>
          <w:bCs/>
          <w:color w:val="17375E"/>
          <w:sz w:val="22"/>
          <w:szCs w:val="22"/>
        </w:rPr>
        <w:t xml:space="preserve">3. Visual Elements</w:t>
      </w:r>
    </w:p>
    <w:p>
      <w:pPr>
        <w:spacing w:before="80" w:after="80"/>
      </w:pPr>
      <w:r>
        <w:rPr>
          <w:rFonts w:ascii="Arial" w:cs="Arial" w:eastAsia="Arial" w:hAnsi="Arial"/>
          <w:sz w:val="20"/>
          <w:szCs w:val="20"/>
        </w:rPr>
        <w:t xml:space="preserve">Visual aids are used effectively in setup and hardware sections, where labeled diagrams of the device and charger help users orient themselves quickly. However, the troubleshooting section — where users are most likely to be frustrated and in need of rapid guidance — is notably under-illustrated. Research in document design consistently demonstrates that visual aids reduce cognitive load and accelerate comprehension, particularly for users unfamiliar with a product category. The absence of screenshots or annotated diagrams in troubleshooting represents the manual’s most significant design gap, as it places the full burden of comprehension on text alone for the tasks where visual support would provide the greatest benefit.</w:t>
      </w:r>
    </w:p>
    <w:p>
      <w:pPr>
        <w:spacing w:before="240" w:after="80"/>
      </w:pPr>
      <w:r>
        <w:rPr>
          <w:rFonts w:ascii="Arial" w:cs="Arial" w:eastAsia="Arial" w:hAnsi="Arial"/>
          <w:b/>
          <w:bCs/>
          <w:color w:val="17375E"/>
          <w:sz w:val="22"/>
          <w:szCs w:val="22"/>
        </w:rPr>
        <w:t xml:space="preserve">4. White Space and Layout</w:t>
      </w:r>
    </w:p>
    <w:p>
      <w:pPr>
        <w:spacing w:before="80" w:after="80"/>
      </w:pPr>
      <w:r>
        <w:rPr>
          <w:rFonts w:ascii="Arial" w:cs="Arial" w:eastAsia="Arial" w:hAnsi="Arial"/>
          <w:sz w:val="20"/>
          <w:szCs w:val="20"/>
        </w:rPr>
        <w:t xml:space="preserve">The overall layout makes reasonable use of white space, preventing the dense, cramped appearance that undermines readability in many technical documents. Short paragraphs and bulleted lists break content into digestible units. Some sections could benefit from increased spacing between text blocks and adjacent images, where the current proximity creates minor visual crowding. Overall, however, the layout supports comfortable reading across both print and screen formats.</w:t>
      </w:r>
    </w:p>
    <w:p>
      <w:pPr>
        <w:spacing w:before="240" w:after="80"/>
      </w:pPr>
      <w:r>
        <w:rPr>
          <w:rFonts w:ascii="Arial" w:cs="Arial" w:eastAsia="Arial" w:hAnsi="Arial"/>
          <w:b/>
          <w:bCs/>
          <w:color w:val="17375E"/>
          <w:sz w:val="22"/>
          <w:szCs w:val="22"/>
        </w:rPr>
        <w:t xml:space="preserve">5. Accessibility and Navigation</w:t>
      </w:r>
    </w:p>
    <w:p>
      <w:pPr>
        <w:spacing w:before="80" w:after="80"/>
      </w:pPr>
      <w:r>
        <w:rPr>
          <w:rFonts w:ascii="Arial" w:cs="Arial" w:eastAsia="Arial" w:hAnsi="Arial"/>
          <w:sz w:val="20"/>
          <w:szCs w:val="20"/>
        </w:rPr>
        <w:t xml:space="preserve">The online version of the manual provides a notably stronger user experience than the print version, primarily due to its hyperlinked section structure. Digital users can navigate directly to relevant content without scrolling through unrelated sections, a significant usability advantage for a document of this length. The print version’s lack of an index or detailed table of contents is a meaningful limitation: users who purchased a physical copy, or who prefer printed reference materials, face a substantially more effortful navigation experience.</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SUMMARY OF FINDINGS</w:t>
      </w:r>
    </w:p>
    <w:p>
      <w:pPr>
        <w:spacing w:before="80" w:after="80"/>
      </w:pPr>
      <w:r>
        <w:rPr>
          <w:rFonts w:ascii="Arial" w:cs="Arial" w:eastAsia="Arial" w:hAnsi="Arial"/>
          <w:sz w:val="20"/>
          <w:szCs w:val="20"/>
        </w:rPr>
        <w:t xml:space="preserve">The table below summarizes strengths and weaknesses identified across the five analytical dimensions.</w:t>
      </w:r>
    </w:p>
    <w:p>
      <w:pPr>
        <w:spacing w:before="12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shd w:fill="1F3864" w:val="clear"/>
            <w:tcMar>
              <w:top w:type="dxa" w:w="80"/>
              <w:left w:type="dxa" w:w="120"/>
              <w:bottom w:type="dxa" w:w="80"/>
              <w:right w:type="dxa" w:w="120"/>
            </w:tcMar>
          </w:tcPr>
          <w:p>
            <w:r>
              <w:rPr>
                <w:rFonts w:ascii="Arial" w:cs="Arial" w:eastAsia="Arial" w:hAnsi="Arial"/>
                <w:b/>
                <w:bCs/>
                <w:color w:val="FFFFFF"/>
                <w:sz w:val="18"/>
                <w:szCs w:val="18"/>
              </w:rPr>
              <w:t xml:space="preserve">Dimension</w:t>
            </w:r>
          </w:p>
        </w:tc>
        <w:tc>
          <w:tcPr>
            <w:tcW w:type="dxa" w:w="3480"/>
            <w:shd w:fill="1F3864" w:val="clear"/>
            <w:tcMar>
              <w:top w:type="dxa" w:w="80"/>
              <w:left w:type="dxa" w:w="120"/>
              <w:bottom w:type="dxa" w:w="80"/>
              <w:right w:type="dxa" w:w="120"/>
            </w:tcMar>
          </w:tcPr>
          <w:p>
            <w:r>
              <w:rPr>
                <w:rFonts w:ascii="Arial" w:cs="Arial" w:eastAsia="Arial" w:hAnsi="Arial"/>
                <w:b/>
                <w:bCs/>
                <w:color w:val="FFFFFF"/>
                <w:sz w:val="18"/>
                <w:szCs w:val="18"/>
              </w:rPr>
              <w:t xml:space="preserve">Strengths</w:t>
            </w:r>
          </w:p>
        </w:tc>
        <w:tc>
          <w:tcPr>
            <w:tcW w:type="dxa" w:w="3480"/>
            <w:shd w:fill="1F3864" w:val="clear"/>
            <w:tcMar>
              <w:top w:type="dxa" w:w="80"/>
              <w:left w:type="dxa" w:w="120"/>
              <w:bottom w:type="dxa" w:w="80"/>
              <w:right w:type="dxa" w:w="120"/>
            </w:tcMar>
          </w:tcPr>
          <w:p>
            <w:r>
              <w:rPr>
                <w:rFonts w:ascii="Arial" w:cs="Arial" w:eastAsia="Arial" w:hAnsi="Arial"/>
                <w:b/>
                <w:bCs/>
                <w:color w:val="FFFFFF"/>
                <w:sz w:val="18"/>
                <w:szCs w:val="18"/>
              </w:rPr>
              <w:t xml:space="preserve">Weaknesses / Gaps</w:t>
            </w:r>
          </w:p>
        </w:tc>
      </w:tr>
      <w:tr>
        <w:tc>
          <w:tcPr>
            <w:tcW w:type="dxa" w:w="24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Genre Conventions</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Task-based structure; clear sectioning; step-by-step instructions</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Inconsistent visual aid usage across sections</w:t>
            </w:r>
          </w:p>
        </w:tc>
      </w:tr>
      <w:tr>
        <w:tc>
          <w:tcPr>
            <w:tcW w:type="dxa" w:w="24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Rhetorical Appeals</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Strong logos and ethos; effective credibility signals</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Pathos appeals are subtle; could be more impactful</w:t>
            </w:r>
          </w:p>
        </w:tc>
      </w:tr>
      <w:tr>
        <w:tc>
          <w:tcPr>
            <w:tcW w:type="dxa" w:w="24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Organization</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Logical task-based sequence mirrors user experience</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Troubleshooting placement could be more prominent</w:t>
            </w:r>
          </w:p>
        </w:tc>
      </w:tr>
      <w:tr>
        <w:tc>
          <w:tcPr>
            <w:tcW w:type="dxa" w:w="24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Document Design</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Consistent typography; effective headings; good white space</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Troubleshooting lacks visuals; print navigation is weak</w:t>
            </w:r>
          </w:p>
        </w:tc>
      </w:tr>
      <w:tr>
        <w:tc>
          <w:tcPr>
            <w:tcW w:type="dxa" w:w="2400"/>
            <w:shd w:fill="F0F5FA" w:val="clear"/>
            <w:tcMar>
              <w:top w:type="dxa" w:w="80"/>
              <w:left w:type="dxa" w:w="120"/>
              <w:bottom w:type="dxa" w:w="80"/>
              <w:right w:type="dxa" w:w="120"/>
            </w:tcMar>
          </w:tcPr>
          <w:p>
            <w:r>
              <w:rPr>
                <w:rFonts w:ascii="Arial" w:cs="Arial" w:eastAsia="Arial" w:hAnsi="Arial"/>
                <w:b w:val="false"/>
                <w:bCs w:val="false"/>
                <w:color w:val="222222"/>
                <w:sz w:val="18"/>
                <w:szCs w:val="18"/>
              </w:rPr>
              <w:t xml:space="preserve">Accessibility</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Strong online hyperlink navigation</w:t>
            </w:r>
          </w:p>
        </w:tc>
        <w:tc>
          <w:tcPr>
            <w:tcW w:type="dxa" w:w="3480"/>
            <w:shd w:fill="FFFFFF" w:val="clear"/>
            <w:tcMar>
              <w:top w:type="dxa" w:w="80"/>
              <w:left w:type="dxa" w:w="120"/>
              <w:bottom w:type="dxa" w:w="80"/>
              <w:right w:type="dxa" w:w="120"/>
            </w:tcMar>
          </w:tcPr>
          <w:p>
            <w:r>
              <w:rPr>
                <w:rFonts w:ascii="Arial" w:cs="Arial" w:eastAsia="Arial" w:hAnsi="Arial"/>
                <w:b w:val="false"/>
                <w:bCs w:val="false"/>
                <w:color w:val="222222"/>
                <w:sz w:val="18"/>
                <w:szCs w:val="18"/>
              </w:rPr>
              <w:t xml:space="preserve">No index or detailed TOC for print version</w:t>
            </w:r>
          </w:p>
        </w:tc>
      </w:tr>
    </w:tbl>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RECOMMENDATIONS</w:t>
      </w:r>
    </w:p>
    <w:p>
      <w:pPr>
        <w:spacing w:before="80" w:after="80"/>
      </w:pPr>
      <w:r>
        <w:rPr>
          <w:rFonts w:ascii="Arial" w:cs="Arial" w:eastAsia="Arial" w:hAnsi="Arial"/>
          <w:sz w:val="20"/>
          <w:szCs w:val="20"/>
        </w:rPr>
        <w:t xml:space="preserve">The following improvements would meaningfully strengthen the manual’s usability and accessibility:</w:t>
      </w:r>
    </w:p>
    <w:p>
      <w:pPr>
        <w:spacing w:before="140" w:after="60"/>
      </w:pPr>
      <w:r>
        <w:rPr>
          <w:rFonts w:ascii="Arial" w:cs="Arial" w:eastAsia="Arial" w:hAnsi="Arial"/>
          <w:b/>
          <w:bCs/>
          <w:color w:val="2E75B6"/>
          <w:sz w:val="20"/>
          <w:szCs w:val="20"/>
        </w:rPr>
        <w:t xml:space="preserve">High Priority</w:t>
      </w:r>
    </w:p>
    <w:p>
      <w:pPr>
        <w:pStyle w:val="ListParagraph"/>
        <w:numPr>
          <w:ilvl w:val="0"/>
          <w:numId w:val="2"/>
        </w:numPr>
        <w:spacing w:before="60" w:after="60"/>
      </w:pPr>
      <w:r>
        <w:rPr>
          <w:rFonts w:ascii="Arial" w:cs="Arial" w:eastAsia="Arial" w:hAnsi="Arial"/>
          <w:sz w:val="20"/>
          <w:szCs w:val="20"/>
        </w:rPr>
        <w:t xml:space="preserve">Add annotated screenshots and diagrams to the troubleshooting section, visually guiding users through each diagnostic step. This directly addresses the manual’s most significant usability gap.</w:t>
      </w:r>
    </w:p>
    <w:p>
      <w:pPr>
        <w:pStyle w:val="ListParagraph"/>
        <w:numPr>
          <w:ilvl w:val="0"/>
          <w:numId w:val="2"/>
        </w:numPr>
        <w:spacing w:before="60" w:after="60"/>
      </w:pPr>
      <w:r>
        <w:rPr>
          <w:rFonts w:ascii="Arial" w:cs="Arial" w:eastAsia="Arial" w:hAnsi="Arial"/>
          <w:sz w:val="20"/>
          <w:szCs w:val="20"/>
        </w:rPr>
        <w:t xml:space="preserve">Introduce a detailed table of contents and back-matter index to the print version, enabling keyword and task-based navigation comparable to the online experience.</w:t>
      </w:r>
    </w:p>
    <w:p>
      <w:pPr>
        <w:spacing w:before="140" w:after="60"/>
      </w:pPr>
      <w:r>
        <w:rPr>
          <w:rFonts w:ascii="Arial" w:cs="Arial" w:eastAsia="Arial" w:hAnsi="Arial"/>
          <w:b/>
          <w:bCs/>
          <w:color w:val="2E75B6"/>
          <w:sz w:val="20"/>
          <w:szCs w:val="20"/>
        </w:rPr>
        <w:t xml:space="preserve">Medium Priority</w:t>
      </w:r>
    </w:p>
    <w:p>
      <w:pPr>
        <w:pStyle w:val="ListParagraph"/>
        <w:numPr>
          <w:ilvl w:val="0"/>
          <w:numId w:val="2"/>
        </w:numPr>
        <w:spacing w:before="60" w:after="60"/>
      </w:pPr>
      <w:r>
        <w:rPr>
          <w:rFonts w:ascii="Arial" w:cs="Arial" w:eastAsia="Arial" w:hAnsi="Arial"/>
          <w:sz w:val="20"/>
          <w:szCs w:val="20"/>
        </w:rPr>
        <w:t xml:space="preserve">Standardize the density of visual aids across all sections so that setup, operation, and troubleshooting receive proportional visual support.</w:t>
      </w:r>
    </w:p>
    <w:p>
      <w:pPr>
        <w:pStyle w:val="ListParagraph"/>
        <w:numPr>
          <w:ilvl w:val="0"/>
          <w:numId w:val="2"/>
        </w:numPr>
        <w:spacing w:before="60" w:after="60"/>
      </w:pPr>
      <w:r>
        <w:rPr>
          <w:rFonts w:ascii="Arial" w:cs="Arial" w:eastAsia="Arial" w:hAnsi="Arial"/>
          <w:sz w:val="20"/>
          <w:szCs w:val="20"/>
        </w:rPr>
        <w:t xml:space="preserve">Increase spacing between text blocks and adjacent images in sections where visual crowding reduces readability.</w:t>
      </w:r>
    </w:p>
    <w:p>
      <w:pPr>
        <w:spacing w:before="140" w:after="60"/>
      </w:pPr>
      <w:r>
        <w:rPr>
          <w:rFonts w:ascii="Arial" w:cs="Arial" w:eastAsia="Arial" w:hAnsi="Arial"/>
          <w:b/>
          <w:bCs/>
          <w:color w:val="2E75B6"/>
          <w:sz w:val="20"/>
          <w:szCs w:val="20"/>
        </w:rPr>
        <w:t xml:space="preserve">Lower Priority</w:t>
      </w:r>
    </w:p>
    <w:p>
      <w:pPr>
        <w:pStyle w:val="ListParagraph"/>
        <w:numPr>
          <w:ilvl w:val="0"/>
          <w:numId w:val="2"/>
        </w:numPr>
        <w:spacing w:before="60" w:after="60"/>
      </w:pPr>
      <w:r>
        <w:rPr>
          <w:rFonts w:ascii="Arial" w:cs="Arial" w:eastAsia="Arial" w:hAnsi="Arial"/>
          <w:sz w:val="20"/>
          <w:szCs w:val="20"/>
        </w:rPr>
        <w:t xml:space="preserve">Expand the FAQ section with user-reported issues sourced from community forums and customer support data, broadening the troubleshooting coverage for real-world scenarios.</w:t>
      </w:r>
    </w:p>
    <w:p>
      <w:pPr>
        <w:pStyle w:val="ListParagraph"/>
        <w:numPr>
          <w:ilvl w:val="0"/>
          <w:numId w:val="2"/>
        </w:numPr>
        <w:spacing w:before="60" w:after="60"/>
      </w:pPr>
      <w:r>
        <w:rPr>
          <w:rFonts w:ascii="Arial" w:cs="Arial" w:eastAsia="Arial" w:hAnsi="Arial"/>
          <w:sz w:val="20"/>
          <w:szCs w:val="20"/>
        </w:rPr>
        <w:t xml:space="preserve">Consider a quick-start card as a separate insert for print users, providing the five most common setup and sync tasks on a single, laminated reference sheet.</w:t>
      </w:r>
    </w:p>
    <w:p>
      <w:pPr>
        <w:pBdr>
          <w:left w:val="single" w:color="2E75B6" w:sz="20"/>
        </w:pBdr>
        <w:shd w:fill="DEEAF1" w:val="clear"/>
        <w:spacing w:before="320" w:after="120"/>
        <w:ind w:left="120" w:right="120"/>
      </w:pPr>
      <w:r>
        <w:rPr>
          <w:rFonts w:ascii="Arial" w:cs="Arial" w:eastAsia="Arial" w:hAnsi="Arial"/>
          <w:b/>
          <w:bCs/>
          <w:caps/>
          <w:color w:val="1F3864"/>
          <w:sz w:val="22"/>
          <w:szCs w:val="22"/>
        </w:rPr>
        <w:t xml:space="preserve">CONCLUSION</w:t>
      </w:r>
    </w:p>
    <w:p>
      <w:pPr>
        <w:spacing w:before="80" w:after="80"/>
      </w:pPr>
      <w:r>
        <w:rPr>
          <w:rFonts w:ascii="Arial" w:cs="Arial" w:eastAsia="Arial" w:hAnsi="Arial"/>
          <w:sz w:val="20"/>
          <w:szCs w:val="20"/>
        </w:rPr>
        <w:t xml:space="preserve">The Fitbit Inspire 3 user manual is a largely effective piece of technical communication. Its task-based organization, consistent typographic hierarchy, and credible, well-structured content make it accessible and useful for its primary audience of general consumers. The manual successfully employs all three rhetorical appeals and follows established genre conventions for consumer product documentation.</w:t>
      </w:r>
    </w:p>
    <w:p>
      <w:pPr>
        <w:spacing w:before="80" w:after="80"/>
      </w:pPr>
      <w:r>
        <w:rPr>
          <w:rFonts w:ascii="Arial" w:cs="Arial" w:eastAsia="Arial" w:hAnsi="Arial"/>
          <w:sz w:val="20"/>
          <w:szCs w:val="20"/>
        </w:rPr>
        <w:t xml:space="preserve">Its principal weaknesses — insufficient visual aids in the troubleshooting section and limited navigation support in the print version — are addressable without restructuring the document. Targeted additions of annotated visuals and a comprehensive print index would bring the manual’s usability fully in line with its otherwise strong foundation, making it a more effective reference tool for the full range of Fitbit Inspire 3 users.</w:t>
      </w:r>
    </w:p>
    <w:p>
      <w:pPr>
        <w:spacing w:before="200"/>
      </w:pPr>
    </w:p>
    <w:p>
      <w:pPr>
        <w:pBdr>
          <w:top w:val="single" w:color="CCCCCC" w:sz="4" w:space="4"/>
        </w:pBdr>
        <w:spacing w:before="160" w:after="60"/>
        <w:jc w:val="center"/>
      </w:pPr>
      <w:r>
        <w:rPr>
          <w:rFonts w:ascii="Arial" w:cs="Arial" w:eastAsia="Arial" w:hAnsi="Arial"/>
          <w:color w:val="888888"/>
          <w:sz w:val="16"/>
          <w:szCs w:val="16"/>
        </w:rPr>
        <w:t xml:space="preserve">Samuel Owusu  •  Technical Communication  •  University of Houston-Downtown  •  2025</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2026-03-05T01:10:40.347Z</dcterms:created>
  <dcterms:modified xsi:type="dcterms:W3CDTF">2026-03-05T01:10:40.348Z</dcterms:modified>
</cp:coreProperties>
</file>

<file path=docProps/custom.xml><?xml version="1.0" encoding="utf-8"?>
<Properties xmlns="http://schemas.openxmlformats.org/officeDocument/2006/custom-properties" xmlns:vt="http://schemas.openxmlformats.org/officeDocument/2006/docPropsVTypes"/>
</file>