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CC98FC" w14:textId="77777777" w:rsidR="005B091D" w:rsidRDefault="00D47018">
      <w:pPr>
        <w:pStyle w:val="aa"/>
        <w:jc w:val="center"/>
      </w:pPr>
      <w:r>
        <w:rPr>
          <w:rFonts w:ascii="Arial" w:eastAsia="Microsoft YaHei" w:hAnsi="Arial"/>
        </w:rPr>
        <w:t>NeurIPS 2017 | Attention Is All You Need</w:t>
      </w:r>
      <w:r>
        <w:rPr>
          <w:rFonts w:ascii="Arial" w:eastAsia="Microsoft YaHei" w:hAnsi="Arial"/>
        </w:rPr>
        <w:t>：让注意力成为模型骨架</w:t>
      </w:r>
    </w:p>
    <w:p w14:paraId="4A15C37A" w14:textId="77777777" w:rsidR="005B091D" w:rsidRDefault="00D47018">
      <w:pPr>
        <w:pStyle w:val="WechatSubtitle"/>
        <w:jc w:val="center"/>
      </w:pPr>
      <w:r>
        <w:t xml:space="preserve">Transformer </w:t>
      </w:r>
      <w:r>
        <w:t>如何用</w:t>
      </w:r>
      <w:r>
        <w:t xml:space="preserve"> self-attention </w:t>
      </w:r>
      <w:r>
        <w:t>替代循环和卷积，并在机器翻译上提升质量与训练效率</w:t>
      </w:r>
    </w:p>
    <w:p w14:paraId="3FF9078C" w14:textId="77777777" w:rsidR="005B091D" w:rsidRDefault="00D47018">
      <w:pPr>
        <w:pStyle w:val="WechatBody"/>
        <w:rPr>
          <w:lang w:eastAsia="zh-CN"/>
        </w:rPr>
      </w:pPr>
      <w:r>
        <w:t>在</w:t>
      </w:r>
      <w:r>
        <w:t xml:space="preserve"> Transformer </w:t>
      </w:r>
      <w:r>
        <w:t>之前，主流序列转导模型通常围绕</w:t>
      </w:r>
      <w:r>
        <w:t xml:space="preserve"> RNN </w:t>
      </w:r>
      <w:r>
        <w:t>或</w:t>
      </w:r>
      <w:r>
        <w:t xml:space="preserve"> CNN </w:t>
      </w:r>
      <w:r>
        <w:t>构建。</w:t>
      </w:r>
      <w:r>
        <w:rPr>
          <w:lang w:eastAsia="zh-CN"/>
        </w:rPr>
        <w:t>它们可以处理翻译、语言建模等任务，但计算路径要么按时间步展开，要么受局部卷积窗口限制。句子越长，远距离依赖越难学，训练也越难充分并行。</w:t>
      </w:r>
    </w:p>
    <w:p w14:paraId="4FA352BC" w14:textId="77777777" w:rsidR="005B091D" w:rsidRDefault="00D47018">
      <w:pPr>
        <w:pStyle w:val="WechatBody"/>
      </w:pPr>
      <w:r>
        <w:t>《</w:t>
      </w:r>
      <w:r>
        <w:t>Attention Is All You Need</w:t>
      </w:r>
      <w:r>
        <w:t>》的关键问题很直接：如果</w:t>
      </w:r>
      <w:r>
        <w:t xml:space="preserve"> attention </w:t>
      </w:r>
      <w:r>
        <w:t>不再只是</w:t>
      </w:r>
      <w:r>
        <w:t xml:space="preserve"> RNN </w:t>
      </w:r>
      <w:r>
        <w:t>外面的辅助模块，而是承担整个</w:t>
      </w:r>
      <w:r>
        <w:t xml:space="preserve"> encoder-decoder </w:t>
      </w:r>
      <w:r>
        <w:t>的主干计算，会发生什么？论文给出的答案就是</w:t>
      </w:r>
      <w:r>
        <w:t xml:space="preserve"> Transformer</w:t>
      </w:r>
      <w:r>
        <w:t>。它保留</w:t>
      </w:r>
      <w:r>
        <w:t xml:space="preserve"> encoder-decoder </w:t>
      </w:r>
      <w:r>
        <w:t>框架，但把内部计算换成</w:t>
      </w:r>
      <w:r>
        <w:t xml:space="preserve"> stacked self-attention </w:t>
      </w:r>
      <w:r>
        <w:t>和</w:t>
      </w:r>
      <w:r>
        <w:t xml:space="preserve"> position-wise feed-forward networks</w:t>
      </w:r>
      <w:r>
        <w:t>。</w:t>
      </w:r>
    </w:p>
    <w:p w14:paraId="47A9DE13" w14:textId="77777777" w:rsidR="005B091D" w:rsidRDefault="00D47018">
      <w:pPr>
        <w:keepNext/>
        <w:jc w:val="center"/>
      </w:pPr>
      <w:r>
        <w:rPr>
          <w:noProof/>
        </w:rPr>
        <w:drawing>
          <wp:inline distT="0" distB="0" distL="0" distR="0" wp14:anchorId="30567F4D" wp14:editId="48953EA4">
            <wp:extent cx="2459314" cy="36086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3_figur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2477" cy="364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4855" w14:textId="77777777" w:rsidR="005B091D" w:rsidRDefault="00D47018">
      <w:pPr>
        <w:pStyle w:val="WechatCaption"/>
        <w:jc w:val="center"/>
      </w:pPr>
      <w:r>
        <w:t>图</w:t>
      </w:r>
      <w:r>
        <w:t xml:space="preserve"> 1. Transformer </w:t>
      </w:r>
      <w:r>
        <w:t>的整体架构：</w:t>
      </w:r>
      <w:r>
        <w:t xml:space="preserve">encoder </w:t>
      </w:r>
      <w:r>
        <w:t>和</w:t>
      </w:r>
      <w:r>
        <w:t xml:space="preserve"> decoder </w:t>
      </w:r>
      <w:r>
        <w:t>都由多层</w:t>
      </w:r>
      <w:r>
        <w:t xml:space="preserve"> self-attention </w:t>
      </w:r>
      <w:r>
        <w:t>与前馈网络堆叠而成，</w:t>
      </w:r>
      <w:r>
        <w:t xml:space="preserve">decoder </w:t>
      </w:r>
      <w:r>
        <w:t>额外使用</w:t>
      </w:r>
      <w:r>
        <w:t xml:space="preserve"> masked self-attention </w:t>
      </w:r>
      <w:r>
        <w:t>和</w:t>
      </w:r>
      <w:r>
        <w:t xml:space="preserve"> encoder-decoder attention</w:t>
      </w:r>
      <w:r>
        <w:t>。</w:t>
      </w:r>
    </w:p>
    <w:p w14:paraId="1118BF05" w14:textId="77777777" w:rsidR="005B091D" w:rsidRDefault="00D47018">
      <w:pPr>
        <w:pStyle w:val="1"/>
        <w:rPr>
          <w:lang w:eastAsia="zh-CN"/>
        </w:rPr>
      </w:pPr>
      <w:r>
        <w:rPr>
          <w:lang w:eastAsia="zh-CN"/>
        </w:rPr>
        <w:lastRenderedPageBreak/>
        <w:t>为什么是</w:t>
      </w:r>
      <w:r>
        <w:rPr>
          <w:lang w:eastAsia="zh-CN"/>
        </w:rPr>
        <w:t xml:space="preserve"> attention</w:t>
      </w:r>
    </w:p>
    <w:p w14:paraId="7D64E9FF" w14:textId="77777777" w:rsidR="005B091D" w:rsidRDefault="00D47018">
      <w:pPr>
        <w:pStyle w:val="WechatBody"/>
        <w:rPr>
          <w:lang w:eastAsia="zh-CN"/>
        </w:rPr>
      </w:pPr>
      <w:r>
        <w:rPr>
          <w:lang w:eastAsia="zh-CN"/>
        </w:rPr>
        <w:t>论文的动机既是效率问题，也是表示能力问题。</w:t>
      </w:r>
      <w:r>
        <w:rPr>
          <w:lang w:eastAsia="zh-CN"/>
        </w:rPr>
        <w:t xml:space="preserve">RNN </w:t>
      </w:r>
      <w:r>
        <w:rPr>
          <w:lang w:eastAsia="zh-CN"/>
        </w:rPr>
        <w:t>中两个相距很远的</w:t>
      </w:r>
      <w:r>
        <w:rPr>
          <w:lang w:eastAsia="zh-CN"/>
        </w:rPr>
        <w:t xml:space="preserve"> token </w:t>
      </w:r>
      <w:r>
        <w:rPr>
          <w:lang w:eastAsia="zh-CN"/>
        </w:rPr>
        <w:t>要通过很多隐藏状态传递信息；卷积可以缩短路径，但仍然不是任意位置之间的一跳连接。</w:t>
      </w:r>
      <w:r>
        <w:rPr>
          <w:lang w:eastAsia="zh-CN"/>
        </w:rPr>
        <w:t xml:space="preserve">Self-attention </w:t>
      </w:r>
      <w:r>
        <w:rPr>
          <w:lang w:eastAsia="zh-CN"/>
        </w:rPr>
        <w:t>让每个</w:t>
      </w:r>
      <w:r>
        <w:rPr>
          <w:lang w:eastAsia="zh-CN"/>
        </w:rPr>
        <w:t xml:space="preserve"> token </w:t>
      </w:r>
      <w:r>
        <w:rPr>
          <w:lang w:eastAsia="zh-CN"/>
        </w:rPr>
        <w:t>都能直接访问序列中的其他</w:t>
      </w:r>
      <w:r>
        <w:rPr>
          <w:lang w:eastAsia="zh-CN"/>
        </w:rPr>
        <w:t xml:space="preserve"> token</w:t>
      </w:r>
      <w:r>
        <w:rPr>
          <w:lang w:eastAsia="zh-CN"/>
        </w:rPr>
        <w:t>，从而把长距离依赖的路径长度降到常数。</w:t>
      </w:r>
    </w:p>
    <w:p w14:paraId="2371CAE8" w14:textId="77777777" w:rsidR="005B091D" w:rsidRDefault="00D47018">
      <w:pPr>
        <w:pStyle w:val="WechatBody"/>
        <w:rPr>
          <w:lang w:eastAsia="zh-CN"/>
        </w:rPr>
      </w:pPr>
      <w:r>
        <w:rPr>
          <w:lang w:eastAsia="zh-CN"/>
        </w:rPr>
        <w:t xml:space="preserve">Multi-head attention </w:t>
      </w:r>
      <w:r>
        <w:rPr>
          <w:lang w:eastAsia="zh-CN"/>
        </w:rPr>
        <w:t>是其中的核心设计。模型不是只在一个表示空间里做一次注意力，而是把表示投影到多个子空间，分别学习不同关系，再拼接回统一表示。论文中的</w:t>
      </w:r>
      <w:r>
        <w:rPr>
          <w:lang w:eastAsia="zh-CN"/>
        </w:rPr>
        <w:t xml:space="preserve"> base model </w:t>
      </w:r>
      <w:r>
        <w:rPr>
          <w:lang w:eastAsia="zh-CN"/>
        </w:rPr>
        <w:t>使用</w:t>
      </w:r>
      <w:r>
        <w:rPr>
          <w:lang w:eastAsia="zh-CN"/>
        </w:rPr>
        <w:t xml:space="preserve"> dmodel = 512</w:t>
      </w:r>
      <w:r>
        <w:rPr>
          <w:lang w:eastAsia="zh-CN"/>
        </w:rPr>
        <w:t>、</w:t>
      </w:r>
      <w:r>
        <w:rPr>
          <w:lang w:eastAsia="zh-CN"/>
        </w:rPr>
        <w:t xml:space="preserve">8 </w:t>
      </w:r>
      <w:r>
        <w:rPr>
          <w:lang w:eastAsia="zh-CN"/>
        </w:rPr>
        <w:t>个</w:t>
      </w:r>
      <w:r>
        <w:rPr>
          <w:lang w:eastAsia="zh-CN"/>
        </w:rPr>
        <w:t xml:space="preserve"> heads</w:t>
      </w:r>
      <w:r>
        <w:rPr>
          <w:lang w:eastAsia="zh-CN"/>
        </w:rPr>
        <w:t>，且每个</w:t>
      </w:r>
      <w:r>
        <w:rPr>
          <w:lang w:eastAsia="zh-CN"/>
        </w:rPr>
        <w:t xml:space="preserve"> head </w:t>
      </w:r>
      <w:r>
        <w:rPr>
          <w:lang w:eastAsia="zh-CN"/>
        </w:rPr>
        <w:t>的</w:t>
      </w:r>
      <w:r>
        <w:rPr>
          <w:lang w:eastAsia="zh-CN"/>
        </w:rPr>
        <w:t xml:space="preserve"> dk = dv = 64</w:t>
      </w:r>
      <w:r>
        <w:rPr>
          <w:lang w:eastAsia="zh-CN"/>
        </w:rPr>
        <w:t>。</w:t>
      </w:r>
    </w:p>
    <w:p w14:paraId="5F81F614" w14:textId="77777777" w:rsidR="005B091D" w:rsidRDefault="00D47018">
      <w:pPr>
        <w:pStyle w:val="1"/>
        <w:rPr>
          <w:lang w:eastAsia="zh-CN"/>
        </w:rPr>
      </w:pPr>
      <w:r>
        <w:rPr>
          <w:lang w:eastAsia="zh-CN"/>
        </w:rPr>
        <w:t>结果说明了什么</w:t>
      </w:r>
    </w:p>
    <w:p w14:paraId="17CA4844" w14:textId="77777777" w:rsidR="005B091D" w:rsidRDefault="00D47018">
      <w:pPr>
        <w:pStyle w:val="WechatBody"/>
        <w:rPr>
          <w:lang w:eastAsia="zh-CN"/>
        </w:rPr>
      </w:pPr>
      <w:r>
        <w:rPr>
          <w:lang w:eastAsia="zh-CN"/>
        </w:rPr>
        <w:t>实验集中在</w:t>
      </w:r>
      <w:r>
        <w:rPr>
          <w:lang w:eastAsia="zh-CN"/>
        </w:rPr>
        <w:t xml:space="preserve"> WMT 2014 English-German </w:t>
      </w:r>
      <w:r>
        <w:rPr>
          <w:lang w:eastAsia="zh-CN"/>
        </w:rPr>
        <w:t>和</w:t>
      </w:r>
      <w:r>
        <w:rPr>
          <w:lang w:eastAsia="zh-CN"/>
        </w:rPr>
        <w:t xml:space="preserve"> English-French </w:t>
      </w:r>
      <w:r>
        <w:rPr>
          <w:lang w:eastAsia="zh-CN"/>
        </w:rPr>
        <w:t>两个标准机器翻译任务。</w:t>
      </w:r>
      <w:r>
        <w:rPr>
          <w:lang w:eastAsia="zh-CN"/>
        </w:rPr>
        <w:t xml:space="preserve">Transformer big </w:t>
      </w:r>
      <w:r>
        <w:rPr>
          <w:lang w:eastAsia="zh-CN"/>
        </w:rPr>
        <w:t>在</w:t>
      </w:r>
      <w:r>
        <w:rPr>
          <w:lang w:eastAsia="zh-CN"/>
        </w:rPr>
        <w:t xml:space="preserve"> English-German </w:t>
      </w:r>
      <w:r>
        <w:rPr>
          <w:lang w:eastAsia="zh-CN"/>
        </w:rPr>
        <w:t>上达到</w:t>
      </w:r>
      <w:r>
        <w:rPr>
          <w:lang w:eastAsia="zh-CN"/>
        </w:rPr>
        <w:t xml:space="preserve"> 28.4 BLEU</w:t>
      </w:r>
      <w:r>
        <w:rPr>
          <w:lang w:eastAsia="zh-CN"/>
        </w:rPr>
        <w:t>，比论文中报告的既有最佳结果（包括</w:t>
      </w:r>
      <w:r>
        <w:rPr>
          <w:lang w:eastAsia="zh-CN"/>
        </w:rPr>
        <w:t xml:space="preserve"> ensembles</w:t>
      </w:r>
      <w:r>
        <w:rPr>
          <w:lang w:eastAsia="zh-CN"/>
        </w:rPr>
        <w:t>）高出超过</w:t>
      </w:r>
      <w:r>
        <w:rPr>
          <w:lang w:eastAsia="zh-CN"/>
        </w:rPr>
        <w:t xml:space="preserve"> 2 BLEU</w:t>
      </w:r>
      <w:r>
        <w:rPr>
          <w:lang w:eastAsia="zh-CN"/>
        </w:rPr>
        <w:t>；在</w:t>
      </w:r>
      <w:r>
        <w:rPr>
          <w:lang w:eastAsia="zh-CN"/>
        </w:rPr>
        <w:t xml:space="preserve"> English-French </w:t>
      </w:r>
      <w:r>
        <w:rPr>
          <w:lang w:eastAsia="zh-CN"/>
        </w:rPr>
        <w:t>上达到</w:t>
      </w:r>
      <w:r>
        <w:rPr>
          <w:lang w:eastAsia="zh-CN"/>
        </w:rPr>
        <w:t xml:space="preserve"> 41.8 BLEU</w:t>
      </w:r>
      <w:r>
        <w:rPr>
          <w:lang w:eastAsia="zh-CN"/>
        </w:rPr>
        <w:t>，并且训练只用了</w:t>
      </w:r>
      <w:r>
        <w:rPr>
          <w:lang w:eastAsia="zh-CN"/>
        </w:rPr>
        <w:t xml:space="preserve"> 8 </w:t>
      </w:r>
      <w:r>
        <w:rPr>
          <w:lang w:eastAsia="zh-CN"/>
        </w:rPr>
        <w:t>块</w:t>
      </w:r>
      <w:r>
        <w:rPr>
          <w:lang w:eastAsia="zh-CN"/>
        </w:rPr>
        <w:t xml:space="preserve"> GPU </w:t>
      </w:r>
      <w:r>
        <w:rPr>
          <w:lang w:eastAsia="zh-CN"/>
        </w:rPr>
        <w:t>上的</w:t>
      </w:r>
      <w:r>
        <w:rPr>
          <w:lang w:eastAsia="zh-CN"/>
        </w:rPr>
        <w:t xml:space="preserve"> 3.5 </w:t>
      </w:r>
      <w:r>
        <w:rPr>
          <w:lang w:eastAsia="zh-CN"/>
        </w:rPr>
        <w:t>天。</w:t>
      </w:r>
    </w:p>
    <w:p w14:paraId="46431ADD" w14:textId="77777777" w:rsidR="005B091D" w:rsidRDefault="00D47018">
      <w:pPr>
        <w:pStyle w:val="WechatCaption"/>
        <w:jc w:val="center"/>
        <w:rPr>
          <w:lang w:eastAsia="zh-CN"/>
        </w:rPr>
      </w:pPr>
      <w:r>
        <w:rPr>
          <w:b/>
          <w:lang w:eastAsia="zh-CN"/>
        </w:rPr>
        <w:t>表</w:t>
      </w:r>
      <w:r>
        <w:rPr>
          <w:b/>
          <w:lang w:eastAsia="zh-CN"/>
        </w:rPr>
        <w:t xml:space="preserve"> 1. </w:t>
      </w:r>
      <w:r>
        <w:rPr>
          <w:b/>
          <w:lang w:eastAsia="zh-CN"/>
        </w:rPr>
        <w:t>论文中的关键数字摘要。</w:t>
      </w:r>
    </w:p>
    <w:tbl>
      <w:tblPr>
        <w:tblStyle w:val="aff1"/>
        <w:tblW w:w="9360" w:type="dxa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5B091D" w14:paraId="4F57D03D" w14:textId="77777777">
        <w:trPr>
          <w:jc w:val="center"/>
        </w:trPr>
        <w:tc>
          <w:tcPr>
            <w:tcW w:w="4680" w:type="dxa"/>
            <w:shd w:val="clear" w:color="auto" w:fill="F2F4F7"/>
            <w:vAlign w:val="center"/>
          </w:tcPr>
          <w:p w14:paraId="176A790A" w14:textId="77777777" w:rsidR="005B091D" w:rsidRDefault="00D47018">
            <w:pPr>
              <w:spacing w:after="0"/>
              <w:jc w:val="center"/>
            </w:pPr>
            <w:proofErr w:type="spellStart"/>
            <w:r>
              <w:rPr>
                <w:b/>
                <w:sz w:val="18"/>
              </w:rPr>
              <w:t>项目</w:t>
            </w:r>
            <w:proofErr w:type="spellEnd"/>
          </w:p>
        </w:tc>
        <w:tc>
          <w:tcPr>
            <w:tcW w:w="4680" w:type="dxa"/>
            <w:shd w:val="clear" w:color="auto" w:fill="F2F4F7"/>
            <w:vAlign w:val="center"/>
          </w:tcPr>
          <w:p w14:paraId="6AB2258F" w14:textId="77777777" w:rsidR="005B091D" w:rsidRDefault="00D47018">
            <w:pPr>
              <w:spacing w:after="0"/>
              <w:jc w:val="center"/>
            </w:pPr>
            <w:r>
              <w:rPr>
                <w:b/>
                <w:sz w:val="18"/>
              </w:rPr>
              <w:t>数值</w:t>
            </w:r>
          </w:p>
        </w:tc>
      </w:tr>
      <w:tr w:rsidR="005B091D" w14:paraId="3A0DB703" w14:textId="77777777">
        <w:trPr>
          <w:jc w:val="center"/>
        </w:trPr>
        <w:tc>
          <w:tcPr>
            <w:tcW w:w="4680" w:type="dxa"/>
            <w:vAlign w:val="center"/>
          </w:tcPr>
          <w:p w14:paraId="76DCA693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WMT 2014 English-German</w:t>
            </w:r>
          </w:p>
        </w:tc>
        <w:tc>
          <w:tcPr>
            <w:tcW w:w="4680" w:type="dxa"/>
            <w:vAlign w:val="center"/>
          </w:tcPr>
          <w:p w14:paraId="09EF3D42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28.4 BLEU</w:t>
            </w:r>
          </w:p>
        </w:tc>
      </w:tr>
      <w:tr w:rsidR="005B091D" w14:paraId="26D92452" w14:textId="77777777">
        <w:trPr>
          <w:jc w:val="center"/>
        </w:trPr>
        <w:tc>
          <w:tcPr>
            <w:tcW w:w="4680" w:type="dxa"/>
            <w:vAlign w:val="center"/>
          </w:tcPr>
          <w:p w14:paraId="3B32C41C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WMT 2014 English-French</w:t>
            </w:r>
          </w:p>
        </w:tc>
        <w:tc>
          <w:tcPr>
            <w:tcW w:w="4680" w:type="dxa"/>
            <w:vAlign w:val="center"/>
          </w:tcPr>
          <w:p w14:paraId="259A2DBB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41.8 BLEU</w:t>
            </w:r>
          </w:p>
        </w:tc>
      </w:tr>
      <w:tr w:rsidR="005B091D" w14:paraId="5B96801C" w14:textId="77777777">
        <w:trPr>
          <w:jc w:val="center"/>
        </w:trPr>
        <w:tc>
          <w:tcPr>
            <w:tcW w:w="4680" w:type="dxa"/>
            <w:vAlign w:val="center"/>
          </w:tcPr>
          <w:p w14:paraId="735318E8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训练时间</w:t>
            </w:r>
          </w:p>
        </w:tc>
        <w:tc>
          <w:tcPr>
            <w:tcW w:w="4680" w:type="dxa"/>
            <w:vAlign w:val="center"/>
          </w:tcPr>
          <w:p w14:paraId="55EF622F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 xml:space="preserve">3.5 </w:t>
            </w:r>
            <w:r>
              <w:rPr>
                <w:sz w:val="18"/>
              </w:rPr>
              <w:t>天，</w:t>
            </w:r>
            <w:r>
              <w:rPr>
                <w:sz w:val="18"/>
              </w:rPr>
              <w:t xml:space="preserve">8 </w:t>
            </w:r>
            <w:r>
              <w:rPr>
                <w:sz w:val="18"/>
              </w:rPr>
              <w:t>块</w:t>
            </w:r>
            <w:r>
              <w:rPr>
                <w:sz w:val="18"/>
              </w:rPr>
              <w:t xml:space="preserve"> GPU</w:t>
            </w:r>
          </w:p>
        </w:tc>
      </w:tr>
      <w:tr w:rsidR="005B091D" w14:paraId="7AE78969" w14:textId="77777777">
        <w:trPr>
          <w:jc w:val="center"/>
        </w:trPr>
        <w:tc>
          <w:tcPr>
            <w:tcW w:w="4680" w:type="dxa"/>
            <w:vAlign w:val="center"/>
          </w:tcPr>
          <w:p w14:paraId="37BDA69C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参数规模</w:t>
            </w:r>
          </w:p>
        </w:tc>
        <w:tc>
          <w:tcPr>
            <w:tcW w:w="4680" w:type="dxa"/>
            <w:vAlign w:val="center"/>
          </w:tcPr>
          <w:p w14:paraId="01AD92DB" w14:textId="77777777" w:rsidR="005B091D" w:rsidRDefault="00D47018">
            <w:pPr>
              <w:spacing w:after="0"/>
              <w:jc w:val="center"/>
            </w:pPr>
            <w:r>
              <w:rPr>
                <w:sz w:val="18"/>
              </w:rPr>
              <w:t>65M base / 213M big</w:t>
            </w:r>
          </w:p>
        </w:tc>
      </w:tr>
    </w:tbl>
    <w:p w14:paraId="1F8F87A5" w14:textId="77777777" w:rsidR="005B091D" w:rsidRDefault="00D47018">
      <w:pPr>
        <w:pStyle w:val="WechatBody"/>
        <w:rPr>
          <w:lang w:eastAsia="zh-CN"/>
        </w:rPr>
      </w:pPr>
      <w:r>
        <w:rPr>
          <w:lang w:eastAsia="zh-CN"/>
        </w:rPr>
        <w:t>消融实验也支持这些设计选择。</w:t>
      </w:r>
      <w:r>
        <w:rPr>
          <w:lang w:eastAsia="zh-CN"/>
        </w:rPr>
        <w:t xml:space="preserve">Table 3 </w:t>
      </w:r>
      <w:r>
        <w:rPr>
          <w:lang w:eastAsia="zh-CN"/>
        </w:rPr>
        <w:t>显示，把</w:t>
      </w:r>
      <w:r>
        <w:rPr>
          <w:lang w:eastAsia="zh-CN"/>
        </w:rPr>
        <w:t xml:space="preserve"> 8-head attention </w:t>
      </w:r>
      <w:r>
        <w:rPr>
          <w:lang w:eastAsia="zh-CN"/>
        </w:rPr>
        <w:t>改成</w:t>
      </w:r>
      <w:r>
        <w:rPr>
          <w:lang w:eastAsia="zh-CN"/>
        </w:rPr>
        <w:t xml:space="preserve"> single head </w:t>
      </w:r>
      <w:r>
        <w:rPr>
          <w:lang w:eastAsia="zh-CN"/>
        </w:rPr>
        <w:t>会让</w:t>
      </w:r>
      <w:r>
        <w:rPr>
          <w:lang w:eastAsia="zh-CN"/>
        </w:rPr>
        <w:t xml:space="preserve"> BLEU </w:t>
      </w:r>
      <w:r>
        <w:rPr>
          <w:lang w:eastAsia="zh-CN"/>
        </w:rPr>
        <w:t>从</w:t>
      </w:r>
      <w:r>
        <w:rPr>
          <w:lang w:eastAsia="zh-CN"/>
        </w:rPr>
        <w:t xml:space="preserve"> 25.8 </w:t>
      </w:r>
      <w:r>
        <w:rPr>
          <w:lang w:eastAsia="zh-CN"/>
        </w:rPr>
        <w:t>降到</w:t>
      </w:r>
      <w:r>
        <w:rPr>
          <w:lang w:eastAsia="zh-CN"/>
        </w:rPr>
        <w:t xml:space="preserve"> 24.9</w:t>
      </w:r>
      <w:r>
        <w:rPr>
          <w:lang w:eastAsia="zh-CN"/>
        </w:rPr>
        <w:t>；缩小</w:t>
      </w:r>
      <w:r>
        <w:rPr>
          <w:lang w:eastAsia="zh-CN"/>
        </w:rPr>
        <w:t xml:space="preserve"> key dimension </w:t>
      </w:r>
      <w:r>
        <w:rPr>
          <w:lang w:eastAsia="zh-CN"/>
        </w:rPr>
        <w:t>同样会降低质量。</w:t>
      </w:r>
      <w:r>
        <w:rPr>
          <w:lang w:eastAsia="zh-CN"/>
        </w:rPr>
        <w:t xml:space="preserve">Learned positional embeddings </w:t>
      </w:r>
      <w:r>
        <w:rPr>
          <w:lang w:eastAsia="zh-CN"/>
        </w:rPr>
        <w:t>与</w:t>
      </w:r>
      <w:r>
        <w:rPr>
          <w:lang w:eastAsia="zh-CN"/>
        </w:rPr>
        <w:t xml:space="preserve"> sinusoidal encodings </w:t>
      </w:r>
      <w:r>
        <w:rPr>
          <w:lang w:eastAsia="zh-CN"/>
        </w:rPr>
        <w:t>的差距只有</w:t>
      </w:r>
      <w:r>
        <w:rPr>
          <w:lang w:eastAsia="zh-CN"/>
        </w:rPr>
        <w:t xml:space="preserve"> 0.1 BLEU</w:t>
      </w:r>
      <w:r>
        <w:rPr>
          <w:lang w:eastAsia="zh-CN"/>
        </w:rPr>
        <w:t>，因此论文选择后者来保留长度外推上的便利。</w:t>
      </w:r>
    </w:p>
    <w:p w14:paraId="60539124" w14:textId="77777777" w:rsidR="005B091D" w:rsidRDefault="00D47018">
      <w:pPr>
        <w:keepNext/>
        <w:jc w:val="center"/>
      </w:pPr>
      <w:r>
        <w:rPr>
          <w:noProof/>
        </w:rPr>
        <w:drawing>
          <wp:inline distT="0" distB="0" distL="0" distR="0" wp14:anchorId="20C5DDFD" wp14:editId="59B97E16">
            <wp:extent cx="3495921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3_figure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1450" cy="19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07DF" w14:textId="1A4FC26F" w:rsidR="005B091D" w:rsidRDefault="00D47018">
      <w:pPr>
        <w:pStyle w:val="WechatCaption"/>
        <w:jc w:val="center"/>
      </w:pPr>
      <w:r>
        <w:t>图</w:t>
      </w:r>
      <w:r>
        <w:t xml:space="preserve"> 2. attention visualization</w:t>
      </w:r>
      <w:r>
        <w:t>：部分</w:t>
      </w:r>
      <w:r>
        <w:t xml:space="preserve"> attention heads </w:t>
      </w:r>
      <w:r>
        <w:t>会关注长距离依赖，展示</w:t>
      </w:r>
      <w:r>
        <w:t xml:space="preserve"> self-attention </w:t>
      </w:r>
      <w:r>
        <w:t>可解释的一面。</w:t>
      </w:r>
    </w:p>
    <w:p w14:paraId="2CDE97CE" w14:textId="77777777" w:rsidR="005B091D" w:rsidRDefault="00D47018">
      <w:pPr>
        <w:pStyle w:val="1"/>
      </w:pPr>
      <w:r>
        <w:lastRenderedPageBreak/>
        <w:t>一个更长远的意义</w:t>
      </w:r>
    </w:p>
    <w:p w14:paraId="7272909A" w14:textId="77777777" w:rsidR="005B091D" w:rsidRDefault="00D47018">
      <w:pPr>
        <w:pStyle w:val="WechatBody"/>
      </w:pPr>
      <w:r>
        <w:t>这篇论文最重要的结论不是某个单点组件，而是</w:t>
      </w:r>
      <w:r>
        <w:t xml:space="preserve">“attention </w:t>
      </w:r>
      <w:r>
        <w:t>可以成为</w:t>
      </w:r>
      <w:r>
        <w:t xml:space="preserve"> backbone”</w:t>
      </w:r>
      <w:r>
        <w:t>。去掉</w:t>
      </w:r>
      <w:r>
        <w:t xml:space="preserve"> recurrence </w:t>
      </w:r>
      <w:r>
        <w:t>和</w:t>
      </w:r>
      <w:r>
        <w:t xml:space="preserve"> convolution </w:t>
      </w:r>
      <w:r>
        <w:t>之后，模型仍然能在翻译上达到当时的</w:t>
      </w:r>
      <w:r>
        <w:t xml:space="preserve"> state of the art</w:t>
      </w:r>
      <w:r>
        <w:t>，同时训练更并行、更快。这个结构后来成为大量语言、视觉、音频和多模态模型的共同基础。</w:t>
      </w:r>
    </w:p>
    <w:p w14:paraId="30225653" w14:textId="77777777" w:rsidR="005B091D" w:rsidRDefault="00D47018">
      <w:pPr>
        <w:pStyle w:val="WechatBody"/>
      </w:pPr>
      <w:r>
        <w:t>论文链接：</w:t>
      </w:r>
      <w:r>
        <w:t>https://arxiv.org/abs/1706.03762</w:t>
      </w:r>
    </w:p>
    <w:sectPr w:rsidR="005B091D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5375209">
    <w:abstractNumId w:val="8"/>
  </w:num>
  <w:num w:numId="2" w16cid:durableId="316497179">
    <w:abstractNumId w:val="6"/>
  </w:num>
  <w:num w:numId="3" w16cid:durableId="1193377073">
    <w:abstractNumId w:val="5"/>
  </w:num>
  <w:num w:numId="4" w16cid:durableId="29261329">
    <w:abstractNumId w:val="4"/>
  </w:num>
  <w:num w:numId="5" w16cid:durableId="114955319">
    <w:abstractNumId w:val="7"/>
  </w:num>
  <w:num w:numId="6" w16cid:durableId="1387872390">
    <w:abstractNumId w:val="3"/>
  </w:num>
  <w:num w:numId="7" w16cid:durableId="48380478">
    <w:abstractNumId w:val="2"/>
  </w:num>
  <w:num w:numId="8" w16cid:durableId="997732415">
    <w:abstractNumId w:val="1"/>
  </w:num>
  <w:num w:numId="9" w16cid:durableId="1935941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12D1"/>
    <w:rsid w:val="00326F90"/>
    <w:rsid w:val="00475CA8"/>
    <w:rsid w:val="004E7D6C"/>
    <w:rsid w:val="0054633D"/>
    <w:rsid w:val="005B091D"/>
    <w:rsid w:val="009771E2"/>
    <w:rsid w:val="00AA1D8D"/>
    <w:rsid w:val="00B47730"/>
    <w:rsid w:val="00CB0664"/>
    <w:rsid w:val="00D470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4BA83C"/>
  <w14:defaultImageDpi w14:val="300"/>
  <w15:docId w15:val="{427C864A-C0CF-9843-969F-F822696D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64" w:lineRule="auto"/>
    </w:pPr>
    <w:rPr>
      <w:rFonts w:ascii="Arial" w:eastAsia="Microsoft YaHei" w:hAnsi="Arial"/>
      <w:color w:val="00000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545"/>
      <w:spacing w:val="5"/>
      <w:kern w:val="28"/>
      <w:sz w:val="44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echatBody">
    <w:name w:val="Wechat Body"/>
    <w:pPr>
      <w:spacing w:after="120" w:line="264" w:lineRule="auto"/>
      <w:ind w:firstLine="403"/>
      <w:jc w:val="both"/>
    </w:pPr>
    <w:rPr>
      <w:rFonts w:ascii="Arial" w:eastAsia="Microsoft YaHei" w:hAnsi="Arial"/>
      <w:color w:val="000000"/>
    </w:rPr>
  </w:style>
  <w:style w:type="paragraph" w:customStyle="1" w:styleId="WechatCaption">
    <w:name w:val="Wechat Caption"/>
    <w:pPr>
      <w:spacing w:before="40" w:line="264" w:lineRule="auto"/>
    </w:pPr>
    <w:rPr>
      <w:rFonts w:ascii="Arial" w:eastAsia="Microsoft YaHei" w:hAnsi="Arial"/>
      <w:color w:val="555555"/>
      <w:sz w:val="19"/>
    </w:rPr>
  </w:style>
  <w:style w:type="paragraph" w:customStyle="1" w:styleId="WechatSubtitle">
    <w:name w:val="Wechat Subtitle"/>
    <w:pPr>
      <w:spacing w:line="264" w:lineRule="auto"/>
    </w:pPr>
    <w:rPr>
      <w:rFonts w:ascii="Arial" w:eastAsia="Microsoft YaHei" w:hAnsi="Arial"/>
      <w:color w:val="555555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</cp:lastModifiedBy>
  <cp:revision>4</cp:revision>
  <dcterms:created xsi:type="dcterms:W3CDTF">2013-12-23T23:15:00Z</dcterms:created>
  <dcterms:modified xsi:type="dcterms:W3CDTF">2026-07-01T18:19:00Z</dcterms:modified>
  <cp:category/>
</cp:coreProperties>
</file>