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20660" w14:textId="2330E711" w:rsidR="0084672C" w:rsidRPr="0084672C" w:rsidRDefault="0084672C" w:rsidP="0084672C">
      <w:pPr>
        <w:jc w:val="center"/>
        <w:rPr>
          <w:rFonts w:ascii="黑体" w:eastAsia="黑体" w:hAnsi="黑体"/>
          <w:sz w:val="36"/>
          <w:szCs w:val="40"/>
        </w:rPr>
      </w:pPr>
      <w:r w:rsidRPr="0084672C">
        <w:rPr>
          <w:rFonts w:ascii="黑体" w:eastAsia="黑体" w:hAnsi="黑体" w:hint="eastAsia"/>
          <w:sz w:val="36"/>
          <w:szCs w:val="40"/>
        </w:rPr>
        <w:t>工程伦理期末作业</w:t>
      </w:r>
    </w:p>
    <w:p w14:paraId="4A641E89" w14:textId="018CEDE7" w:rsidR="0084672C" w:rsidRPr="0084672C" w:rsidRDefault="0084672C" w:rsidP="0084672C">
      <w:pPr>
        <w:jc w:val="center"/>
        <w:rPr>
          <w:rFonts w:ascii="黑体" w:eastAsia="黑体" w:hAnsi="黑体" w:hint="eastAsia"/>
          <w:sz w:val="28"/>
          <w:szCs w:val="32"/>
        </w:rPr>
      </w:pPr>
      <w:r w:rsidRPr="0084672C">
        <w:rPr>
          <w:rFonts w:ascii="黑体" w:eastAsia="黑体" w:hAnsi="黑体" w:hint="eastAsia"/>
          <w:sz w:val="28"/>
          <w:szCs w:val="32"/>
        </w:rPr>
        <w:t>蔡思远 22321002</w:t>
      </w:r>
    </w:p>
    <w:p w14:paraId="67F96E9C" w14:textId="2D966F4D" w:rsidR="0084672C" w:rsidRPr="0084672C" w:rsidRDefault="0084672C">
      <w:pPr>
        <w:rPr>
          <w:rFonts w:ascii="黑体" w:eastAsia="黑体" w:hAnsi="黑体" w:hint="eastAsia"/>
          <w:sz w:val="28"/>
          <w:szCs w:val="32"/>
        </w:rPr>
      </w:pPr>
      <w:r w:rsidRPr="0084672C">
        <w:rPr>
          <w:rFonts w:ascii="黑体" w:eastAsia="黑体" w:hAnsi="黑体" w:hint="eastAsia"/>
          <w:sz w:val="28"/>
          <w:szCs w:val="32"/>
        </w:rPr>
        <w:t>问题</w:t>
      </w:r>
      <w:r w:rsidR="00517585">
        <w:rPr>
          <w:rFonts w:ascii="黑体" w:eastAsia="黑体" w:hAnsi="黑体" w:hint="eastAsia"/>
          <w:sz w:val="28"/>
          <w:szCs w:val="32"/>
        </w:rPr>
        <w:t>2</w:t>
      </w:r>
      <w:r w:rsidRPr="0084672C">
        <w:rPr>
          <w:rFonts w:ascii="黑体" w:eastAsia="黑体" w:hAnsi="黑体" w:hint="eastAsia"/>
          <w:sz w:val="28"/>
          <w:szCs w:val="32"/>
        </w:rPr>
        <w:t>：</w:t>
      </w:r>
      <w:r w:rsidRPr="0084672C">
        <w:rPr>
          <w:rFonts w:ascii="黑体" w:eastAsia="黑体" w:hAnsi="黑体"/>
          <w:sz w:val="28"/>
          <w:szCs w:val="32"/>
        </w:rPr>
        <w:t>有些利益攸关方（如：子孙后代、动植物）的权利在当下没法被代表，在这样的情况下，如何确保他（它）们的“权益”，实现公正？</w:t>
      </w:r>
      <w:r w:rsidRPr="0084672C">
        <w:rPr>
          <w:rFonts w:ascii="黑体" w:eastAsia="黑体" w:hAnsi="黑体" w:hint="eastAsia"/>
          <w:sz w:val="28"/>
          <w:szCs w:val="32"/>
        </w:rPr>
        <w:t>举例说明</w:t>
      </w:r>
    </w:p>
    <w:p w14:paraId="24207D28" w14:textId="61EC2F31" w:rsidR="0084672C" w:rsidRDefault="0084672C">
      <w:pPr>
        <w:rPr>
          <w:rFonts w:ascii="宋体" w:eastAsia="宋体" w:hAnsi="宋体" w:hint="eastAsia"/>
        </w:rPr>
      </w:pPr>
      <w:r>
        <w:rPr>
          <w:rFonts w:ascii="宋体" w:eastAsia="宋体" w:hAnsi="宋体"/>
        </w:rPr>
        <w:tab/>
      </w:r>
      <w:r>
        <w:rPr>
          <w:rFonts w:ascii="宋体" w:eastAsia="宋体" w:hAnsi="宋体" w:hint="eastAsia"/>
        </w:rPr>
        <w:t>对于这类没法被代表的利益方的利益，即无法短期内被量化的利益，我认为唯一的手段既是尝试量化该利益。我在查阅资料试图回答这个问题的时候，得到的答案多是诸如“设立自然保护组织”“立法将（比如</w:t>
      </w:r>
      <w:r w:rsidR="00EE29C3">
        <w:rPr>
          <w:rFonts w:ascii="宋体" w:eastAsia="宋体" w:hAnsi="宋体" w:hint="eastAsia"/>
        </w:rPr>
        <w:t>动植物</w:t>
      </w:r>
      <w:r>
        <w:rPr>
          <w:rFonts w:ascii="宋体" w:eastAsia="宋体" w:hAnsi="宋体" w:hint="eastAsia"/>
        </w:rPr>
        <w:t>保护）置于首位”等手段，我的理解是这些手段本质上是在利用人类的主观能动性，即“从道德层面出发我应该这样做”，但我认为这样的规训是十分脆弱的，因为这类基于主观能动系的政策都要求利益方对自己的利益进行（短期内）几乎毫无回报的舍弃，这是与人类趋利避害的本性相悖的。</w:t>
      </w:r>
    </w:p>
    <w:p w14:paraId="58EB7358" w14:textId="52BE44E0" w:rsidR="0084672C" w:rsidRDefault="0084672C">
      <w:pPr>
        <w:rPr>
          <w:rFonts w:ascii="宋体" w:eastAsia="宋体" w:hAnsi="宋体"/>
        </w:rPr>
      </w:pPr>
      <w:r>
        <w:rPr>
          <w:rFonts w:ascii="宋体" w:eastAsia="宋体" w:hAnsi="宋体"/>
        </w:rPr>
        <w:tab/>
      </w:r>
      <w:r>
        <w:rPr>
          <w:rFonts w:ascii="宋体" w:eastAsia="宋体" w:hAnsi="宋体" w:hint="eastAsia"/>
        </w:rPr>
        <w:t>因此我认为，确保“当下没法被代表的利益方利益”</w:t>
      </w:r>
      <w:r w:rsidR="00EE29C3">
        <w:rPr>
          <w:rFonts w:ascii="宋体" w:eastAsia="宋体" w:hAnsi="宋体" w:hint="eastAsia"/>
        </w:rPr>
        <w:t>受到保护</w:t>
      </w:r>
      <w:r>
        <w:rPr>
          <w:rFonts w:ascii="宋体" w:eastAsia="宋体" w:hAnsi="宋体" w:hint="eastAsia"/>
        </w:rPr>
        <w:t>所需的手段，即是从本质出发，让其利益</w:t>
      </w:r>
      <w:r w:rsidR="00EE29C3">
        <w:rPr>
          <w:rFonts w:ascii="宋体" w:eastAsia="宋体" w:hAnsi="宋体" w:hint="eastAsia"/>
        </w:rPr>
        <w:t>得以被量化，使“当下可以被代表的利益方”在需要为了这些无法量化的利益而舍弃自身利益时可以得到相应的可量化的补偿（比如经济补偿等），或者在其想要侵害这些无法量化的利益时需要付出相应的可量化的代价（比如经济赔付等）。只有这样，才能从人类本性出发对</w:t>
      </w:r>
      <w:r w:rsidR="00EE29C3">
        <w:rPr>
          <w:rFonts w:ascii="宋体" w:eastAsia="宋体" w:hAnsi="宋体" w:hint="eastAsia"/>
        </w:rPr>
        <w:t>“当下没法被代表的利益方利益”</w:t>
      </w:r>
      <w:r w:rsidR="00EE29C3">
        <w:rPr>
          <w:rFonts w:ascii="宋体" w:eastAsia="宋体" w:hAnsi="宋体" w:hint="eastAsia"/>
        </w:rPr>
        <w:t>进行保护。</w:t>
      </w:r>
    </w:p>
    <w:p w14:paraId="2C975DB5" w14:textId="77777777" w:rsidR="00EE29C3" w:rsidRDefault="00EE29C3">
      <w:pPr>
        <w:rPr>
          <w:rFonts w:ascii="宋体" w:eastAsia="宋体" w:hAnsi="宋体"/>
        </w:rPr>
      </w:pPr>
      <w:r>
        <w:rPr>
          <w:rFonts w:ascii="宋体" w:eastAsia="宋体" w:hAnsi="宋体"/>
        </w:rPr>
        <w:tab/>
      </w:r>
      <w:r>
        <w:rPr>
          <w:rFonts w:ascii="宋体" w:eastAsia="宋体" w:hAnsi="宋体" w:hint="eastAsia"/>
        </w:rPr>
        <w:t>实际例子中，我认为最具代表性也最广为人知的方法之一就是</w:t>
      </w:r>
      <w:r w:rsidRPr="00517585">
        <w:rPr>
          <w:rFonts w:ascii="宋体" w:eastAsia="宋体" w:hAnsi="宋体" w:hint="eastAsia"/>
        </w:rPr>
        <w:t>碳交易</w:t>
      </w:r>
      <w:r>
        <w:rPr>
          <w:rFonts w:ascii="宋体" w:eastAsia="宋体" w:hAnsi="宋体" w:hint="eastAsia"/>
        </w:rPr>
        <w:t>政策。</w:t>
      </w:r>
      <w:r w:rsidRPr="00EE29C3">
        <w:rPr>
          <w:rFonts w:ascii="宋体" w:eastAsia="宋体" w:hAnsi="宋体"/>
        </w:rPr>
        <w:t>它通过设定“排放总量限额”与“可买卖排放权”，将大气中的碳排放变成一个可以衡量、定价、交易的“变量”，从而推动企业和社会减少碳排放，实现环境价值的内部化。</w:t>
      </w:r>
      <w:r>
        <w:rPr>
          <w:rFonts w:ascii="宋体" w:eastAsia="宋体" w:hAnsi="宋体" w:hint="eastAsia"/>
        </w:rPr>
        <w:t>在实际操作中：</w:t>
      </w:r>
    </w:p>
    <w:p w14:paraId="76C11051" w14:textId="03F8530E" w:rsidR="00EE29C3" w:rsidRDefault="00EE29C3">
      <w:pPr>
        <w:rPr>
          <w:rFonts w:ascii="宋体" w:eastAsia="宋体" w:hAnsi="宋体"/>
        </w:rPr>
      </w:pPr>
      <w:r>
        <w:rPr>
          <w:rFonts w:ascii="宋体" w:eastAsia="宋体" w:hAnsi="宋体"/>
        </w:rPr>
        <w:tab/>
      </w:r>
      <w:r>
        <w:rPr>
          <w:rFonts w:ascii="宋体" w:eastAsia="宋体" w:hAnsi="宋体" w:hint="eastAsia"/>
        </w:rPr>
        <w:t>1、不同企业每年可以免费或拍卖获得每吨二氧化碳的排放权；</w:t>
      </w:r>
    </w:p>
    <w:p w14:paraId="03FED67C" w14:textId="4187FC5C" w:rsidR="00EE29C3" w:rsidRDefault="00EE29C3">
      <w:pPr>
        <w:rPr>
          <w:rFonts w:ascii="宋体" w:eastAsia="宋体" w:hAnsi="宋体"/>
        </w:rPr>
      </w:pPr>
      <w:r>
        <w:rPr>
          <w:rFonts w:ascii="宋体" w:eastAsia="宋体" w:hAnsi="宋体"/>
        </w:rPr>
        <w:tab/>
      </w:r>
      <w:r>
        <w:rPr>
          <w:rFonts w:ascii="宋体" w:eastAsia="宋体" w:hAnsi="宋体" w:hint="eastAsia"/>
        </w:rPr>
        <w:t>2、</w:t>
      </w:r>
      <w:r w:rsidRPr="00EE29C3">
        <w:rPr>
          <w:rFonts w:ascii="宋体" w:eastAsia="宋体" w:hAnsi="宋体"/>
        </w:rPr>
        <w:t>企业将多余配额出售；若配额不足，即需从他人手中补购或降低自身排放。</w:t>
      </w:r>
    </w:p>
    <w:p w14:paraId="43AD3BB0" w14:textId="0C97D133" w:rsidR="00EE29C3" w:rsidRDefault="00EE29C3">
      <w:pPr>
        <w:rPr>
          <w:rFonts w:ascii="宋体" w:eastAsia="宋体" w:hAnsi="宋体"/>
        </w:rPr>
      </w:pPr>
      <w:r>
        <w:rPr>
          <w:rFonts w:ascii="宋体" w:eastAsia="宋体" w:hAnsi="宋体"/>
        </w:rPr>
        <w:tab/>
      </w:r>
      <w:r>
        <w:rPr>
          <w:rFonts w:ascii="宋体" w:eastAsia="宋体" w:hAnsi="宋体" w:hint="eastAsia"/>
        </w:rPr>
        <w:t>3、</w:t>
      </w:r>
      <w:r w:rsidRPr="00EE29C3">
        <w:rPr>
          <w:rFonts w:ascii="宋体" w:eastAsia="宋体" w:hAnsi="宋体"/>
        </w:rPr>
        <w:t>因为配额总量逐年压缩，市场价格上升，激励企业不断投资减排技术。</w:t>
      </w:r>
    </w:p>
    <w:p w14:paraId="5CF894EF" w14:textId="73294D7A" w:rsidR="00EE29C3" w:rsidRDefault="00EE29C3">
      <w:pPr>
        <w:rPr>
          <w:rFonts w:ascii="宋体" w:eastAsia="宋体" w:hAnsi="宋体"/>
        </w:rPr>
      </w:pPr>
      <w:r>
        <w:rPr>
          <w:rFonts w:ascii="宋体" w:eastAsia="宋体" w:hAnsi="宋体"/>
        </w:rPr>
        <w:tab/>
      </w:r>
      <w:r>
        <w:rPr>
          <w:rFonts w:ascii="宋体" w:eastAsia="宋体" w:hAnsi="宋体" w:hint="eastAsia"/>
        </w:rPr>
        <w:t>基于此类措施，由于碳排放量直接与金钱挂钩，企业在制定发展战略，即进行成本分析及规划时就会将碳排放量纳入成本考量，间接的将环境保护这类“当下没法被代表的利益方利益”与“</w:t>
      </w:r>
      <w:r>
        <w:rPr>
          <w:rFonts w:ascii="宋体" w:eastAsia="宋体" w:hAnsi="宋体" w:hint="eastAsia"/>
        </w:rPr>
        <w:t>当下可以被代表的利益方</w:t>
      </w:r>
      <w:r>
        <w:rPr>
          <w:rFonts w:ascii="宋体" w:eastAsia="宋体" w:hAnsi="宋体" w:hint="eastAsia"/>
        </w:rPr>
        <w:t>利益”相连接，通过客观上的经济压力逼迫企业进行环境保护。</w:t>
      </w:r>
    </w:p>
    <w:p w14:paraId="00BFCA83" w14:textId="77777777" w:rsidR="00517585" w:rsidRDefault="00EE29C3" w:rsidP="00517585">
      <w:pPr>
        <w:rPr>
          <w:rFonts w:ascii="宋体" w:eastAsia="宋体" w:hAnsi="宋体"/>
        </w:rPr>
      </w:pPr>
      <w:r>
        <w:rPr>
          <w:rFonts w:ascii="宋体" w:eastAsia="宋体" w:hAnsi="宋体"/>
        </w:rPr>
        <w:tab/>
      </w:r>
      <w:r>
        <w:rPr>
          <w:rFonts w:ascii="宋体" w:eastAsia="宋体" w:hAnsi="宋体" w:hint="eastAsia"/>
        </w:rPr>
        <w:t>而政府在其中担任的即为“严厉监管者”而非大包大揽的单纯“政策制定者”的</w:t>
      </w:r>
      <w:r>
        <w:rPr>
          <w:rFonts w:ascii="宋体" w:eastAsia="宋体" w:hAnsi="宋体" w:hint="eastAsia"/>
        </w:rPr>
        <w:lastRenderedPageBreak/>
        <w:t>角色。</w:t>
      </w:r>
      <w:r w:rsidRPr="00EE29C3">
        <w:rPr>
          <w:rFonts w:ascii="宋体" w:eastAsia="宋体" w:hAnsi="宋体"/>
        </w:rPr>
        <w:t>企业每年提交实际排放数据，</w:t>
      </w:r>
      <w:r w:rsidR="00517585">
        <w:rPr>
          <w:rFonts w:ascii="宋体" w:eastAsia="宋体" w:hAnsi="宋体" w:hint="eastAsia"/>
        </w:rPr>
        <w:t>政府相关人员</w:t>
      </w:r>
      <w:r w:rsidRPr="00EE29C3">
        <w:rPr>
          <w:rFonts w:ascii="宋体" w:eastAsia="宋体" w:hAnsi="宋体"/>
        </w:rPr>
        <w:t>对照持有的配额</w:t>
      </w:r>
      <w:r w:rsidR="00517585">
        <w:rPr>
          <w:rFonts w:ascii="宋体" w:eastAsia="宋体" w:hAnsi="宋体" w:hint="eastAsia"/>
        </w:rPr>
        <w:t>严格</w:t>
      </w:r>
      <w:r w:rsidRPr="00EE29C3">
        <w:rPr>
          <w:rFonts w:ascii="宋体" w:eastAsia="宋体" w:hAnsi="宋体"/>
        </w:rPr>
        <w:t>检查差额，违规则面临罚款。</w:t>
      </w:r>
    </w:p>
    <w:p w14:paraId="745DDB7A" w14:textId="6262950C" w:rsidR="00EE29C3" w:rsidRPr="00517585" w:rsidRDefault="00517585" w:rsidP="00517585">
      <w:pPr>
        <w:rPr>
          <w:rFonts w:ascii="宋体" w:eastAsia="宋体" w:hAnsi="宋体" w:hint="eastAsia"/>
        </w:rPr>
      </w:pPr>
      <w:r>
        <w:rPr>
          <w:rFonts w:ascii="宋体" w:eastAsia="宋体" w:hAnsi="宋体"/>
        </w:rPr>
        <w:tab/>
      </w:r>
      <w:r>
        <w:rPr>
          <w:rFonts w:ascii="宋体" w:eastAsia="宋体" w:hAnsi="宋体" w:hint="eastAsia"/>
        </w:rPr>
        <w:t>实际案例中：</w:t>
      </w:r>
      <w:r w:rsidRPr="00517585">
        <w:rPr>
          <w:rFonts w:ascii="宋体" w:eastAsia="宋体" w:hAnsi="宋体"/>
        </w:rPr>
        <w:t>欧盟排放交易体系（EU</w:t>
      </w:r>
      <w:r>
        <w:rPr>
          <w:rFonts w:ascii="宋体" w:eastAsia="宋体" w:hAnsi="宋体" w:hint="eastAsia"/>
        </w:rPr>
        <w:t>、</w:t>
      </w:r>
      <w:r w:rsidRPr="00517585">
        <w:rPr>
          <w:rFonts w:ascii="宋体" w:eastAsia="宋体" w:hAnsi="宋体"/>
        </w:rPr>
        <w:t>ETS）成立于2005年，覆盖电力、制造、航空等行业，占欧盟约45%碳排放。因为配额逐步收紧，研究显示2005–2012年减排效果达10%，还促进当地空气质量改善</w:t>
      </w:r>
      <w:r>
        <w:rPr>
          <w:rFonts w:ascii="宋体" w:eastAsia="宋体" w:hAnsi="宋体" w:hint="eastAsia"/>
        </w:rPr>
        <w:t>；</w:t>
      </w:r>
      <w:r w:rsidRPr="00517585">
        <w:rPr>
          <w:rFonts w:ascii="宋体" w:eastAsia="宋体" w:hAnsi="宋体"/>
        </w:rPr>
        <w:t>美国东北RGGI从2009年开始建立区域合作市场，通过每季度拍卖配额并监控价格，已累筹逾47亿美元收入。</w:t>
      </w:r>
    </w:p>
    <w:p w14:paraId="63910C65" w14:textId="4B5D3219" w:rsidR="00517585" w:rsidRDefault="00517585" w:rsidP="00517585">
      <w:pPr>
        <w:rPr>
          <w:rFonts w:ascii="宋体" w:eastAsia="宋体" w:hAnsi="宋体"/>
        </w:rPr>
      </w:pPr>
      <w:r>
        <w:rPr>
          <w:rFonts w:ascii="宋体" w:eastAsia="宋体" w:hAnsi="宋体"/>
        </w:rPr>
        <w:tab/>
      </w:r>
      <w:r>
        <w:rPr>
          <w:rFonts w:ascii="宋体" w:eastAsia="宋体" w:hAnsi="宋体" w:hint="eastAsia"/>
        </w:rPr>
        <w:t>碳排放政策之外，</w:t>
      </w:r>
      <w:r w:rsidRPr="00517585">
        <w:rPr>
          <w:rFonts w:ascii="宋体" w:eastAsia="宋体" w:hAnsi="宋体"/>
        </w:rPr>
        <w:t>1996年哥斯达黎加制定林业法，设立国家林业基金（FONAFIFO），用国家或私营资金向私人林地主支付，条件是他们维持或恢复森林。服务类型包括碳汇、水源保护、生物多样性和生态美景等</w:t>
      </w:r>
      <w:r>
        <w:rPr>
          <w:rFonts w:ascii="宋体" w:eastAsia="宋体" w:hAnsi="宋体" w:hint="eastAsia"/>
        </w:rPr>
        <w:t>。政府</w:t>
      </w:r>
      <w:r w:rsidRPr="00517585">
        <w:rPr>
          <w:rFonts w:ascii="宋体" w:eastAsia="宋体" w:hAnsi="宋体"/>
        </w:rPr>
        <w:t>量化森林提供的碳储存、水源净化等“生态变量”</w:t>
      </w:r>
      <w:r>
        <w:rPr>
          <w:rFonts w:ascii="宋体" w:eastAsia="宋体" w:hAnsi="宋体" w:hint="eastAsia"/>
        </w:rPr>
        <w:t>，</w:t>
      </w:r>
      <w:r w:rsidRPr="00517585">
        <w:rPr>
          <w:rFonts w:ascii="宋体" w:eastAsia="宋体" w:hAnsi="宋体"/>
        </w:rPr>
        <w:t>以合同方式支付，为“不可视”利益设立可交易价值</w:t>
      </w:r>
      <w:r>
        <w:rPr>
          <w:rFonts w:ascii="宋体" w:eastAsia="宋体" w:hAnsi="宋体" w:hint="eastAsia"/>
        </w:rPr>
        <w:t>，保证私人林地主在舍弃相关自然利益后可以得到补偿，因此提高了其参与生态环境保护的积极性。</w:t>
      </w:r>
      <w:r w:rsidRPr="00517585">
        <w:rPr>
          <w:rFonts w:ascii="宋体" w:eastAsia="宋体" w:hAnsi="宋体"/>
        </w:rPr>
        <w:t>实施多年后累计保护百万公顷森林。</w:t>
      </w:r>
    </w:p>
    <w:p w14:paraId="7AFCD56E" w14:textId="77777777" w:rsidR="00517585" w:rsidRPr="00517585" w:rsidRDefault="00517585" w:rsidP="00517585">
      <w:pPr>
        <w:rPr>
          <w:rFonts w:ascii="宋体" w:eastAsia="宋体" w:hAnsi="宋体" w:hint="eastAsia"/>
        </w:rPr>
      </w:pPr>
      <w:r>
        <w:rPr>
          <w:rFonts w:ascii="宋体" w:eastAsia="宋体" w:hAnsi="宋体"/>
        </w:rPr>
        <w:tab/>
      </w:r>
      <w:r>
        <w:rPr>
          <w:rFonts w:ascii="宋体" w:eastAsia="宋体" w:hAnsi="宋体" w:hint="eastAsia"/>
        </w:rPr>
        <w:t>可以看到，通过这种量化“不可量化利益”的措施，经济利益和不可量化利益（比如环境保护效应）可以兼得。</w:t>
      </w:r>
    </w:p>
    <w:p w14:paraId="3EC27695" w14:textId="5094E8A0" w:rsidR="00517585" w:rsidRPr="00517585" w:rsidRDefault="00517585" w:rsidP="00517585">
      <w:pPr>
        <w:rPr>
          <w:rFonts w:ascii="宋体" w:eastAsia="宋体" w:hAnsi="宋体" w:hint="eastAsia"/>
        </w:rPr>
      </w:pPr>
    </w:p>
    <w:p w14:paraId="52F66521" w14:textId="77777777" w:rsidR="00517585" w:rsidRDefault="00517585">
      <w:pPr>
        <w:rPr>
          <w:rFonts w:ascii="宋体" w:eastAsia="宋体" w:hAnsi="宋体"/>
        </w:rPr>
      </w:pPr>
    </w:p>
    <w:p w14:paraId="3E697E1F" w14:textId="3A7FE121" w:rsidR="00517585" w:rsidRPr="0084672C" w:rsidRDefault="00517585" w:rsidP="00517585">
      <w:pPr>
        <w:rPr>
          <w:rFonts w:ascii="黑体" w:eastAsia="黑体" w:hAnsi="黑体" w:hint="eastAsia"/>
          <w:sz w:val="28"/>
          <w:szCs w:val="32"/>
        </w:rPr>
      </w:pPr>
      <w:r w:rsidRPr="0084672C">
        <w:rPr>
          <w:rFonts w:ascii="黑体" w:eastAsia="黑体" w:hAnsi="黑体" w:hint="eastAsia"/>
          <w:sz w:val="28"/>
          <w:szCs w:val="32"/>
        </w:rPr>
        <w:t>问题</w:t>
      </w:r>
      <w:r>
        <w:rPr>
          <w:rFonts w:ascii="黑体" w:eastAsia="黑体" w:hAnsi="黑体" w:hint="eastAsia"/>
          <w:sz w:val="28"/>
          <w:szCs w:val="32"/>
        </w:rPr>
        <w:t>3</w:t>
      </w:r>
      <w:r w:rsidRPr="0084672C">
        <w:rPr>
          <w:rFonts w:ascii="黑体" w:eastAsia="黑体" w:hAnsi="黑体" w:hint="eastAsia"/>
          <w:sz w:val="28"/>
          <w:szCs w:val="32"/>
        </w:rPr>
        <w:t>：</w:t>
      </w:r>
      <w:r w:rsidRPr="00517585">
        <w:rPr>
          <w:rFonts w:ascii="黑体" w:eastAsia="黑体" w:hAnsi="黑体"/>
          <w:sz w:val="28"/>
          <w:szCs w:val="32"/>
        </w:rPr>
        <w:t>大数据创新离不开基于真实大数据的科学研究活动。请查阅资料，思考并讨论大数据科学研究可能涉及哪些伦理问题，大数据科研伦理行为规范应该包含那些内容？举例说明</w:t>
      </w:r>
    </w:p>
    <w:p w14:paraId="7F9B3BD5" w14:textId="7C4ECE5F" w:rsidR="005B5F45" w:rsidRPr="005B5F45" w:rsidRDefault="005B5F45">
      <w:pPr>
        <w:rPr>
          <w:rFonts w:ascii="宋体" w:eastAsia="宋体" w:hAnsi="宋体"/>
        </w:rPr>
      </w:pPr>
      <w:r>
        <w:rPr>
          <w:rFonts w:ascii="宋体" w:eastAsia="宋体" w:hAnsi="宋体" w:hint="eastAsia"/>
        </w:rPr>
        <w:t>一、</w:t>
      </w:r>
      <w:r w:rsidRPr="005B5F45">
        <w:rPr>
          <w:rFonts w:ascii="宋体" w:eastAsia="宋体" w:hAnsi="宋体" w:hint="eastAsia"/>
        </w:rPr>
        <w:t>伦理问题：</w:t>
      </w:r>
    </w:p>
    <w:p w14:paraId="7C109F95" w14:textId="3DD71707" w:rsidR="00517585" w:rsidRPr="0006043C" w:rsidRDefault="0006043C">
      <w:pPr>
        <w:rPr>
          <w:rFonts w:ascii="宋体" w:eastAsia="宋体" w:hAnsi="宋体"/>
          <w:b/>
          <w:bCs/>
        </w:rPr>
      </w:pPr>
      <w:r w:rsidRPr="0006043C">
        <w:rPr>
          <w:rFonts w:ascii="宋体" w:eastAsia="宋体" w:hAnsi="宋体" w:hint="eastAsia"/>
          <w:b/>
          <w:bCs/>
        </w:rPr>
        <w:t>（1）数据被使用者的知情同意权</w:t>
      </w:r>
      <w:r>
        <w:rPr>
          <w:rFonts w:ascii="宋体" w:eastAsia="宋体" w:hAnsi="宋体" w:hint="eastAsia"/>
          <w:b/>
          <w:bCs/>
        </w:rPr>
        <w:t>问题</w:t>
      </w:r>
    </w:p>
    <w:p w14:paraId="601F9D91" w14:textId="3AF25E83" w:rsidR="0006043C" w:rsidRDefault="0006043C">
      <w:pPr>
        <w:rPr>
          <w:rFonts w:ascii="宋体" w:eastAsia="宋体" w:hAnsi="宋体"/>
        </w:rPr>
      </w:pPr>
      <w:r>
        <w:rPr>
          <w:rFonts w:ascii="宋体" w:eastAsia="宋体" w:hAnsi="宋体"/>
        </w:rPr>
        <w:tab/>
      </w:r>
      <w:r>
        <w:rPr>
          <w:rFonts w:ascii="宋体" w:eastAsia="宋体" w:hAnsi="宋体" w:hint="eastAsia"/>
        </w:rPr>
        <w:t>大数据大多采用的二次数据，而非直接向用户征求数据，因此</w:t>
      </w:r>
      <w:r w:rsidRPr="0006043C">
        <w:rPr>
          <w:rFonts w:ascii="宋体" w:eastAsia="宋体" w:hAnsi="宋体"/>
        </w:rPr>
        <w:t>数据主体常常未清楚知晓其数据被研究的目的、范围和潜在风险，甚至数据可能用于敏感或公开的研究，违背知情同意原则。</w:t>
      </w:r>
      <w:r>
        <w:rPr>
          <w:rFonts w:ascii="宋体" w:eastAsia="宋体" w:hAnsi="宋体" w:hint="eastAsia"/>
        </w:rPr>
        <w:t>比如</w:t>
      </w:r>
      <w:r w:rsidRPr="0006043C">
        <w:rPr>
          <w:rFonts w:ascii="宋体" w:eastAsia="宋体" w:hAnsi="宋体"/>
        </w:rPr>
        <w:t>2016年科研人员未经用户明确许可抓取并公开发布了近7</w:t>
      </w:r>
      <w:r w:rsidRPr="0006043C">
        <w:rPr>
          <w:rFonts w:ascii="Times New Roman" w:eastAsia="宋体" w:hAnsi="Times New Roman" w:cs="Times New Roman"/>
        </w:rPr>
        <w:t> </w:t>
      </w:r>
      <w:r w:rsidRPr="0006043C">
        <w:rPr>
          <w:rFonts w:ascii="宋体" w:eastAsia="宋体" w:hAnsi="宋体"/>
        </w:rPr>
        <w:t>万名OkCupid会员的资料，包括姓名、性取向、政治态度等信息，</w:t>
      </w:r>
      <w:r>
        <w:rPr>
          <w:rFonts w:ascii="宋体" w:eastAsia="宋体" w:hAnsi="宋体" w:hint="eastAsia"/>
        </w:rPr>
        <w:t>严重违反了研究伦理。</w:t>
      </w:r>
    </w:p>
    <w:p w14:paraId="3602718A" w14:textId="5010F31E" w:rsidR="0006043C" w:rsidRPr="0006043C" w:rsidRDefault="0006043C">
      <w:pPr>
        <w:rPr>
          <w:rFonts w:ascii="宋体" w:eastAsia="宋体" w:hAnsi="宋体"/>
          <w:b/>
          <w:bCs/>
        </w:rPr>
      </w:pPr>
      <w:r w:rsidRPr="0006043C">
        <w:rPr>
          <w:rFonts w:ascii="宋体" w:eastAsia="宋体" w:hAnsi="宋体" w:hint="eastAsia"/>
          <w:b/>
          <w:bCs/>
        </w:rPr>
        <w:t>（2）公平与算法偏见问题</w:t>
      </w:r>
    </w:p>
    <w:p w14:paraId="30223402" w14:textId="58A3C6DA" w:rsidR="0006043C" w:rsidRDefault="0006043C" w:rsidP="005B5F45">
      <w:pPr>
        <w:rPr>
          <w:rFonts w:ascii="宋体" w:eastAsia="宋体" w:hAnsi="宋体" w:hint="eastAsia"/>
        </w:rPr>
      </w:pPr>
      <w:r>
        <w:rPr>
          <w:rFonts w:ascii="宋体" w:eastAsia="宋体" w:hAnsi="宋体"/>
        </w:rPr>
        <w:tab/>
      </w:r>
      <w:r>
        <w:rPr>
          <w:rFonts w:ascii="宋体" w:eastAsia="宋体" w:hAnsi="宋体" w:hint="eastAsia"/>
        </w:rPr>
        <w:t>训练数据与模型算法不透明，而大数据本质上一定存在</w:t>
      </w:r>
      <w:r w:rsidR="005B5F45">
        <w:rPr>
          <w:rFonts w:ascii="宋体" w:eastAsia="宋体" w:hAnsi="宋体" w:hint="eastAsia"/>
        </w:rPr>
        <w:t>数据占比倾向，比如某个地区某个人种占绝对多数，就会导致大数据中的该人种数据占据绝对优势，这种现象导致了实际大数据应用时（比如模型训练、数据分析等），具备样本数量优势的个体可能受到优待（比如针对该类个体的模型应用准确率较高或者数据分析更具可信度等），</w:t>
      </w:r>
      <w:r w:rsidR="005B5F45">
        <w:rPr>
          <w:rFonts w:ascii="宋体" w:eastAsia="宋体" w:hAnsi="宋体" w:hint="eastAsia"/>
        </w:rPr>
        <w:lastRenderedPageBreak/>
        <w:t>而少数群体则往往会受到忽视，进而导致公平问题。</w:t>
      </w:r>
      <w:r w:rsidR="005B5F45" w:rsidRPr="005B5F45">
        <w:rPr>
          <w:rFonts w:ascii="宋体" w:eastAsia="宋体" w:hAnsi="宋体"/>
        </w:rPr>
        <w:t>Joy Buolamwini和Timnit Gebru于2018年发表的Gender Shades研究发现，商用人脸识别系统对深肤色女性的识别误差高达34%，而对白人男性的误差低于1%。这类偏见已诱发错误逮捕、招聘失误等严重后果。</w:t>
      </w:r>
    </w:p>
    <w:p w14:paraId="583A582D" w14:textId="3CF90309" w:rsidR="0006043C" w:rsidRPr="005B5F45" w:rsidRDefault="005B5F45">
      <w:pPr>
        <w:rPr>
          <w:rFonts w:ascii="宋体" w:eastAsia="宋体" w:hAnsi="宋体"/>
          <w:b/>
          <w:bCs/>
        </w:rPr>
      </w:pPr>
      <w:r w:rsidRPr="005B5F45">
        <w:rPr>
          <w:rFonts w:ascii="宋体" w:eastAsia="宋体" w:hAnsi="宋体" w:hint="eastAsia"/>
          <w:b/>
          <w:bCs/>
        </w:rPr>
        <w:t>（3）透明与解释性问题</w:t>
      </w:r>
    </w:p>
    <w:p w14:paraId="7EA5846B" w14:textId="084AEF9D" w:rsidR="005B5F45" w:rsidRDefault="005B5F45">
      <w:pPr>
        <w:rPr>
          <w:rFonts w:ascii="宋体" w:eastAsia="宋体" w:hAnsi="宋体" w:hint="eastAsia"/>
        </w:rPr>
      </w:pPr>
      <w:r>
        <w:rPr>
          <w:rFonts w:ascii="宋体" w:eastAsia="宋体" w:hAnsi="宋体"/>
        </w:rPr>
        <w:tab/>
      </w:r>
      <w:r w:rsidRPr="005B5F45">
        <w:rPr>
          <w:rFonts w:ascii="宋体" w:eastAsia="宋体" w:hAnsi="宋体"/>
        </w:rPr>
        <w:t>不透明的数据处理流程与“黑盒”算法使社会公众难以理解研究结果、难以识别偏差或错误，也难以为研究主体提供救济渠道。</w:t>
      </w:r>
      <w:r>
        <w:rPr>
          <w:rFonts w:ascii="宋体" w:eastAsia="宋体" w:hAnsi="宋体" w:hint="eastAsia"/>
        </w:rPr>
        <w:t>即数据使用者在应用和处理数据时，不同的算法和数据处理流程可能导致两种完全不同的结果，而由于大数据的不透明与弱可解释性，大众无法从算法本质层面进行监督或纠错，数据使用者与大众之间的关系不对等，可能导致垄断或虚假信息等问题。比如</w:t>
      </w:r>
      <w:r w:rsidRPr="005B5F45">
        <w:rPr>
          <w:rFonts w:ascii="宋体" w:eastAsia="宋体" w:hAnsi="宋体"/>
        </w:rPr>
        <w:t>2019年Apple Card信用分配引发争议：无论个人资质如何，女性申请者获得的信用额度普遍低于男性。整个评估过程完全不透明，用户无法得知算法依据何种因素作出决策，同时</w:t>
      </w:r>
      <w:r>
        <w:rPr>
          <w:rFonts w:ascii="宋体" w:eastAsia="宋体" w:hAnsi="宋体" w:hint="eastAsia"/>
        </w:rPr>
        <w:t>作为发行银行和监管者的</w:t>
      </w:r>
      <w:r w:rsidRPr="005B5F45">
        <w:rPr>
          <w:rFonts w:ascii="宋体" w:eastAsia="宋体" w:hAnsi="宋体"/>
        </w:rPr>
        <w:t>Goldman Sachs亦无法解释原因，引起公众及监管关注</w:t>
      </w:r>
      <w:r>
        <w:rPr>
          <w:rFonts w:ascii="宋体" w:eastAsia="宋体" w:hAnsi="宋体" w:hint="eastAsia"/>
        </w:rPr>
        <w:t>。</w:t>
      </w:r>
    </w:p>
    <w:p w14:paraId="5E29C956" w14:textId="77777777" w:rsidR="0006043C" w:rsidRDefault="0006043C">
      <w:pPr>
        <w:rPr>
          <w:rFonts w:ascii="宋体" w:eastAsia="宋体" w:hAnsi="宋体"/>
        </w:rPr>
      </w:pPr>
    </w:p>
    <w:p w14:paraId="7791D7BE" w14:textId="363A0FA5" w:rsidR="005B5F45" w:rsidRDefault="005B5F45">
      <w:pPr>
        <w:rPr>
          <w:rFonts w:ascii="宋体" w:eastAsia="宋体" w:hAnsi="宋体"/>
        </w:rPr>
      </w:pPr>
      <w:r>
        <w:rPr>
          <w:rFonts w:ascii="宋体" w:eastAsia="宋体" w:hAnsi="宋体" w:hint="eastAsia"/>
        </w:rPr>
        <w:t>二、大数据伦理行为规范</w:t>
      </w:r>
    </w:p>
    <w:p w14:paraId="29A2E27D" w14:textId="0B1A1F68" w:rsidR="005B5F45" w:rsidRPr="00644AFB" w:rsidRDefault="00644AFB">
      <w:pPr>
        <w:rPr>
          <w:rFonts w:ascii="宋体" w:eastAsia="宋体" w:hAnsi="宋体"/>
          <w:b/>
          <w:bCs/>
        </w:rPr>
      </w:pPr>
      <w:r w:rsidRPr="00644AFB">
        <w:rPr>
          <w:rFonts w:ascii="宋体" w:eastAsia="宋体" w:hAnsi="宋体" w:hint="eastAsia"/>
          <w:b/>
          <w:bCs/>
        </w:rPr>
        <w:t>（1）引入动态同意机制</w:t>
      </w:r>
    </w:p>
    <w:p w14:paraId="480BB7FC" w14:textId="40F58E4C" w:rsidR="00644AFB" w:rsidRPr="001E14BB" w:rsidRDefault="001E14BB" w:rsidP="001E14BB">
      <w:pPr>
        <w:rPr>
          <w:rFonts w:ascii="宋体" w:eastAsia="宋体" w:hAnsi="宋体" w:hint="eastAsia"/>
        </w:rPr>
      </w:pPr>
      <w:r>
        <w:rPr>
          <w:rFonts w:ascii="宋体" w:eastAsia="宋体" w:hAnsi="宋体"/>
        </w:rPr>
        <w:tab/>
      </w:r>
      <w:r w:rsidRPr="001E14BB">
        <w:rPr>
          <w:rFonts w:ascii="宋体" w:eastAsia="宋体" w:hAnsi="宋体"/>
        </w:rPr>
        <w:t>利用动态同意接口，让参与者实时查看哪些数据被用于哪些项目，并自主调整、撤回同意</w:t>
      </w:r>
      <w:r w:rsidR="005E5BBC">
        <w:rPr>
          <w:rFonts w:ascii="宋体" w:eastAsia="宋体" w:hAnsi="宋体" w:hint="eastAsia"/>
        </w:rPr>
        <w:t>；</w:t>
      </w:r>
      <w:r>
        <w:rPr>
          <w:rFonts w:ascii="宋体" w:eastAsia="宋体" w:hAnsi="宋体" w:hint="eastAsia"/>
        </w:rPr>
        <w:t>同时</w:t>
      </w:r>
      <w:r w:rsidRPr="001E14BB">
        <w:rPr>
          <w:rFonts w:ascii="宋体" w:eastAsia="宋体" w:hAnsi="宋体"/>
        </w:rPr>
        <w:t>参与者可选择接收关于数据使用、研究成果的通知，在每次研究启动时</w:t>
      </w:r>
      <w:r>
        <w:rPr>
          <w:rFonts w:ascii="宋体" w:eastAsia="宋体" w:hAnsi="宋体" w:hint="eastAsia"/>
        </w:rPr>
        <w:t>再次</w:t>
      </w:r>
      <w:r w:rsidRPr="001E14BB">
        <w:rPr>
          <w:rFonts w:ascii="宋体" w:eastAsia="宋体" w:hAnsi="宋体"/>
        </w:rPr>
        <w:t>确认同意</w:t>
      </w:r>
      <w:r>
        <w:rPr>
          <w:rFonts w:ascii="宋体" w:eastAsia="宋体" w:hAnsi="宋体" w:hint="eastAsia"/>
        </w:rPr>
        <w:t>。</w:t>
      </w:r>
    </w:p>
    <w:p w14:paraId="0657BE09" w14:textId="07F3CA8A" w:rsidR="0006043C" w:rsidRPr="001E14BB" w:rsidRDefault="001E14BB">
      <w:pPr>
        <w:rPr>
          <w:rFonts w:ascii="宋体" w:eastAsia="宋体" w:hAnsi="宋体"/>
          <w:b/>
          <w:bCs/>
        </w:rPr>
      </w:pPr>
      <w:r w:rsidRPr="001E14BB">
        <w:rPr>
          <w:rFonts w:ascii="宋体" w:eastAsia="宋体" w:hAnsi="宋体" w:hint="eastAsia"/>
          <w:b/>
          <w:bCs/>
        </w:rPr>
        <w:t>（2）主动检测与模型纠偏</w:t>
      </w:r>
    </w:p>
    <w:p w14:paraId="6A848D35" w14:textId="17866B9A" w:rsidR="001E14BB" w:rsidRDefault="005E5BBC" w:rsidP="005E5BBC">
      <w:pPr>
        <w:rPr>
          <w:rFonts w:ascii="宋体" w:eastAsia="宋体" w:hAnsi="宋体" w:hint="eastAsia"/>
        </w:rPr>
      </w:pPr>
      <w:r>
        <w:rPr>
          <w:rFonts w:ascii="宋体" w:eastAsia="宋体" w:hAnsi="宋体"/>
        </w:rPr>
        <w:tab/>
      </w:r>
      <w:r w:rsidRPr="005E5BBC">
        <w:rPr>
          <w:rFonts w:ascii="宋体" w:eastAsia="宋体" w:hAnsi="宋体"/>
        </w:rPr>
        <w:t>使用偏见检测工具：如IBM AIF360、Aequitas等开源库，检测性别、种族等敏感属性在模型输出中的表现差异</w:t>
      </w:r>
      <w:r>
        <w:rPr>
          <w:rFonts w:ascii="宋体" w:eastAsia="宋体" w:hAnsi="宋体" w:hint="eastAsia"/>
        </w:rPr>
        <w:t>；在构建数据集时要</w:t>
      </w:r>
      <w:r w:rsidRPr="005E5BBC">
        <w:rPr>
          <w:rFonts w:ascii="宋体" w:eastAsia="宋体" w:hAnsi="宋体"/>
        </w:rPr>
        <w:t>主动收集在性别、年龄、肤色、地域等方面均衡的数据，防止</w:t>
      </w:r>
      <w:r>
        <w:rPr>
          <w:rFonts w:ascii="宋体" w:eastAsia="宋体" w:hAnsi="宋体" w:hint="eastAsia"/>
        </w:rPr>
        <w:t>模型产生“偏见”；</w:t>
      </w:r>
      <w:r w:rsidRPr="005E5BBC">
        <w:rPr>
          <w:rFonts w:ascii="宋体" w:eastAsia="宋体" w:hAnsi="宋体"/>
        </w:rPr>
        <w:t>在开发阶段引入公平优化算法</w:t>
      </w:r>
      <w:r>
        <w:rPr>
          <w:rFonts w:ascii="宋体" w:eastAsia="宋体" w:hAnsi="宋体" w:hint="eastAsia"/>
        </w:rPr>
        <w:t>，</w:t>
      </w:r>
      <w:r w:rsidRPr="005E5BBC">
        <w:rPr>
          <w:rFonts w:ascii="宋体" w:eastAsia="宋体" w:hAnsi="宋体"/>
        </w:rPr>
        <w:t>如公平性约束训练、再加权、后处理等技术方法，主动对偏见进行纠正</w:t>
      </w:r>
      <w:r>
        <w:rPr>
          <w:rFonts w:ascii="宋体" w:eastAsia="宋体" w:hAnsi="宋体" w:hint="eastAsia"/>
        </w:rPr>
        <w:t>。</w:t>
      </w:r>
    </w:p>
    <w:p w14:paraId="1F6D7FF6" w14:textId="18925BEE" w:rsidR="001E14BB" w:rsidRPr="005E5BBC" w:rsidRDefault="005E5BBC">
      <w:pPr>
        <w:rPr>
          <w:rFonts w:ascii="宋体" w:eastAsia="宋体" w:hAnsi="宋体"/>
          <w:b/>
          <w:bCs/>
        </w:rPr>
      </w:pPr>
      <w:r w:rsidRPr="005E5BBC">
        <w:rPr>
          <w:rFonts w:ascii="宋体" w:eastAsia="宋体" w:hAnsi="宋体" w:hint="eastAsia"/>
          <w:b/>
          <w:bCs/>
        </w:rPr>
        <w:t>（3）提升</w:t>
      </w:r>
      <w:r>
        <w:rPr>
          <w:rFonts w:ascii="宋体" w:eastAsia="宋体" w:hAnsi="宋体" w:hint="eastAsia"/>
          <w:b/>
          <w:bCs/>
        </w:rPr>
        <w:t>数据</w:t>
      </w:r>
      <w:r w:rsidRPr="005E5BBC">
        <w:rPr>
          <w:rFonts w:ascii="宋体" w:eastAsia="宋体" w:hAnsi="宋体" w:hint="eastAsia"/>
          <w:b/>
          <w:bCs/>
        </w:rPr>
        <w:t>解释性</w:t>
      </w:r>
      <w:r>
        <w:rPr>
          <w:rFonts w:ascii="宋体" w:eastAsia="宋体" w:hAnsi="宋体" w:hint="eastAsia"/>
          <w:b/>
          <w:bCs/>
        </w:rPr>
        <w:t>与审查机制</w:t>
      </w:r>
    </w:p>
    <w:p w14:paraId="0348E727" w14:textId="51D12F37" w:rsidR="005E5BBC" w:rsidRPr="005E5BBC" w:rsidRDefault="005E5BBC" w:rsidP="005E5BBC">
      <w:pPr>
        <w:rPr>
          <w:rFonts w:ascii="宋体" w:eastAsia="宋体" w:hAnsi="宋体" w:hint="eastAsia"/>
        </w:rPr>
      </w:pPr>
      <w:r>
        <w:rPr>
          <w:rFonts w:ascii="宋体" w:eastAsia="宋体" w:hAnsi="宋体"/>
        </w:rPr>
        <w:tab/>
      </w:r>
      <w:r w:rsidRPr="005E5BBC">
        <w:rPr>
          <w:rFonts w:ascii="宋体" w:eastAsia="宋体" w:hAnsi="宋体"/>
        </w:rPr>
        <w:t>采用可解释性模型技术</w:t>
      </w:r>
      <w:r>
        <w:rPr>
          <w:rFonts w:ascii="宋体" w:eastAsia="宋体" w:hAnsi="宋体" w:hint="eastAsia"/>
        </w:rPr>
        <w:t>，</w:t>
      </w:r>
      <w:r w:rsidRPr="005E5BBC">
        <w:rPr>
          <w:rFonts w:ascii="宋体" w:eastAsia="宋体" w:hAnsi="宋体"/>
        </w:rPr>
        <w:t>使用 LIME、SHAP、交互式反事实分析等方法让模型解释“为什么输出”</w:t>
      </w:r>
      <w:r>
        <w:rPr>
          <w:rFonts w:ascii="宋体" w:eastAsia="宋体" w:hAnsi="宋体" w:hint="eastAsia"/>
        </w:rPr>
        <w:t>；</w:t>
      </w:r>
      <w:r w:rsidRPr="005E5BBC">
        <w:rPr>
          <w:rFonts w:ascii="宋体" w:eastAsia="宋体" w:hAnsi="宋体"/>
        </w:rPr>
        <w:t>建设“审核友好”日志系统</w:t>
      </w:r>
      <w:r>
        <w:rPr>
          <w:rFonts w:ascii="宋体" w:eastAsia="宋体" w:hAnsi="宋体" w:hint="eastAsia"/>
        </w:rPr>
        <w:t>，</w:t>
      </w:r>
      <w:r w:rsidRPr="005E5BBC">
        <w:rPr>
          <w:rFonts w:ascii="宋体" w:eastAsia="宋体" w:hAnsi="宋体"/>
        </w:rPr>
        <w:t>高风险应用（医疗、金融、自动驾驶）需记录输入、输出、置信度，并保留可供事后审查的证据</w:t>
      </w:r>
      <w:r>
        <w:rPr>
          <w:rFonts w:ascii="宋体" w:eastAsia="宋体" w:hAnsi="宋体" w:hint="eastAsia"/>
        </w:rPr>
        <w:t>；</w:t>
      </w:r>
      <w:r w:rsidRPr="005E5BBC">
        <w:rPr>
          <w:rFonts w:ascii="宋体" w:eastAsia="宋体" w:hAnsi="宋体"/>
        </w:rPr>
        <w:t>个人可获得决策说明，如那些影响信用评分、健康诊断等关键因素</w:t>
      </w:r>
      <w:r>
        <w:rPr>
          <w:rFonts w:ascii="宋体" w:eastAsia="宋体" w:hAnsi="宋体" w:hint="eastAsia"/>
        </w:rPr>
        <w:t>；</w:t>
      </w:r>
      <w:r w:rsidRPr="005E5BBC">
        <w:rPr>
          <w:rFonts w:ascii="宋体" w:eastAsia="宋体" w:hAnsi="宋体"/>
        </w:rPr>
        <w:t>引入审计工具或第三方评估机构，通过定期检测分析评估系统表现</w:t>
      </w:r>
      <w:r>
        <w:rPr>
          <w:rFonts w:ascii="宋体" w:eastAsia="宋体" w:hAnsi="宋体" w:hint="eastAsia"/>
        </w:rPr>
        <w:t>。</w:t>
      </w:r>
    </w:p>
    <w:p w14:paraId="1EF6585D" w14:textId="77777777" w:rsidR="001E14BB" w:rsidRDefault="001E14BB">
      <w:pPr>
        <w:rPr>
          <w:rFonts w:ascii="宋体" w:eastAsia="宋体" w:hAnsi="宋体"/>
        </w:rPr>
      </w:pPr>
    </w:p>
    <w:p w14:paraId="327407A5" w14:textId="77777777" w:rsidR="0084672C" w:rsidRPr="0084672C" w:rsidRDefault="0084672C">
      <w:pPr>
        <w:rPr>
          <w:rFonts w:ascii="宋体" w:eastAsia="宋体" w:hAnsi="宋体" w:hint="eastAsia"/>
          <w:sz w:val="24"/>
          <w:szCs w:val="28"/>
        </w:rPr>
      </w:pPr>
    </w:p>
    <w:sectPr w:rsidR="0084672C" w:rsidRPr="0084672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72C"/>
    <w:rsid w:val="0006043C"/>
    <w:rsid w:val="001E14BB"/>
    <w:rsid w:val="00517585"/>
    <w:rsid w:val="005B5F45"/>
    <w:rsid w:val="005E5BBC"/>
    <w:rsid w:val="00644AFB"/>
    <w:rsid w:val="0084672C"/>
    <w:rsid w:val="008C2880"/>
    <w:rsid w:val="00D90EF4"/>
    <w:rsid w:val="00EE29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EC159C2"/>
  <w15:chartTrackingRefBased/>
  <w15:docId w15:val="{FD2CD6BA-837B-6644-A02A-42514976C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84672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4672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4672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4672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4672C"/>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84672C"/>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4672C"/>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4672C"/>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84672C"/>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4672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84672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4672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4672C"/>
    <w:rPr>
      <w:rFonts w:cstheme="majorBidi"/>
      <w:color w:val="0F4761" w:themeColor="accent1" w:themeShade="BF"/>
      <w:sz w:val="28"/>
      <w:szCs w:val="28"/>
    </w:rPr>
  </w:style>
  <w:style w:type="character" w:customStyle="1" w:styleId="50">
    <w:name w:val="标题 5 字符"/>
    <w:basedOn w:val="a0"/>
    <w:link w:val="5"/>
    <w:uiPriority w:val="9"/>
    <w:semiHidden/>
    <w:rsid w:val="0084672C"/>
    <w:rPr>
      <w:rFonts w:cstheme="majorBidi"/>
      <w:color w:val="0F4761" w:themeColor="accent1" w:themeShade="BF"/>
      <w:sz w:val="24"/>
    </w:rPr>
  </w:style>
  <w:style w:type="character" w:customStyle="1" w:styleId="60">
    <w:name w:val="标题 6 字符"/>
    <w:basedOn w:val="a0"/>
    <w:link w:val="6"/>
    <w:uiPriority w:val="9"/>
    <w:semiHidden/>
    <w:rsid w:val="0084672C"/>
    <w:rPr>
      <w:rFonts w:cstheme="majorBidi"/>
      <w:b/>
      <w:bCs/>
      <w:color w:val="0F4761" w:themeColor="accent1" w:themeShade="BF"/>
    </w:rPr>
  </w:style>
  <w:style w:type="character" w:customStyle="1" w:styleId="70">
    <w:name w:val="标题 7 字符"/>
    <w:basedOn w:val="a0"/>
    <w:link w:val="7"/>
    <w:uiPriority w:val="9"/>
    <w:semiHidden/>
    <w:rsid w:val="0084672C"/>
    <w:rPr>
      <w:rFonts w:cstheme="majorBidi"/>
      <w:b/>
      <w:bCs/>
      <w:color w:val="595959" w:themeColor="text1" w:themeTint="A6"/>
    </w:rPr>
  </w:style>
  <w:style w:type="character" w:customStyle="1" w:styleId="80">
    <w:name w:val="标题 8 字符"/>
    <w:basedOn w:val="a0"/>
    <w:link w:val="8"/>
    <w:uiPriority w:val="9"/>
    <w:semiHidden/>
    <w:rsid w:val="0084672C"/>
    <w:rPr>
      <w:rFonts w:cstheme="majorBidi"/>
      <w:color w:val="595959" w:themeColor="text1" w:themeTint="A6"/>
    </w:rPr>
  </w:style>
  <w:style w:type="character" w:customStyle="1" w:styleId="90">
    <w:name w:val="标题 9 字符"/>
    <w:basedOn w:val="a0"/>
    <w:link w:val="9"/>
    <w:uiPriority w:val="9"/>
    <w:semiHidden/>
    <w:rsid w:val="0084672C"/>
    <w:rPr>
      <w:rFonts w:eastAsiaTheme="majorEastAsia" w:cstheme="majorBidi"/>
      <w:color w:val="595959" w:themeColor="text1" w:themeTint="A6"/>
    </w:rPr>
  </w:style>
  <w:style w:type="paragraph" w:styleId="a3">
    <w:name w:val="Title"/>
    <w:basedOn w:val="a"/>
    <w:next w:val="a"/>
    <w:link w:val="a4"/>
    <w:uiPriority w:val="10"/>
    <w:qFormat/>
    <w:rsid w:val="0084672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4672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4672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4672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4672C"/>
    <w:pPr>
      <w:spacing w:before="160"/>
      <w:jc w:val="center"/>
    </w:pPr>
    <w:rPr>
      <w:i/>
      <w:iCs/>
      <w:color w:val="404040" w:themeColor="text1" w:themeTint="BF"/>
    </w:rPr>
  </w:style>
  <w:style w:type="character" w:customStyle="1" w:styleId="a8">
    <w:name w:val="引用 字符"/>
    <w:basedOn w:val="a0"/>
    <w:link w:val="a7"/>
    <w:uiPriority w:val="29"/>
    <w:rsid w:val="0084672C"/>
    <w:rPr>
      <w:i/>
      <w:iCs/>
      <w:color w:val="404040" w:themeColor="text1" w:themeTint="BF"/>
    </w:rPr>
  </w:style>
  <w:style w:type="paragraph" w:styleId="a9">
    <w:name w:val="List Paragraph"/>
    <w:basedOn w:val="a"/>
    <w:uiPriority w:val="34"/>
    <w:qFormat/>
    <w:rsid w:val="0084672C"/>
    <w:pPr>
      <w:ind w:left="720"/>
      <w:contextualSpacing/>
    </w:pPr>
  </w:style>
  <w:style w:type="character" w:styleId="aa">
    <w:name w:val="Intense Emphasis"/>
    <w:basedOn w:val="a0"/>
    <w:uiPriority w:val="21"/>
    <w:qFormat/>
    <w:rsid w:val="0084672C"/>
    <w:rPr>
      <w:i/>
      <w:iCs/>
      <w:color w:val="0F4761" w:themeColor="accent1" w:themeShade="BF"/>
    </w:rPr>
  </w:style>
  <w:style w:type="paragraph" w:styleId="ab">
    <w:name w:val="Intense Quote"/>
    <w:basedOn w:val="a"/>
    <w:next w:val="a"/>
    <w:link w:val="ac"/>
    <w:uiPriority w:val="30"/>
    <w:qFormat/>
    <w:rsid w:val="008467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84672C"/>
    <w:rPr>
      <w:i/>
      <w:iCs/>
      <w:color w:val="0F4761" w:themeColor="accent1" w:themeShade="BF"/>
    </w:rPr>
  </w:style>
  <w:style w:type="character" w:styleId="ad">
    <w:name w:val="Intense Reference"/>
    <w:basedOn w:val="a0"/>
    <w:uiPriority w:val="32"/>
    <w:qFormat/>
    <w:rsid w:val="0084672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11234">
      <w:bodyDiv w:val="1"/>
      <w:marLeft w:val="0"/>
      <w:marRight w:val="0"/>
      <w:marTop w:val="0"/>
      <w:marBottom w:val="0"/>
      <w:divBdr>
        <w:top w:val="none" w:sz="0" w:space="0" w:color="auto"/>
        <w:left w:val="none" w:sz="0" w:space="0" w:color="auto"/>
        <w:bottom w:val="none" w:sz="0" w:space="0" w:color="auto"/>
        <w:right w:val="none" w:sz="0" w:space="0" w:color="auto"/>
      </w:divBdr>
    </w:div>
    <w:div w:id="433941407">
      <w:bodyDiv w:val="1"/>
      <w:marLeft w:val="0"/>
      <w:marRight w:val="0"/>
      <w:marTop w:val="0"/>
      <w:marBottom w:val="0"/>
      <w:divBdr>
        <w:top w:val="none" w:sz="0" w:space="0" w:color="auto"/>
        <w:left w:val="none" w:sz="0" w:space="0" w:color="auto"/>
        <w:bottom w:val="none" w:sz="0" w:space="0" w:color="auto"/>
        <w:right w:val="none" w:sz="0" w:space="0" w:color="auto"/>
      </w:divBdr>
    </w:div>
    <w:div w:id="1397241629">
      <w:bodyDiv w:val="1"/>
      <w:marLeft w:val="0"/>
      <w:marRight w:val="0"/>
      <w:marTop w:val="0"/>
      <w:marBottom w:val="0"/>
      <w:divBdr>
        <w:top w:val="none" w:sz="0" w:space="0" w:color="auto"/>
        <w:left w:val="none" w:sz="0" w:space="0" w:color="auto"/>
        <w:bottom w:val="none" w:sz="0" w:space="0" w:color="auto"/>
        <w:right w:val="none" w:sz="0" w:space="0" w:color="auto"/>
      </w:divBdr>
    </w:div>
    <w:div w:id="1561864077">
      <w:bodyDiv w:val="1"/>
      <w:marLeft w:val="0"/>
      <w:marRight w:val="0"/>
      <w:marTop w:val="0"/>
      <w:marBottom w:val="0"/>
      <w:divBdr>
        <w:top w:val="none" w:sz="0" w:space="0" w:color="auto"/>
        <w:left w:val="none" w:sz="0" w:space="0" w:color="auto"/>
        <w:bottom w:val="none" w:sz="0" w:space="0" w:color="auto"/>
        <w:right w:val="none" w:sz="0" w:space="0" w:color="auto"/>
      </w:divBdr>
    </w:div>
    <w:div w:id="2057195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66</TotalTime>
  <Pages>3</Pages>
  <Words>398</Words>
  <Characters>2275</Characters>
  <Application>Microsoft Office Word</Application>
  <DocSecurity>0</DocSecurity>
  <Lines>18</Lines>
  <Paragraphs>5</Paragraphs>
  <ScaleCrop>false</ScaleCrop>
  <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3</cp:revision>
  <dcterms:created xsi:type="dcterms:W3CDTF">2025-07-12T08:50:00Z</dcterms:created>
  <dcterms:modified xsi:type="dcterms:W3CDTF">2025-07-12T11:18:00Z</dcterms:modified>
</cp:coreProperties>
</file>