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numPr>
          <w:ilvl w:val="0"/>
          <w:numId w:val="0"/>
        </w:numPr>
        <w:ind w:leftChars="0"/>
        <w:jc w:val="center"/>
        <w:rPr>
          <w:rFonts w:hint="eastAsia" w:asciiTheme="minorEastAsia" w:hAnsiTheme="minorEastAsia" w:eastAsiaTheme="minorEastAsia" w:cstheme="minorEastAsia"/>
          <w:b w:val="0"/>
          <w:bCs/>
          <w:sz w:val="24"/>
          <w:szCs w:val="24"/>
        </w:rPr>
      </w:pPr>
      <w:r>
        <w:rPr>
          <w:rFonts w:hint="default" w:cs="Times New Roman" w:asciiTheme="majorEastAsia" w:hAnsiTheme="majorEastAsia" w:eastAsiaTheme="majorEastAsia"/>
          <w:b/>
          <w:sz w:val="28"/>
          <w:szCs w:val="28"/>
        </w:rPr>
        <w:t>中山大道-车陂路交叉口行人交通调查方案</w:t>
      </w:r>
    </w:p>
    <w:p>
      <w:pPr>
        <w:pStyle w:val="6"/>
        <w:numPr>
          <w:ilvl w:val="0"/>
          <w:numId w:val="1"/>
        </w:numPr>
        <w:ind w:firstLineChars="0"/>
        <w:rPr>
          <w:rFonts w:hint="eastAsia" w:cs="Times New Roman" w:asciiTheme="majorEastAsia" w:hAnsiTheme="majorEastAsia" w:eastAsiaTheme="majorEastAsia"/>
          <w:b/>
          <w:sz w:val="28"/>
          <w:szCs w:val="28"/>
        </w:rPr>
      </w:pPr>
      <w:r>
        <w:rPr>
          <w:rFonts w:hint="default" w:cs="Times New Roman" w:asciiTheme="majorEastAsia" w:hAnsiTheme="majorEastAsia" w:eastAsiaTheme="majorEastAsia"/>
          <w:b/>
          <w:sz w:val="28"/>
          <w:szCs w:val="28"/>
        </w:rPr>
        <w:t>背景</w:t>
      </w:r>
    </w:p>
    <w:p>
      <w:pPr>
        <w:pStyle w:val="6"/>
        <w:numPr>
          <w:ilvl w:val="0"/>
          <w:numId w:val="0"/>
        </w:numPr>
        <w:spacing w:line="360" w:lineRule="auto"/>
        <w:ind w:leftChars="0"/>
        <w:jc w:val="left"/>
        <w:rPr>
          <w:rFonts w:hint="eastAsia"/>
          <w:szCs w:val="21"/>
        </w:rPr>
      </w:pPr>
      <w:r>
        <w:rPr>
          <w:rFonts w:hint="default" w:ascii="Times New Roman" w:hAnsi="Times New Roman" w:cs="Times New Roman" w:eastAsiaTheme="majorEastAsia"/>
          <w:b/>
          <w:sz w:val="24"/>
          <w:szCs w:val="24"/>
        </w:rPr>
        <w:t>1.1 城市道路交叉口特点</w:t>
      </w:r>
    </w:p>
    <w:p>
      <w:pPr>
        <w:ind w:firstLine="420" w:firstLineChars="200"/>
        <w:rPr>
          <w:szCs w:val="21"/>
        </w:rPr>
      </w:pPr>
      <w:r>
        <w:rPr>
          <w:rFonts w:hint="default"/>
          <w:szCs w:val="21"/>
        </w:rPr>
        <w:t>城市道路交叉口是</w:t>
      </w:r>
      <w:r>
        <w:rPr>
          <w:rFonts w:hint="eastAsia"/>
          <w:szCs w:val="21"/>
        </w:rPr>
        <w:t>城市中两条以上不同方向的道路的相交处，是城市道路系统的组成部分。在同一平面上相交处，称平面交叉口</w:t>
      </w:r>
      <w:r>
        <w:rPr>
          <w:szCs w:val="21"/>
        </w:rPr>
        <w:t>;在不同平面上相交处，称立体交叉口。平面交叉口有三种形式:</w:t>
      </w:r>
      <w:bookmarkStart w:id="1" w:name="_GoBack"/>
      <w:bookmarkEnd w:id="1"/>
    </w:p>
    <w:p>
      <w:pPr>
        <w:ind w:firstLine="420" w:firstLineChars="200"/>
        <w:rPr>
          <w:szCs w:val="21"/>
        </w:rPr>
      </w:pPr>
      <w:r>
        <w:rPr>
          <w:rFonts w:hint="default"/>
          <w:szCs w:val="21"/>
        </w:rPr>
        <w:t>（1）</w:t>
      </w:r>
      <w:r>
        <w:rPr>
          <w:rFonts w:hint="eastAsia"/>
          <w:szCs w:val="21"/>
        </w:rPr>
        <w:t>简单交叉口</w:t>
      </w:r>
      <w:r>
        <w:rPr>
          <w:rFonts w:hint="default"/>
          <w:szCs w:val="21"/>
        </w:rPr>
        <w:t>。</w:t>
      </w:r>
      <w:r>
        <w:rPr>
          <w:rFonts w:hint="eastAsia"/>
          <w:szCs w:val="21"/>
        </w:rPr>
        <w:t>交叉口入口的车道数和道路区间段的道数相同，不设交通管制。主要用于城市支路之间的相交处或交通量小的支路和干道的相交处。</w:t>
      </w:r>
    </w:p>
    <w:p>
      <w:pPr>
        <w:ind w:firstLine="420" w:firstLineChars="200"/>
        <w:rPr>
          <w:rFonts w:hint="eastAsia"/>
          <w:szCs w:val="21"/>
        </w:rPr>
      </w:pPr>
      <w:r>
        <w:rPr>
          <w:rFonts w:hint="default"/>
          <w:szCs w:val="21"/>
        </w:rPr>
        <w:t>（2）</w:t>
      </w:r>
      <w:r>
        <w:rPr>
          <w:rFonts w:hint="eastAsia"/>
          <w:szCs w:val="21"/>
        </w:rPr>
        <w:t>信号灯管制交叉口</w:t>
      </w:r>
      <w:r>
        <w:rPr>
          <w:rFonts w:hint="default"/>
          <w:szCs w:val="21"/>
        </w:rPr>
        <w:t>。</w:t>
      </w:r>
      <w:r>
        <w:rPr>
          <w:rFonts w:hint="eastAsia"/>
          <w:szCs w:val="21"/>
        </w:rPr>
        <w:t>交通信号灯管制使右行制时左转车辆和直行车辆，车辆和行人在通行时间上错开，一般用于交通繁忙的城市支路和干道的相交处或干道和干道的相交处。</w:t>
      </w:r>
    </w:p>
    <w:p>
      <w:pPr>
        <w:pStyle w:val="6"/>
        <w:numPr>
          <w:ilvl w:val="0"/>
          <w:numId w:val="0"/>
        </w:numPr>
        <w:ind w:leftChars="0" w:firstLine="420" w:firstLineChars="200"/>
        <w:jc w:val="left"/>
        <w:rPr>
          <w:szCs w:val="21"/>
        </w:rPr>
      </w:pPr>
      <w:r>
        <w:rPr>
          <w:rFonts w:hint="default"/>
          <w:szCs w:val="21"/>
        </w:rPr>
        <w:t>（3）</w:t>
      </w:r>
      <w:r>
        <w:rPr>
          <w:rFonts w:hint="eastAsia"/>
          <w:szCs w:val="21"/>
        </w:rPr>
        <w:t>环形交叉口</w:t>
      </w:r>
      <w:r>
        <w:rPr>
          <w:rFonts w:hint="default"/>
          <w:szCs w:val="21"/>
        </w:rPr>
        <w:t>。</w:t>
      </w:r>
      <w:r>
        <w:rPr>
          <w:rFonts w:hint="eastAsia"/>
          <w:szCs w:val="21"/>
        </w:rPr>
        <w:t>不用交通管制而采用绕中心岛同向连续通行。设计特点是在交叉口中央设置中心岛，从不同方向进入交叉口的车辆都绕中心岛同向行驶，经过汇流行驶一段距离后</w:t>
      </w:r>
      <w:r>
        <w:rPr>
          <w:szCs w:val="21"/>
        </w:rPr>
        <w:t>,行驶至所要去的路口,驶离交叉口。</w:t>
      </w:r>
    </w:p>
    <w:p>
      <w:pPr>
        <w:pStyle w:val="6"/>
        <w:numPr>
          <w:ilvl w:val="0"/>
          <w:numId w:val="0"/>
        </w:numPr>
        <w:jc w:val="left"/>
        <w:rPr>
          <w:szCs w:val="21"/>
        </w:rPr>
      </w:pPr>
    </w:p>
    <w:p>
      <w:pPr>
        <w:pStyle w:val="6"/>
        <w:numPr>
          <w:ilvl w:val="0"/>
          <w:numId w:val="0"/>
        </w:numPr>
        <w:ind w:leftChars="0"/>
        <w:jc w:val="left"/>
        <w:rPr>
          <w:rFonts w:hint="default" w:ascii="Times New Roman" w:hAnsi="Times New Roman" w:cs="Times New Roman" w:eastAsiaTheme="majorEastAsia"/>
          <w:b/>
          <w:sz w:val="24"/>
          <w:szCs w:val="24"/>
        </w:rPr>
      </w:pPr>
    </w:p>
    <w:p>
      <w:pPr>
        <w:pStyle w:val="6"/>
        <w:numPr>
          <w:ilvl w:val="0"/>
          <w:numId w:val="0"/>
        </w:numPr>
        <w:ind w:leftChars="0"/>
        <w:jc w:val="both"/>
        <w:rPr>
          <w:rFonts w:hint="eastAsia" w:ascii="Adobe 黑体 Std" w:hAnsi="Adobe 黑体 Std" w:eastAsia="Adobe 黑体 Std" w:cs="Adobe 黑体 Std"/>
          <w:b/>
          <w:sz w:val="21"/>
          <w:szCs w:val="21"/>
        </w:rPr>
      </w:pPr>
      <w:r>
        <w:rPr>
          <w:rFonts w:hint="eastAsia" w:ascii="Adobe 黑体 Std" w:hAnsi="Adobe 黑体 Std" w:eastAsia="Adobe 黑体 Std" w:cs="Adobe 黑体 Std"/>
          <w:b/>
          <w:sz w:val="21"/>
          <w:szCs w:val="21"/>
        </w:rPr>
        <w:drawing>
          <wp:inline distT="0" distB="0" distL="114300" distR="114300">
            <wp:extent cx="5271770" cy="2286635"/>
            <wp:effectExtent l="0" t="0" r="11430" b="24765"/>
            <wp:docPr id="11" name="图片 11" descr="屏幕快照 2018-11-19 下午10.1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屏幕快照 2018-11-19 下午10.18.35"/>
                    <pic:cNvPicPr>
                      <a:picLocks noChangeAspect="1"/>
                    </pic:cNvPicPr>
                  </pic:nvPicPr>
                  <pic:blipFill>
                    <a:blip r:embed="rId4"/>
                    <a:stretch>
                      <a:fillRect/>
                    </a:stretch>
                  </pic:blipFill>
                  <pic:spPr>
                    <a:xfrm>
                      <a:off x="0" y="0"/>
                      <a:ext cx="5271770" cy="2286635"/>
                    </a:xfrm>
                    <a:prstGeom prst="rect">
                      <a:avLst/>
                    </a:prstGeom>
                  </pic:spPr>
                </pic:pic>
              </a:graphicData>
            </a:graphic>
          </wp:inline>
        </w:drawing>
      </w:r>
    </w:p>
    <w:p>
      <w:pPr>
        <w:pStyle w:val="6"/>
        <w:numPr>
          <w:ilvl w:val="0"/>
          <w:numId w:val="0"/>
        </w:numPr>
        <w:ind w:leftChars="0"/>
        <w:jc w:val="center"/>
        <w:rPr>
          <w:rFonts w:hint="eastAsia" w:ascii="Adobe 黑体 Std" w:hAnsi="Adobe 黑体 Std" w:eastAsia="Adobe 黑体 Std" w:cs="Adobe 黑体 Std"/>
          <w:b/>
          <w:sz w:val="21"/>
          <w:szCs w:val="21"/>
        </w:rPr>
      </w:pPr>
      <w:r>
        <w:rPr>
          <w:rFonts w:hint="eastAsia" w:ascii="Adobe 黑体 Std" w:hAnsi="Adobe 黑体 Std" w:eastAsia="Adobe 黑体 Std" w:cs="Adobe 黑体 Std"/>
          <w:b/>
          <w:sz w:val="21"/>
          <w:szCs w:val="21"/>
        </w:rPr>
        <w:t>图1 城市道路交叉口分类</w:t>
      </w:r>
    </w:p>
    <w:p>
      <w:pPr>
        <w:pStyle w:val="6"/>
        <w:numPr>
          <w:ilvl w:val="0"/>
          <w:numId w:val="0"/>
        </w:numPr>
        <w:spacing w:line="360" w:lineRule="auto"/>
        <w:ind w:leftChars="0"/>
        <w:jc w:val="left"/>
        <w:rPr>
          <w:rFonts w:hint="default" w:ascii="Times New Roman" w:hAnsi="Times New Roman" w:cs="Times New Roman" w:eastAsiaTheme="majorEastAsia"/>
          <w:b/>
          <w:sz w:val="24"/>
          <w:szCs w:val="24"/>
        </w:rPr>
      </w:pPr>
    </w:p>
    <w:p>
      <w:pPr>
        <w:pStyle w:val="6"/>
        <w:numPr>
          <w:ilvl w:val="0"/>
          <w:numId w:val="0"/>
        </w:numPr>
        <w:spacing w:line="360" w:lineRule="auto"/>
        <w:ind w:leftChars="0"/>
        <w:jc w:val="left"/>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1.2 交叉口行人交通特征</w:t>
      </w:r>
    </w:p>
    <w:p>
      <w:pPr>
        <w:pStyle w:val="6"/>
        <w:numPr>
          <w:ilvl w:val="0"/>
          <w:numId w:val="0"/>
        </w:numPr>
        <w:ind w:leftChars="0" w:firstLine="420" w:firstLineChars="200"/>
        <w:jc w:val="left"/>
        <w:rPr>
          <w:rFonts w:hint="default"/>
          <w:szCs w:val="21"/>
        </w:rPr>
      </w:pPr>
      <w:r>
        <w:rPr>
          <w:rFonts w:hint="eastAsia"/>
          <w:szCs w:val="21"/>
        </w:rPr>
        <w:t>交叉口</w:t>
      </w:r>
      <w:r>
        <w:rPr>
          <w:rFonts w:hint="default"/>
          <w:szCs w:val="21"/>
        </w:rPr>
        <w:t>行人既有与车辆相似的行为和特征，又有造成交叉口行人交通效率低下、混乱、安全系数降低的一系列特征，归纳如下：</w:t>
      </w:r>
    </w:p>
    <w:p>
      <w:pPr>
        <w:pStyle w:val="6"/>
        <w:numPr>
          <w:ilvl w:val="0"/>
          <w:numId w:val="0"/>
        </w:numPr>
        <w:ind w:leftChars="0" w:firstLine="420" w:firstLineChars="200"/>
        <w:jc w:val="left"/>
        <w:rPr>
          <w:szCs w:val="21"/>
        </w:rPr>
      </w:pPr>
      <w:r>
        <w:rPr>
          <w:rFonts w:hint="eastAsia"/>
          <w:szCs w:val="21"/>
        </w:rPr>
        <w:t>（1）从众心理</w:t>
      </w:r>
    </w:p>
    <w:p>
      <w:pPr>
        <w:ind w:firstLine="420" w:firstLineChars="200"/>
        <w:rPr>
          <w:rFonts w:hint="eastAsia"/>
          <w:szCs w:val="21"/>
        </w:rPr>
      </w:pPr>
      <w:r>
        <w:rPr>
          <w:rFonts w:hint="eastAsia"/>
          <w:szCs w:val="21"/>
        </w:rPr>
        <w:t>行人看到别人不走人行横道或不遵守红绿灯规则，自己也会受到影响，采取同样的行为。如果其他行人按照交通规则，自己也会如此。</w:t>
      </w:r>
    </w:p>
    <w:p>
      <w:pPr>
        <w:ind w:firstLine="420" w:firstLineChars="200"/>
        <w:rPr>
          <w:szCs w:val="21"/>
        </w:rPr>
      </w:pPr>
      <w:r>
        <w:rPr>
          <w:rFonts w:hint="eastAsia"/>
          <w:szCs w:val="21"/>
        </w:rPr>
        <w:t>（2）侥幸心理</w:t>
      </w:r>
    </w:p>
    <w:p>
      <w:pPr>
        <w:ind w:firstLine="420" w:firstLineChars="200"/>
        <w:rPr>
          <w:rFonts w:hint="eastAsia"/>
          <w:szCs w:val="21"/>
        </w:rPr>
      </w:pPr>
      <w:r>
        <w:rPr>
          <w:rFonts w:hint="eastAsia"/>
          <w:szCs w:val="21"/>
        </w:rPr>
        <w:t>行人认为事故发生的概率很小，自己的违章行为不会造成事故，因此在赶时间的情况下，行人会选择违反交通规则通过交叉口。</w:t>
      </w:r>
    </w:p>
    <w:p>
      <w:pPr>
        <w:numPr>
          <w:ilvl w:val="0"/>
          <w:numId w:val="2"/>
        </w:numPr>
        <w:ind w:firstLine="420" w:firstLineChars="200"/>
        <w:rPr>
          <w:rFonts w:hint="eastAsia"/>
          <w:szCs w:val="21"/>
        </w:rPr>
      </w:pPr>
      <w:r>
        <w:rPr>
          <w:rFonts w:hint="eastAsia"/>
          <w:szCs w:val="21"/>
        </w:rPr>
        <w:t>疏忽大意</w:t>
      </w:r>
    </w:p>
    <w:p>
      <w:pPr>
        <w:numPr>
          <w:ilvl w:val="0"/>
          <w:numId w:val="0"/>
        </w:numPr>
        <w:ind w:firstLine="420" w:firstLineChars="200"/>
        <w:rPr>
          <w:szCs w:val="21"/>
        </w:rPr>
      </w:pPr>
      <w:r>
        <w:rPr>
          <w:rFonts w:hint="eastAsia"/>
          <w:szCs w:val="21"/>
        </w:rPr>
        <w:t>行人在穿越交叉口时注意力不集中，因玩手机、听音乐、打电话、看风景等，导致没看交通信号灯。</w:t>
      </w:r>
    </w:p>
    <w:p>
      <w:pPr>
        <w:pStyle w:val="6"/>
        <w:numPr>
          <w:ilvl w:val="0"/>
          <w:numId w:val="0"/>
        </w:numPr>
        <w:ind w:leftChars="0" w:firstLine="420" w:firstLineChars="200"/>
        <w:jc w:val="left"/>
        <w:rPr>
          <w:rFonts w:hint="default"/>
          <w:szCs w:val="21"/>
        </w:rPr>
      </w:pPr>
    </w:p>
    <w:p>
      <w:pPr>
        <w:pStyle w:val="6"/>
        <w:numPr>
          <w:ilvl w:val="0"/>
          <w:numId w:val="0"/>
        </w:numPr>
        <w:spacing w:line="360" w:lineRule="auto"/>
        <w:ind w:leftChars="0"/>
        <w:jc w:val="left"/>
        <w:rPr>
          <w:rFonts w:hint="eastAsia"/>
          <w:szCs w:val="21"/>
        </w:rPr>
      </w:pPr>
      <w:r>
        <w:rPr>
          <w:rFonts w:hint="default" w:ascii="Times New Roman" w:hAnsi="Times New Roman" w:cs="Times New Roman" w:eastAsiaTheme="majorEastAsia"/>
          <w:b/>
          <w:sz w:val="24"/>
          <w:szCs w:val="24"/>
        </w:rPr>
        <w:t>1.3 行人对交通的影响</w:t>
      </w:r>
    </w:p>
    <w:p>
      <w:pPr>
        <w:pStyle w:val="6"/>
        <w:numPr>
          <w:ilvl w:val="0"/>
          <w:numId w:val="0"/>
        </w:numPr>
        <w:ind w:leftChars="0" w:firstLine="420" w:firstLineChars="200"/>
        <w:jc w:val="left"/>
        <w:rPr>
          <w:rFonts w:hint="default"/>
          <w:szCs w:val="21"/>
        </w:rPr>
      </w:pPr>
      <w:r>
        <w:rPr>
          <w:rFonts w:hint="eastAsia"/>
          <w:szCs w:val="21"/>
        </w:rPr>
        <w:t>行人</w:t>
      </w:r>
      <w:r>
        <w:rPr>
          <w:rFonts w:hint="default"/>
          <w:szCs w:val="21"/>
        </w:rPr>
        <w:t>对交通的影响，在交叉口尤其明显。主要表现为行人不遵守交通规则的行为如闯红灯、挤占车道对车辆行驶的影响。在人流密集的交叉口，行人聚集违反交规，车辆不得不避让或降低速度，这对原本繁忙的路口更降低了效率，增添了不确定性，还形成了很大的安全隐患。</w:t>
      </w:r>
    </w:p>
    <w:p>
      <w:pPr>
        <w:pStyle w:val="6"/>
        <w:numPr>
          <w:ilvl w:val="0"/>
          <w:numId w:val="0"/>
        </w:numPr>
        <w:ind w:leftChars="0" w:firstLine="420" w:firstLineChars="200"/>
        <w:jc w:val="left"/>
        <w:rPr>
          <w:szCs w:val="21"/>
        </w:rPr>
      </w:pPr>
    </w:p>
    <w:p>
      <w:pPr>
        <w:pStyle w:val="6"/>
        <w:numPr>
          <w:ilvl w:val="0"/>
          <w:numId w:val="0"/>
        </w:numPr>
        <w:ind w:leftChars="0" w:firstLine="420" w:firstLineChars="200"/>
        <w:jc w:val="left"/>
        <w:rPr>
          <w:rFonts w:hint="default"/>
          <w:szCs w:val="21"/>
        </w:rPr>
      </w:pPr>
      <w:r>
        <w:rPr>
          <w:szCs w:val="21"/>
        </w:rPr>
        <w:drawing>
          <wp:inline distT="0" distB="0" distL="114300" distR="114300">
            <wp:extent cx="5266055" cy="3949700"/>
            <wp:effectExtent l="0" t="0" r="17145" b="12700"/>
            <wp:docPr id="1" name="图片 1" descr="WechatIMG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echatIMG52"/>
                    <pic:cNvPicPr>
                      <a:picLocks noChangeAspect="1"/>
                    </pic:cNvPicPr>
                  </pic:nvPicPr>
                  <pic:blipFill>
                    <a:blip r:embed="rId5"/>
                    <a:stretch>
                      <a:fillRect/>
                    </a:stretch>
                  </pic:blipFill>
                  <pic:spPr>
                    <a:xfrm>
                      <a:off x="0" y="0"/>
                      <a:ext cx="5266055" cy="3949700"/>
                    </a:xfrm>
                    <a:prstGeom prst="rect">
                      <a:avLst/>
                    </a:prstGeom>
                  </pic:spPr>
                </pic:pic>
              </a:graphicData>
            </a:graphic>
          </wp:inline>
        </w:drawing>
      </w:r>
    </w:p>
    <w:p>
      <w:pPr>
        <w:pStyle w:val="6"/>
        <w:numPr>
          <w:ilvl w:val="0"/>
          <w:numId w:val="0"/>
        </w:numPr>
        <w:ind w:leftChars="0"/>
        <w:jc w:val="center"/>
        <w:rPr>
          <w:rFonts w:hint="eastAsia" w:ascii="Adobe 黑体 Std" w:hAnsi="Adobe 黑体 Std" w:eastAsia="Adobe 黑体 Std" w:cs="Adobe 黑体 Std"/>
          <w:b/>
          <w:sz w:val="21"/>
          <w:szCs w:val="21"/>
        </w:rPr>
      </w:pPr>
      <w:r>
        <w:rPr>
          <w:rFonts w:hint="eastAsia" w:ascii="Adobe 黑体 Std" w:hAnsi="Adobe 黑体 Std" w:eastAsia="Adobe 黑体 Std" w:cs="Adobe 黑体 Std"/>
          <w:b/>
          <w:sz w:val="21"/>
          <w:szCs w:val="21"/>
        </w:rPr>
        <w:t>图</w:t>
      </w:r>
      <w:r>
        <w:rPr>
          <w:rFonts w:hint="default" w:ascii="Adobe 黑体 Std" w:hAnsi="Adobe 黑体 Std" w:eastAsia="Adobe 黑体 Std" w:cs="Adobe 黑体 Std"/>
          <w:b/>
          <w:sz w:val="21"/>
          <w:szCs w:val="21"/>
        </w:rPr>
        <w:t>2</w:t>
      </w:r>
      <w:r>
        <w:rPr>
          <w:rFonts w:hint="eastAsia" w:ascii="Adobe 黑体 Std" w:hAnsi="Adobe 黑体 Std" w:eastAsia="Adobe 黑体 Std" w:cs="Adobe 黑体 Std"/>
          <w:b/>
          <w:sz w:val="21"/>
          <w:szCs w:val="21"/>
        </w:rPr>
        <w:t xml:space="preserve"> </w:t>
      </w:r>
      <w:r>
        <w:rPr>
          <w:rFonts w:hint="default" w:ascii="Adobe 黑体 Std" w:hAnsi="Adobe 黑体 Std" w:eastAsia="Adobe 黑体 Std" w:cs="Adobe 黑体 Std"/>
          <w:b/>
          <w:sz w:val="21"/>
          <w:szCs w:val="21"/>
        </w:rPr>
        <w:t>普遍存在的挤占车道行为</w:t>
      </w:r>
    </w:p>
    <w:p>
      <w:pPr>
        <w:pStyle w:val="6"/>
        <w:numPr>
          <w:ilvl w:val="0"/>
          <w:numId w:val="0"/>
        </w:numPr>
        <w:ind w:leftChars="0"/>
        <w:jc w:val="left"/>
        <w:rPr>
          <w:rFonts w:hint="default" w:ascii="Times New Roman" w:hAnsi="Times New Roman" w:cs="Times New Roman" w:eastAsiaTheme="majorEastAsia"/>
          <w:b/>
          <w:sz w:val="24"/>
          <w:szCs w:val="24"/>
        </w:rPr>
      </w:pPr>
    </w:p>
    <w:p>
      <w:pPr>
        <w:pStyle w:val="6"/>
        <w:numPr>
          <w:ilvl w:val="0"/>
          <w:numId w:val="1"/>
        </w:numPr>
        <w:ind w:firstLineChars="0"/>
        <w:rPr>
          <w:rFonts w:hint="eastAsia" w:cs="Times New Roman" w:asciiTheme="majorEastAsia" w:hAnsiTheme="majorEastAsia" w:eastAsiaTheme="majorEastAsia"/>
          <w:b/>
          <w:sz w:val="28"/>
          <w:szCs w:val="28"/>
        </w:rPr>
      </w:pPr>
      <w:r>
        <w:rPr>
          <w:rFonts w:hint="default" w:cs="Times New Roman" w:asciiTheme="majorEastAsia" w:hAnsiTheme="majorEastAsia" w:eastAsiaTheme="majorEastAsia"/>
          <w:b/>
          <w:sz w:val="28"/>
          <w:szCs w:val="28"/>
        </w:rPr>
        <w:t>调查地点</w:t>
      </w:r>
    </w:p>
    <w:p>
      <w:pPr>
        <w:pStyle w:val="6"/>
        <w:numPr>
          <w:ilvl w:val="0"/>
          <w:numId w:val="0"/>
        </w:numPr>
        <w:ind w:leftChars="0" w:firstLine="560"/>
        <w:rPr>
          <w:rFonts w:hint="default"/>
          <w:szCs w:val="21"/>
        </w:rPr>
      </w:pPr>
      <w:r>
        <w:rPr>
          <w:rFonts w:hint="default"/>
          <w:szCs w:val="21"/>
        </w:rPr>
        <w:t>调查地点为中山大道与车陂路的交叉口，近地铁站车陂C出口。</w:t>
      </w:r>
    </w:p>
    <w:p>
      <w:pPr>
        <w:pStyle w:val="6"/>
        <w:numPr>
          <w:ilvl w:val="0"/>
          <w:numId w:val="0"/>
        </w:numPr>
        <w:ind w:leftChars="0"/>
        <w:jc w:val="left"/>
        <w:rPr>
          <w:rFonts w:hint="default" w:ascii="Times New Roman" w:hAnsi="Times New Roman" w:cs="Times New Roman" w:eastAsiaTheme="majorEastAsia"/>
          <w:b/>
          <w:sz w:val="24"/>
          <w:szCs w:val="24"/>
        </w:rPr>
      </w:pPr>
    </w:p>
    <w:p>
      <w:pPr>
        <w:pStyle w:val="6"/>
        <w:numPr>
          <w:ilvl w:val="0"/>
          <w:numId w:val="0"/>
        </w:numPr>
        <w:spacing w:line="360" w:lineRule="auto"/>
        <w:ind w:leftChars="0"/>
        <w:jc w:val="left"/>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2.1 中山大道基本情况</w:t>
      </w:r>
    </w:p>
    <w:p>
      <w:pPr>
        <w:pStyle w:val="6"/>
        <w:numPr>
          <w:ilvl w:val="0"/>
          <w:numId w:val="0"/>
        </w:numPr>
        <w:ind w:firstLine="420" w:firstLineChars="200"/>
        <w:jc w:val="left"/>
      </w:pPr>
      <w:r>
        <w:t>中山大道位于</w:t>
      </w:r>
      <w:r>
        <w:fldChar w:fldCharType="begin"/>
      </w:r>
      <w:r>
        <w:instrText xml:space="preserve"> HYPERLINK "https://baike.so.com/doc/1279856-24188840.html" \t "_blank" </w:instrText>
      </w:r>
      <w:r>
        <w:fldChar w:fldCharType="separate"/>
      </w:r>
      <w:r>
        <w:rPr>
          <w:rStyle w:val="3"/>
          <w:color w:val="auto"/>
        </w:rPr>
        <w:t>中国</w:t>
      </w:r>
      <w:r>
        <w:fldChar w:fldCharType="end"/>
      </w:r>
      <w:r>
        <w:t>广州市</w:t>
      </w:r>
      <w:r>
        <w:fldChar w:fldCharType="begin"/>
      </w:r>
      <w:r>
        <w:instrText xml:space="preserve"> HYPERLINK "https://baike.so.com/doc/5512493-5748260.html" \t "_blank" </w:instrText>
      </w:r>
      <w:r>
        <w:fldChar w:fldCharType="separate"/>
      </w:r>
      <w:r>
        <w:rPr>
          <w:rStyle w:val="3"/>
          <w:color w:val="auto"/>
        </w:rPr>
        <w:t>天河区</w:t>
      </w:r>
      <w:r>
        <w:rPr>
          <w:rStyle w:val="3"/>
          <w:color w:val="auto"/>
        </w:rPr>
        <w:fldChar w:fldCharType="end"/>
      </w:r>
      <w:r>
        <w:t>及</w:t>
      </w:r>
      <w:r>
        <w:fldChar w:fldCharType="begin"/>
      </w:r>
      <w:r>
        <w:instrText xml:space="preserve"> HYPERLINK "https://baike.so.com/doc/6265843-6479264.html" \t "_blank" </w:instrText>
      </w:r>
      <w:r>
        <w:fldChar w:fldCharType="separate"/>
      </w:r>
      <w:r>
        <w:rPr>
          <w:rStyle w:val="3"/>
          <w:color w:val="auto"/>
        </w:rPr>
        <w:t>黄埔区</w:t>
      </w:r>
      <w:r>
        <w:rPr>
          <w:rStyle w:val="3"/>
          <w:color w:val="auto"/>
        </w:rPr>
        <w:fldChar w:fldCharType="end"/>
      </w:r>
      <w:r>
        <w:t>，于1925年开始修建，为纪念</w:t>
      </w:r>
      <w:r>
        <w:fldChar w:fldCharType="begin"/>
      </w:r>
      <w:r>
        <w:instrText xml:space="preserve"> HYPERLINK "https://baike.so.com/doc/2414319-2552441.html" \t "_blank" </w:instrText>
      </w:r>
      <w:r>
        <w:fldChar w:fldCharType="separate"/>
      </w:r>
      <w:r>
        <w:rPr>
          <w:rStyle w:val="3"/>
          <w:color w:val="auto"/>
        </w:rPr>
        <w:t>孙中山</w:t>
      </w:r>
      <w:r>
        <w:rPr>
          <w:rStyle w:val="3"/>
          <w:color w:val="auto"/>
        </w:rPr>
        <w:fldChar w:fldCharType="end"/>
      </w:r>
      <w:r>
        <w:t>而命名为</w:t>
      </w:r>
      <w:r>
        <w:fldChar w:fldCharType="begin"/>
      </w:r>
      <w:r>
        <w:instrText xml:space="preserve"> HYPERLINK "https://baike.so.com/doc/815558-862566.html" \t "_blank" </w:instrText>
      </w:r>
      <w:r>
        <w:fldChar w:fldCharType="separate"/>
      </w:r>
      <w:r>
        <w:rPr>
          <w:rStyle w:val="3"/>
          <w:color w:val="auto"/>
        </w:rPr>
        <w:t>中山公路</w:t>
      </w:r>
      <w:r>
        <w:rPr>
          <w:rStyle w:val="3"/>
          <w:color w:val="auto"/>
        </w:rPr>
        <w:fldChar w:fldCharType="end"/>
      </w:r>
      <w:r>
        <w:t>。1987年扩建为48米宽的混凝土路，更名为中山大道；线路呈东西走向，全长约14公里。西接</w:t>
      </w:r>
      <w:r>
        <w:fldChar w:fldCharType="begin"/>
      </w:r>
      <w:r>
        <w:instrText xml:space="preserve"> HYPERLINK "https://baike.so.com/doc/815562-862578.html" \t "_blank" </w:instrText>
      </w:r>
      <w:r>
        <w:fldChar w:fldCharType="separate"/>
      </w:r>
      <w:r>
        <w:rPr>
          <w:rStyle w:val="3"/>
          <w:color w:val="auto"/>
        </w:rPr>
        <w:t>天河路</w:t>
      </w:r>
      <w:r>
        <w:rPr>
          <w:rStyle w:val="3"/>
          <w:color w:val="auto"/>
        </w:rPr>
        <w:fldChar w:fldCharType="end"/>
      </w:r>
      <w:r>
        <w:t>，东至黄埔区</w:t>
      </w:r>
      <w:r>
        <w:fldChar w:fldCharType="begin"/>
      </w:r>
      <w:r>
        <w:instrText xml:space="preserve"> HYPERLINK "https://baike.so.com/doc/24374243-25192635.html" \t "_blank" </w:instrText>
      </w:r>
      <w:r>
        <w:fldChar w:fldCharType="separate"/>
      </w:r>
      <w:r>
        <w:rPr>
          <w:rStyle w:val="3"/>
          <w:color w:val="auto"/>
        </w:rPr>
        <w:t>黄埔东路</w:t>
      </w:r>
      <w:r>
        <w:rPr>
          <w:rStyle w:val="3"/>
          <w:color w:val="auto"/>
        </w:rPr>
        <w:fldChar w:fldCharType="end"/>
      </w:r>
      <w:r>
        <w:t>，全线多为双向六至八车道。</w:t>
      </w:r>
    </w:p>
    <w:p>
      <w:pPr>
        <w:pStyle w:val="6"/>
        <w:numPr>
          <w:ilvl w:val="0"/>
          <w:numId w:val="0"/>
        </w:numPr>
        <w:spacing w:line="360" w:lineRule="auto"/>
        <w:ind w:leftChars="0"/>
        <w:jc w:val="left"/>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2.2 车陂路基本情况</w:t>
      </w:r>
    </w:p>
    <w:p>
      <w:pPr>
        <w:pStyle w:val="6"/>
        <w:numPr>
          <w:ilvl w:val="0"/>
          <w:numId w:val="0"/>
        </w:numPr>
        <w:spacing w:line="360" w:lineRule="auto"/>
        <w:ind w:leftChars="0" w:firstLine="420" w:firstLineChars="200"/>
        <w:jc w:val="left"/>
      </w:pPr>
      <w:r>
        <w:t>车陂路位于广州市天河区，南起临江大道，北至</w:t>
      </w:r>
      <w:r>
        <w:fldChar w:fldCharType="begin"/>
      </w:r>
      <w:r>
        <w:instrText xml:space="preserve"> HYPERLINK "https://baike.so.com/doc/25673896-26751459.html" \t "_blank" </w:instrText>
      </w:r>
      <w:r>
        <w:fldChar w:fldCharType="separate"/>
      </w:r>
      <w:r>
        <w:rPr>
          <w:rStyle w:val="3"/>
          <w:color w:val="auto"/>
        </w:rPr>
        <w:t>大观路</w:t>
      </w:r>
      <w:r>
        <w:rPr>
          <w:rStyle w:val="3"/>
          <w:color w:val="auto"/>
        </w:rPr>
        <w:fldChar w:fldCharType="end"/>
      </w:r>
      <w:r>
        <w:t>与</w:t>
      </w:r>
      <w:r>
        <w:fldChar w:fldCharType="begin"/>
      </w:r>
      <w:r>
        <w:instrText xml:space="preserve"> HYPERLINK "https://baike.so.com/doc/395734-418977.html" \t "_blank" </w:instrText>
      </w:r>
      <w:r>
        <w:fldChar w:fldCharType="separate"/>
      </w:r>
      <w:r>
        <w:rPr>
          <w:rStyle w:val="3"/>
          <w:color w:val="auto"/>
        </w:rPr>
        <w:t>广东奥林匹克体育中心</w:t>
      </w:r>
      <w:r>
        <w:rPr>
          <w:rStyle w:val="3"/>
          <w:color w:val="auto"/>
        </w:rPr>
        <w:fldChar w:fldCharType="end"/>
      </w:r>
      <w:r>
        <w:t>相连接，全长4.1公里，因车陂村而得名。</w:t>
      </w:r>
    </w:p>
    <w:p>
      <w:pPr>
        <w:pStyle w:val="6"/>
        <w:numPr>
          <w:ilvl w:val="0"/>
          <w:numId w:val="0"/>
        </w:numPr>
        <w:spacing w:line="360" w:lineRule="auto"/>
        <w:ind w:leftChars="0"/>
        <w:jc w:val="left"/>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2.3 交叉口基本情况</w:t>
      </w:r>
    </w:p>
    <w:p>
      <w:pPr>
        <w:keepNext w:val="0"/>
        <w:keepLines w:val="0"/>
        <w:widowControl/>
        <w:suppressLineNumbers w:val="0"/>
        <w:ind w:firstLine="420" w:firstLineChars="200"/>
        <w:jc w:val="left"/>
        <w:rPr>
          <w:rFonts w:hint="default" w:asciiTheme="minorEastAsia" w:hAnsiTheme="minorEastAsia" w:cstheme="minorEastAsia"/>
          <w:sz w:val="21"/>
          <w:szCs w:val="21"/>
        </w:rPr>
      </w:pPr>
      <w:r>
        <w:rPr>
          <w:rFonts w:hint="eastAsia"/>
          <w:szCs w:val="21"/>
        </w:rPr>
        <w:t>中山大道与车陂路的交叉口双向六车道信号交叉口。</w:t>
      </w:r>
      <w:r>
        <w:rPr>
          <w:rFonts w:hint="default"/>
          <w:szCs w:val="21"/>
        </w:rPr>
        <w:t>交叉口的四个方向均有居民区，东侧有</w:t>
      </w:r>
      <w:r>
        <w:rPr>
          <w:rFonts w:hint="eastAsia"/>
          <w:szCs w:val="21"/>
        </w:rPr>
        <w:t>商业场所</w:t>
      </w:r>
      <w:r>
        <w:rPr>
          <w:rFonts w:hint="default"/>
          <w:szCs w:val="21"/>
        </w:rPr>
        <w:t>，是出行产生密度较大的区域。同时，该交叉口靠近地铁站车陂，经过车陂的4号线</w:t>
      </w:r>
      <w:r>
        <w:rPr>
          <w:rFonts w:hint="eastAsia" w:ascii="Arial" w:hAnsi="Arial" w:eastAsia="宋体" w:cs="Arial"/>
          <w:b w:val="0"/>
          <w:i w:val="0"/>
          <w:caps w:val="0"/>
          <w:color w:val="3366CC"/>
          <w:spacing w:val="0"/>
          <w:kern w:val="0"/>
          <w:sz w:val="21"/>
          <w:szCs w:val="21"/>
          <w:u w:val="none"/>
          <w:vertAlign w:val="baseline"/>
          <w:lang w:val="en-US" w:eastAsia="zh-CN" w:bidi="ar"/>
        </w:rPr>
        <w:t>[1]</w:t>
      </w:r>
      <w:bookmarkStart w:id="0" w:name="ref_[1]_1876531"/>
      <w:r>
        <w:rPr>
          <w:rFonts w:hint="default" w:ascii="Arial" w:hAnsi="Arial" w:eastAsia="宋体" w:cs="Arial"/>
          <w:b w:val="0"/>
          <w:i w:val="0"/>
          <w:caps w:val="0"/>
          <w:color w:val="136EC2"/>
          <w:spacing w:val="0"/>
          <w:kern w:val="0"/>
          <w:sz w:val="0"/>
          <w:szCs w:val="0"/>
          <w:u w:val="none"/>
          <w:lang w:val="en-US" w:eastAsia="zh-CN" w:bidi="ar"/>
        </w:rPr>
        <w:t> </w:t>
      </w:r>
      <w:bookmarkEnd w:id="0"/>
      <w:r>
        <w:rPr>
          <w:rFonts w:hint="eastAsia" w:asciiTheme="minorEastAsia" w:hAnsiTheme="minorEastAsia" w:eastAsiaTheme="minorEastAsia" w:cstheme="minorEastAsia"/>
          <w:b w:val="0"/>
          <w:i w:val="0"/>
          <w:caps w:val="0"/>
          <w:color w:val="333333"/>
          <w:spacing w:val="0"/>
          <w:kern w:val="0"/>
          <w:sz w:val="21"/>
          <w:szCs w:val="21"/>
          <w:u w:val="none"/>
          <w:shd w:val="clear" w:fill="FFFFFF"/>
          <w:lang w:val="en-US" w:eastAsia="zh-CN" w:bidi="ar"/>
        </w:rPr>
        <w:t>日均客流37.39万人次</w:t>
      </w:r>
      <w:r>
        <w:rPr>
          <w:rFonts w:hint="default" w:asciiTheme="minorEastAsia" w:hAnsiTheme="minorEastAsia" w:cstheme="minorEastAsia"/>
          <w:b w:val="0"/>
          <w:i w:val="0"/>
          <w:caps w:val="0"/>
          <w:color w:val="333333"/>
          <w:spacing w:val="0"/>
          <w:kern w:val="0"/>
          <w:sz w:val="21"/>
          <w:szCs w:val="21"/>
          <w:u w:val="none"/>
          <w:shd w:val="clear" w:fill="FFFFFF"/>
          <w:lang w:eastAsia="zh-CN" w:bidi="ar"/>
        </w:rPr>
        <w:t>，</w:t>
      </w:r>
      <w:r>
        <w:rPr>
          <w:rFonts w:hint="eastAsia" w:asciiTheme="minorEastAsia" w:hAnsiTheme="minorEastAsia" w:eastAsiaTheme="minorEastAsia" w:cstheme="minorEastAsia"/>
          <w:sz w:val="21"/>
          <w:szCs w:val="21"/>
        </w:rPr>
        <w:t>早晚高峰时</w:t>
      </w:r>
      <w:r>
        <w:rPr>
          <w:rFonts w:hint="default" w:asciiTheme="minorEastAsia" w:hAnsiTheme="minorEastAsia" w:cstheme="minorEastAsia"/>
          <w:sz w:val="21"/>
          <w:szCs w:val="21"/>
        </w:rPr>
        <w:t>客流量更大。同时，交叉口西端的车陂公交站（途经公交线路：B17、B1路快线、B27路）也承载了较大的客流。</w:t>
      </w:r>
    </w:p>
    <w:p>
      <w:pPr>
        <w:pStyle w:val="6"/>
        <w:numPr>
          <w:ilvl w:val="0"/>
          <w:numId w:val="0"/>
        </w:numPr>
        <w:ind w:leftChars="0" w:firstLine="420" w:firstLineChars="200"/>
        <w:jc w:val="left"/>
        <w:rPr>
          <w:rFonts w:hint="default" w:asciiTheme="minorEastAsia" w:hAnsiTheme="minorEastAsia" w:cstheme="minorEastAsia"/>
          <w:sz w:val="21"/>
          <w:szCs w:val="21"/>
        </w:rPr>
      </w:pPr>
      <w:r>
        <w:rPr>
          <w:rFonts w:hint="default" w:asciiTheme="minorEastAsia" w:hAnsiTheme="minorEastAsia" w:cstheme="minorEastAsia"/>
          <w:sz w:val="21"/>
          <w:szCs w:val="21"/>
        </w:rPr>
        <w:t>由此可见，中山大道与车陂路的交叉口</w:t>
      </w:r>
      <w:r>
        <w:rPr>
          <w:rFonts w:hint="eastAsia" w:asciiTheme="minorEastAsia" w:hAnsiTheme="minorEastAsia" w:eastAsiaTheme="minorEastAsia" w:cstheme="minorEastAsia"/>
          <w:sz w:val="21"/>
          <w:szCs w:val="21"/>
        </w:rPr>
        <w:t>交通情况</w:t>
      </w:r>
      <w:r>
        <w:rPr>
          <w:rFonts w:hint="default" w:asciiTheme="minorEastAsia" w:hAnsiTheme="minorEastAsia" w:cstheme="minorEastAsia"/>
          <w:sz w:val="21"/>
          <w:szCs w:val="21"/>
        </w:rPr>
        <w:t>、行人流向</w:t>
      </w:r>
      <w:r>
        <w:rPr>
          <w:rFonts w:hint="eastAsia" w:asciiTheme="minorEastAsia" w:hAnsiTheme="minorEastAsia" w:eastAsiaTheme="minorEastAsia" w:cstheme="minorEastAsia"/>
          <w:sz w:val="21"/>
          <w:szCs w:val="21"/>
        </w:rPr>
        <w:t>较为复杂</w:t>
      </w:r>
      <w:r>
        <w:rPr>
          <w:rFonts w:hint="default" w:asciiTheme="minorEastAsia" w:hAnsiTheme="minorEastAsia" w:cstheme="minorEastAsia"/>
          <w:sz w:val="21"/>
          <w:szCs w:val="21"/>
        </w:rPr>
        <w:t>且</w:t>
      </w:r>
      <w:r>
        <w:rPr>
          <w:rFonts w:hint="eastAsia" w:asciiTheme="minorEastAsia" w:hAnsiTheme="minorEastAsia" w:eastAsiaTheme="minorEastAsia" w:cstheme="minorEastAsia"/>
          <w:sz w:val="21"/>
          <w:szCs w:val="21"/>
        </w:rPr>
        <w:t>行人流量较多，</w:t>
      </w:r>
      <w:r>
        <w:rPr>
          <w:rFonts w:hint="default" w:asciiTheme="minorEastAsia" w:hAnsiTheme="minorEastAsia" w:cstheme="minorEastAsia"/>
          <w:sz w:val="21"/>
          <w:szCs w:val="21"/>
        </w:rPr>
        <w:t>选取此路口调查能够获得的现象和数据丰富且具有代表性。</w:t>
      </w:r>
    </w:p>
    <w:p>
      <w:pPr>
        <w:pStyle w:val="6"/>
        <w:numPr>
          <w:ilvl w:val="0"/>
          <w:numId w:val="0"/>
        </w:numPr>
        <w:ind w:leftChars="0" w:firstLine="420" w:firstLineChars="200"/>
        <w:jc w:val="left"/>
        <w:rPr>
          <w:rFonts w:hint="default" w:asciiTheme="minorEastAsia" w:hAnsiTheme="minorEastAsia" w:cstheme="minorEastAsia"/>
          <w:sz w:val="21"/>
          <w:szCs w:val="21"/>
        </w:rPr>
      </w:pPr>
    </w:p>
    <w:p>
      <w:pPr>
        <w:pStyle w:val="6"/>
        <w:numPr>
          <w:ilvl w:val="0"/>
          <w:numId w:val="0"/>
        </w:numPr>
        <w:jc w:val="both"/>
        <w:rPr>
          <w:rFonts w:hint="default" w:ascii="Times New Roman" w:hAnsi="Times New Roman" w:cs="Times New Roman"/>
          <w:b/>
          <w:bCs/>
          <w:szCs w:val="21"/>
        </w:rPr>
      </w:pPr>
      <w:r>
        <w:rPr>
          <w:rFonts w:hint="default" w:ascii="Times New Roman" w:hAnsi="Times New Roman" w:cs="Times New Roman"/>
          <w:b/>
          <w:bCs/>
          <w:szCs w:val="21"/>
        </w:rPr>
        <w:drawing>
          <wp:inline distT="0" distB="0" distL="114300" distR="114300">
            <wp:extent cx="5270500" cy="3707130"/>
            <wp:effectExtent l="0" t="0" r="12700" b="1270"/>
            <wp:docPr id="13" name="图片 13" descr="屏幕快照 2018-11-19 下午11.4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屏幕快照 2018-11-19 下午11.41.42"/>
                    <pic:cNvPicPr>
                      <a:picLocks noChangeAspect="1"/>
                    </pic:cNvPicPr>
                  </pic:nvPicPr>
                  <pic:blipFill>
                    <a:blip r:embed="rId6"/>
                    <a:stretch>
                      <a:fillRect/>
                    </a:stretch>
                  </pic:blipFill>
                  <pic:spPr>
                    <a:xfrm>
                      <a:off x="0" y="0"/>
                      <a:ext cx="5270500" cy="3707130"/>
                    </a:xfrm>
                    <a:prstGeom prst="rect">
                      <a:avLst/>
                    </a:prstGeom>
                  </pic:spPr>
                </pic:pic>
              </a:graphicData>
            </a:graphic>
          </wp:inline>
        </w:drawing>
      </w:r>
    </w:p>
    <w:p>
      <w:pPr>
        <w:pStyle w:val="6"/>
        <w:numPr>
          <w:ilvl w:val="0"/>
          <w:numId w:val="0"/>
        </w:numPr>
        <w:ind w:leftChars="0"/>
        <w:jc w:val="center"/>
        <w:rPr>
          <w:rFonts w:hint="eastAsia" w:ascii="Adobe 黑体 Std" w:hAnsi="Adobe 黑体 Std" w:eastAsia="Adobe 黑体 Std" w:cs="Adobe 黑体 Std"/>
          <w:b/>
          <w:sz w:val="21"/>
          <w:szCs w:val="21"/>
        </w:rPr>
      </w:pPr>
      <w:r>
        <w:rPr>
          <w:rFonts w:hint="eastAsia" w:ascii="Adobe 黑体 Std" w:hAnsi="Adobe 黑体 Std" w:eastAsia="Adobe 黑体 Std" w:cs="Adobe 黑体 Std"/>
          <w:b/>
          <w:sz w:val="21"/>
          <w:szCs w:val="21"/>
        </w:rPr>
        <w:t>图</w:t>
      </w:r>
      <w:r>
        <w:rPr>
          <w:rFonts w:hint="default" w:ascii="Adobe 黑体 Std" w:hAnsi="Adobe 黑体 Std" w:eastAsia="Adobe 黑体 Std" w:cs="Adobe 黑体 Std"/>
          <w:b/>
          <w:sz w:val="21"/>
          <w:szCs w:val="21"/>
        </w:rPr>
        <w:t>3</w:t>
      </w:r>
      <w:r>
        <w:rPr>
          <w:rFonts w:hint="eastAsia" w:ascii="Adobe 黑体 Std" w:hAnsi="Adobe 黑体 Std" w:eastAsia="Adobe 黑体 Std" w:cs="Adobe 黑体 Std"/>
          <w:b/>
          <w:sz w:val="21"/>
          <w:szCs w:val="21"/>
        </w:rPr>
        <w:t xml:space="preserve"> </w:t>
      </w:r>
      <w:r>
        <w:rPr>
          <w:rFonts w:hint="default" w:ascii="Adobe 黑体 Std" w:hAnsi="Adobe 黑体 Std" w:eastAsia="Adobe 黑体 Std" w:cs="Adobe 黑体 Std"/>
          <w:b/>
          <w:sz w:val="21"/>
          <w:szCs w:val="21"/>
        </w:rPr>
        <w:t>交叉口及周边示意图</w:t>
      </w:r>
    </w:p>
    <w:p>
      <w:pPr>
        <w:pStyle w:val="6"/>
        <w:numPr>
          <w:ilvl w:val="0"/>
          <w:numId w:val="0"/>
        </w:numPr>
        <w:rPr>
          <w:rFonts w:hint="eastAsia" w:ascii="Times New Roman" w:hAnsi="Times New Roman" w:cs="Times New Roman"/>
          <w:b/>
          <w:bCs/>
          <w:szCs w:val="21"/>
        </w:rPr>
      </w:pPr>
    </w:p>
    <w:p>
      <w:pPr>
        <w:pStyle w:val="6"/>
        <w:numPr>
          <w:ilvl w:val="0"/>
          <w:numId w:val="1"/>
        </w:numPr>
        <w:ind w:firstLineChars="0"/>
        <w:rPr>
          <w:rFonts w:hint="eastAsia" w:cs="Times New Roman" w:asciiTheme="majorEastAsia" w:hAnsiTheme="majorEastAsia" w:eastAsiaTheme="majorEastAsia"/>
          <w:b/>
          <w:sz w:val="28"/>
          <w:szCs w:val="28"/>
        </w:rPr>
      </w:pPr>
      <w:r>
        <w:rPr>
          <w:rFonts w:hint="default" w:cs="Times New Roman" w:asciiTheme="majorEastAsia" w:hAnsiTheme="majorEastAsia" w:eastAsiaTheme="majorEastAsia"/>
          <w:b/>
          <w:sz w:val="28"/>
          <w:szCs w:val="28"/>
        </w:rPr>
        <w:t>调查内容</w:t>
      </w:r>
    </w:p>
    <w:p>
      <w:pPr>
        <w:pStyle w:val="6"/>
        <w:numPr>
          <w:ilvl w:val="0"/>
          <w:numId w:val="0"/>
        </w:numPr>
        <w:ind w:leftChars="0" w:firstLine="420" w:firstLineChars="200"/>
        <w:rPr>
          <w:rFonts w:hint="default"/>
          <w:szCs w:val="21"/>
        </w:rPr>
      </w:pPr>
      <w:r>
        <w:rPr>
          <w:rFonts w:hint="default"/>
          <w:szCs w:val="21"/>
        </w:rPr>
        <w:t>对该路口的行人交通及相关内容，我们拟进行以下几个方面的调查：</w:t>
      </w:r>
    </w:p>
    <w:p>
      <w:pPr>
        <w:pStyle w:val="6"/>
        <w:numPr>
          <w:ilvl w:val="0"/>
          <w:numId w:val="3"/>
        </w:numPr>
        <w:ind w:leftChars="0" w:firstLine="420" w:firstLineChars="200"/>
        <w:rPr>
          <w:rFonts w:hint="default" w:ascii="Times New Roman" w:hAnsi="宋体" w:eastAsia="宋体" w:cs="Times New Roman"/>
          <w:color w:val="000000" w:themeColor="text1"/>
          <w:szCs w:val="21"/>
          <w14:textFill>
            <w14:solidFill>
              <w14:schemeClr w14:val="tx1"/>
            </w14:solidFill>
          </w14:textFill>
        </w:rPr>
      </w:pPr>
      <w:r>
        <w:rPr>
          <w:rFonts w:hint="default" w:ascii="Times New Roman" w:hAnsi="宋体" w:eastAsia="宋体" w:cs="Times New Roman"/>
          <w:color w:val="000000" w:themeColor="text1"/>
          <w:szCs w:val="21"/>
          <w14:textFill>
            <w14:solidFill>
              <w14:schemeClr w14:val="tx1"/>
            </w14:solidFill>
          </w14:textFill>
        </w:rPr>
        <w:t>分流向</w:t>
      </w:r>
      <w:r>
        <w:rPr>
          <w:rFonts w:hint="eastAsia" w:ascii="Times New Roman" w:hAnsi="宋体" w:eastAsia="宋体" w:cs="Times New Roman"/>
          <w:color w:val="000000" w:themeColor="text1"/>
          <w:szCs w:val="21"/>
          <w14:textFill>
            <w14:solidFill>
              <w14:schemeClr w14:val="tx1"/>
            </w14:solidFill>
          </w14:textFill>
        </w:rPr>
        <w:t>调查交叉口的行人流量</w:t>
      </w:r>
      <w:r>
        <w:rPr>
          <w:rFonts w:hint="default" w:ascii="Times New Roman" w:hAnsi="宋体" w:eastAsia="宋体" w:cs="Times New Roman"/>
          <w:color w:val="000000" w:themeColor="text1"/>
          <w:szCs w:val="21"/>
          <w14:textFill>
            <w14:solidFill>
              <w14:schemeClr w14:val="tx1"/>
            </w14:solidFill>
          </w14:textFill>
        </w:rPr>
        <w:t>，记录不同类型的行人数量及违规比例。根据得到的数据：</w:t>
      </w:r>
    </w:p>
    <w:p>
      <w:pPr>
        <w:pStyle w:val="6"/>
        <w:numPr>
          <w:ilvl w:val="0"/>
          <w:numId w:val="4"/>
        </w:numPr>
        <w:ind w:left="0" w:leftChars="0" w:firstLine="420" w:firstLineChars="200"/>
        <w:rPr>
          <w:rFonts w:hint="default" w:ascii="Times New Roman" w:hAnsi="宋体" w:eastAsia="宋体" w:cs="Times New Roman"/>
          <w:color w:val="000000" w:themeColor="text1"/>
          <w:szCs w:val="21"/>
          <w14:textFill>
            <w14:solidFill>
              <w14:schemeClr w14:val="tx1"/>
            </w14:solidFill>
          </w14:textFill>
        </w:rPr>
      </w:pPr>
      <w:r>
        <w:rPr>
          <w:rFonts w:hint="default" w:ascii="Times New Roman" w:hAnsi="宋体" w:eastAsia="宋体" w:cs="Times New Roman"/>
          <w:color w:val="000000" w:themeColor="text1"/>
          <w:szCs w:val="21"/>
          <w14:textFill>
            <w14:solidFill>
              <w14:schemeClr w14:val="tx1"/>
            </w14:solidFill>
          </w14:textFill>
        </w:rPr>
        <w:t>通过比较不同行人流量下的违规率，分析“中国式过马路”的存在和成因。</w:t>
      </w:r>
    </w:p>
    <w:p>
      <w:pPr>
        <w:pStyle w:val="6"/>
        <w:numPr>
          <w:ilvl w:val="0"/>
          <w:numId w:val="4"/>
        </w:numPr>
        <w:ind w:left="0" w:leftChars="0" w:firstLine="420" w:firstLineChars="200"/>
        <w:rPr>
          <w:rFonts w:hint="default" w:ascii="Times New Roman" w:hAnsi="宋体" w:eastAsia="宋体" w:cs="Times New Roman"/>
          <w:color w:val="000000" w:themeColor="text1"/>
          <w:szCs w:val="21"/>
          <w14:textFill>
            <w14:solidFill>
              <w14:schemeClr w14:val="tx1"/>
            </w14:solidFill>
          </w14:textFill>
        </w:rPr>
      </w:pPr>
      <w:r>
        <w:rPr>
          <w:rFonts w:hint="default" w:ascii="Times New Roman" w:hAnsi="宋体" w:eastAsia="宋体" w:cs="Times New Roman"/>
          <w:color w:val="000000" w:themeColor="text1"/>
          <w:szCs w:val="21"/>
          <w14:textFill>
            <w14:solidFill>
              <w14:schemeClr w14:val="tx1"/>
            </w14:solidFill>
          </w14:textFill>
        </w:rPr>
        <w:t>通过仿真和实际情况的对比，分析行人流量较大时对流冲突对通行效率的影响，并提出优化方案。</w:t>
      </w:r>
    </w:p>
    <w:p>
      <w:pPr>
        <w:pStyle w:val="6"/>
        <w:numPr>
          <w:ilvl w:val="0"/>
          <w:numId w:val="4"/>
        </w:numPr>
        <w:ind w:left="0" w:leftChars="0" w:firstLine="420" w:firstLineChars="200"/>
        <w:rPr>
          <w:rFonts w:ascii="Calibri" w:hAnsi="宋体" w:eastAsia="宋体" w:cs="Times New Roman"/>
          <w:color w:val="000000" w:themeColor="text1"/>
          <w:szCs w:val="21"/>
          <w14:textFill>
            <w14:solidFill>
              <w14:schemeClr w14:val="tx1"/>
            </w14:solidFill>
          </w14:textFill>
        </w:rPr>
      </w:pPr>
      <w:r>
        <w:rPr>
          <w:rFonts w:hint="default" w:ascii="Times New Roman" w:hAnsi="宋体" w:eastAsia="宋体" w:cs="Times New Roman"/>
          <w:color w:val="000000" w:themeColor="text1"/>
          <w:szCs w:val="21"/>
          <w14:textFill>
            <w14:solidFill>
              <w14:schemeClr w14:val="tx1"/>
            </w14:solidFill>
          </w14:textFill>
        </w:rPr>
        <w:t>通过违规率的比较，分析有协管和无协管条件下行人违规变化。</w:t>
      </w:r>
    </w:p>
    <w:p>
      <w:pPr>
        <w:pStyle w:val="6"/>
        <w:numPr>
          <w:ilvl w:val="0"/>
          <w:numId w:val="0"/>
        </w:numPr>
        <w:ind w:leftChars="200"/>
        <w:rPr>
          <w:rFonts w:ascii="Calibri" w:hAnsi="宋体" w:eastAsia="宋体" w:cs="Times New Roman"/>
          <w:color w:val="000000" w:themeColor="text1"/>
          <w:szCs w:val="21"/>
          <w14:textFill>
            <w14:solidFill>
              <w14:schemeClr w14:val="tx1"/>
            </w14:solidFill>
          </w14:textFill>
        </w:rPr>
      </w:pPr>
      <w:r>
        <w:rPr>
          <w:rFonts w:hint="eastAsia" w:ascii="Calibri" w:hAnsi="宋体" w:eastAsia="宋体" w:cs="Times New Roman"/>
          <w:color w:val="000000" w:themeColor="text1"/>
          <w:szCs w:val="21"/>
          <w14:textFill>
            <w14:solidFill>
              <w14:schemeClr w14:val="tx1"/>
            </w14:solidFill>
          </w14:textFill>
        </w:rPr>
        <w:t>（</w:t>
      </w:r>
      <w:r>
        <w:rPr>
          <w:rFonts w:hint="default" w:ascii="Calibri" w:hAnsi="宋体" w:eastAsia="宋体" w:cs="Times New Roman"/>
          <w:color w:val="000000" w:themeColor="text1"/>
          <w:szCs w:val="21"/>
          <w14:textFill>
            <w14:solidFill>
              <w14:schemeClr w14:val="tx1"/>
            </w14:solidFill>
          </w14:textFill>
        </w:rPr>
        <w:t>2</w:t>
      </w:r>
      <w:r>
        <w:rPr>
          <w:rFonts w:hint="eastAsia" w:ascii="Calibri" w:hAnsi="宋体" w:eastAsia="宋体" w:cs="Times New Roman"/>
          <w:color w:val="000000" w:themeColor="text1"/>
          <w:szCs w:val="21"/>
          <w14:textFill>
            <w14:solidFill>
              <w14:schemeClr w14:val="tx1"/>
            </w14:solidFill>
          </w14:textFill>
        </w:rPr>
        <w:t>）调查右转专用道车辆和过街行人冲突时车辆的礼让情况，统计不同时段车辆行为。</w:t>
      </w:r>
    </w:p>
    <w:p>
      <w:pPr>
        <w:pStyle w:val="6"/>
        <w:numPr>
          <w:ilvl w:val="0"/>
          <w:numId w:val="0"/>
        </w:numPr>
        <w:ind w:leftChars="0" w:firstLine="420" w:firstLineChars="200"/>
        <w:rPr>
          <w:rFonts w:hint="eastAsia"/>
          <w:szCs w:val="21"/>
        </w:rPr>
      </w:pPr>
    </w:p>
    <w:p>
      <w:pPr>
        <w:pStyle w:val="6"/>
        <w:numPr>
          <w:ilvl w:val="0"/>
          <w:numId w:val="1"/>
        </w:numPr>
        <w:spacing w:line="360" w:lineRule="auto"/>
        <w:ind w:firstLineChars="0"/>
        <w:rPr>
          <w:rFonts w:hint="eastAsia" w:cs="Times New Roman" w:asciiTheme="majorEastAsia" w:hAnsiTheme="majorEastAsia" w:eastAsiaTheme="majorEastAsia"/>
          <w:b/>
          <w:sz w:val="28"/>
          <w:szCs w:val="28"/>
        </w:rPr>
      </w:pPr>
      <w:r>
        <w:rPr>
          <w:rFonts w:hint="default" w:cs="Times New Roman" w:asciiTheme="majorEastAsia" w:hAnsiTheme="majorEastAsia" w:eastAsiaTheme="majorEastAsia"/>
          <w:b/>
          <w:sz w:val="28"/>
          <w:szCs w:val="28"/>
        </w:rPr>
        <w:t>调查方案</w:t>
      </w:r>
    </w:p>
    <w:p>
      <w:pPr>
        <w:pStyle w:val="6"/>
        <w:numPr>
          <w:ilvl w:val="0"/>
          <w:numId w:val="0"/>
        </w:numPr>
        <w:spacing w:line="360" w:lineRule="auto"/>
        <w:ind w:leftChars="0"/>
        <w:jc w:val="left"/>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4.1 行人过街冲突</w:t>
      </w:r>
    </w:p>
    <w:p>
      <w:pPr>
        <w:spacing w:line="360" w:lineRule="auto"/>
        <w:rPr>
          <w:rFonts w:hint="default" w:ascii="Times New Roman" w:hAnsi="Times New Roman" w:cs="Times New Roman"/>
          <w:b/>
          <w:bCs/>
          <w:szCs w:val="21"/>
        </w:rPr>
      </w:pPr>
      <w:r>
        <w:rPr>
          <w:rFonts w:hint="default" w:ascii="Times New Roman" w:hAnsi="Times New Roman" w:cs="Times New Roman"/>
          <w:b/>
          <w:bCs/>
          <w:szCs w:val="21"/>
        </w:rPr>
        <w:t>4.1.1 调查时间的选择</w:t>
      </w:r>
    </w:p>
    <w:p>
      <w:pPr>
        <w:ind w:firstLine="420" w:firstLineChars="200"/>
        <w:rPr>
          <w:rFonts w:hint="default" w:ascii="Calibri" w:hAnsi="宋体" w:eastAsia="宋体" w:cs="Times New Roman"/>
          <w:color w:val="000000" w:themeColor="text1"/>
          <w:szCs w:val="21"/>
          <w14:textFill>
            <w14:solidFill>
              <w14:schemeClr w14:val="tx1"/>
            </w14:solidFill>
          </w14:textFill>
        </w:rPr>
      </w:pPr>
      <w:r>
        <w:rPr>
          <w:rFonts w:hint="default" w:ascii="Calibri" w:hAnsi="宋体" w:eastAsia="宋体" w:cs="Times New Roman"/>
          <w:color w:val="000000" w:themeColor="text1"/>
          <w:szCs w:val="21"/>
          <w14:textFill>
            <w14:solidFill>
              <w14:schemeClr w14:val="tx1"/>
            </w14:solidFill>
          </w14:textFill>
        </w:rPr>
        <w:t>分别选取工作日早高峰时段1h（8:00-9:00），晚高峰时段1h（17:30-18:30）。在每个选中的小时里选取每15min的前5min进行记录。</w:t>
      </w:r>
    </w:p>
    <w:p>
      <w:pPr>
        <w:spacing w:line="360" w:lineRule="auto"/>
        <w:rPr>
          <w:rFonts w:hint="default" w:ascii="Times New Roman" w:hAnsi="Times New Roman" w:cs="Times New Roman"/>
          <w:b/>
          <w:bCs/>
          <w:szCs w:val="21"/>
        </w:rPr>
      </w:pPr>
      <w:r>
        <w:rPr>
          <w:rFonts w:hint="default" w:ascii="Times New Roman" w:hAnsi="Times New Roman" w:cs="Times New Roman"/>
          <w:b/>
          <w:bCs/>
          <w:szCs w:val="21"/>
        </w:rPr>
        <w:t>4.1.2 人员分配及记录方法</w:t>
      </w:r>
    </w:p>
    <w:p>
      <w:pPr>
        <w:spacing w:line="240" w:lineRule="auto"/>
        <w:ind w:firstLine="420" w:firstLineChars="200"/>
        <w:rPr>
          <w:rFonts w:hint="default" w:ascii="Calibri" w:hAnsi="宋体" w:eastAsia="宋体" w:cs="Times New Roman"/>
          <w:color w:val="000000" w:themeColor="text1"/>
          <w:szCs w:val="21"/>
          <w14:textFill>
            <w14:solidFill>
              <w14:schemeClr w14:val="tx1"/>
            </w14:solidFill>
          </w14:textFill>
        </w:rPr>
      </w:pPr>
      <w:r>
        <w:rPr>
          <w:rFonts w:hint="default" w:ascii="Calibri" w:hAnsi="宋体" w:eastAsia="宋体" w:cs="Times New Roman"/>
          <w:color w:val="000000" w:themeColor="text1"/>
          <w:szCs w:val="21"/>
          <w14:textFill>
            <w14:solidFill>
              <w14:schemeClr w14:val="tx1"/>
            </w14:solidFill>
          </w14:textFill>
        </w:rPr>
        <w:t>小组成员共A、B、C、D四人。调查时，四人分别站立在四个安全岛上，通过通讯设备实现在同一个信号周期开始记录。</w:t>
      </w:r>
    </w:p>
    <w:p>
      <w:pPr>
        <w:spacing w:line="240" w:lineRule="auto"/>
        <w:ind w:firstLine="420" w:firstLineChars="200"/>
        <w:rPr>
          <w:rFonts w:hint="default" w:ascii="Calibri" w:hAnsi="宋体" w:eastAsia="宋体" w:cs="Times New Roman"/>
          <w:color w:val="000000" w:themeColor="text1"/>
          <w:szCs w:val="21"/>
          <w14:textFill>
            <w14:solidFill>
              <w14:schemeClr w14:val="tx1"/>
            </w14:solidFill>
          </w14:textFill>
        </w:rPr>
      </w:pPr>
      <w:r>
        <w:rPr>
          <w:rFonts w:hint="default" w:ascii="Calibri" w:hAnsi="宋体" w:eastAsia="宋体" w:cs="Times New Roman"/>
          <w:color w:val="000000" w:themeColor="text1"/>
          <w:szCs w:val="21"/>
          <w14:textFill>
            <w14:solidFill>
              <w14:schemeClr w14:val="tx1"/>
            </w14:solidFill>
          </w14:textFill>
        </w:rPr>
        <w:t>记录时，成员A在第一个信号灯相位时，只记录离开该安全岛向对向行走的行人数目（详细数据包括不同类型行人的数目及违反交通规则的行人数目），其他成员同理，即可分别获得同一周期时不同方向的人流量。由于调查人数有限，对行人种类的分类仅限于男性和女性。</w:t>
      </w:r>
    </w:p>
    <w:p>
      <w:pPr>
        <w:spacing w:line="240" w:lineRule="auto"/>
        <w:ind w:firstLine="420" w:firstLineChars="200"/>
        <w:rPr>
          <w:rFonts w:hint="eastAsia" w:cs="Times New Roman" w:asciiTheme="majorEastAsia" w:hAnsiTheme="majorEastAsia" w:eastAsiaTheme="majorEastAsia"/>
          <w:b w:val="0"/>
          <w:bCs/>
          <w:sz w:val="28"/>
          <w:szCs w:val="28"/>
        </w:rPr>
      </w:pPr>
      <w:r>
        <w:rPr>
          <w:rFonts w:hint="default" w:ascii="Calibri" w:hAnsi="宋体" w:eastAsia="宋体" w:cs="Times New Roman"/>
          <w:color w:val="000000" w:themeColor="text1"/>
          <w:szCs w:val="21"/>
          <w14:textFill>
            <w14:solidFill>
              <w14:schemeClr w14:val="tx1"/>
            </w14:solidFill>
          </w14:textFill>
        </w:rPr>
        <w:drawing>
          <wp:inline distT="0" distB="0" distL="114300" distR="114300">
            <wp:extent cx="2164715" cy="1657985"/>
            <wp:effectExtent l="0" t="0" r="19685" b="18415"/>
            <wp:docPr id="15" name="图片 15" descr="屏幕快照 2018-11-20 上午12.5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屏幕快照 2018-11-20 上午12.56.32"/>
                    <pic:cNvPicPr>
                      <a:picLocks noChangeAspect="1"/>
                    </pic:cNvPicPr>
                  </pic:nvPicPr>
                  <pic:blipFill>
                    <a:blip r:embed="rId7"/>
                    <a:srcRect t="5843"/>
                    <a:stretch>
                      <a:fillRect/>
                    </a:stretch>
                  </pic:blipFill>
                  <pic:spPr>
                    <a:xfrm>
                      <a:off x="0" y="0"/>
                      <a:ext cx="2164715" cy="1657985"/>
                    </a:xfrm>
                    <a:prstGeom prst="rect">
                      <a:avLst/>
                    </a:prstGeom>
                  </pic:spPr>
                </pic:pic>
              </a:graphicData>
            </a:graphic>
          </wp:inline>
        </w:drawing>
      </w:r>
      <w:r>
        <w:rPr>
          <w:rFonts w:hint="default" w:ascii="Calibri" w:hAnsi="宋体" w:eastAsia="宋体" w:cs="Times New Roman"/>
          <w:color w:val="000000" w:themeColor="text1"/>
          <w:szCs w:val="21"/>
          <w14:textFill>
            <w14:solidFill>
              <w14:schemeClr w14:val="tx1"/>
            </w14:solidFill>
          </w14:textFill>
        </w:rPr>
        <w:t xml:space="preserve">       </w:t>
      </w:r>
      <w:r>
        <w:rPr>
          <w:rFonts w:hint="eastAsia" w:cs="Times New Roman" w:asciiTheme="majorEastAsia" w:hAnsiTheme="majorEastAsia" w:eastAsiaTheme="majorEastAsia"/>
          <w:b w:val="0"/>
          <w:bCs/>
          <w:sz w:val="28"/>
          <w:szCs w:val="28"/>
        </w:rPr>
        <w:drawing>
          <wp:inline distT="0" distB="0" distL="114300" distR="114300">
            <wp:extent cx="2226945" cy="1844675"/>
            <wp:effectExtent l="0" t="0" r="8255" b="9525"/>
            <wp:docPr id="14" name="图片 14" descr="屏幕快照 2018-11-20 上午12.5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屏幕快照 2018-11-20 上午12.58.22"/>
                    <pic:cNvPicPr>
                      <a:picLocks noChangeAspect="1"/>
                    </pic:cNvPicPr>
                  </pic:nvPicPr>
                  <pic:blipFill>
                    <a:blip r:embed="rId8"/>
                    <a:stretch>
                      <a:fillRect/>
                    </a:stretch>
                  </pic:blipFill>
                  <pic:spPr>
                    <a:xfrm>
                      <a:off x="0" y="0"/>
                      <a:ext cx="2226945" cy="1844675"/>
                    </a:xfrm>
                    <a:prstGeom prst="rect">
                      <a:avLst/>
                    </a:prstGeom>
                  </pic:spPr>
                </pic:pic>
              </a:graphicData>
            </a:graphic>
          </wp:inline>
        </w:drawing>
      </w:r>
    </w:p>
    <w:p>
      <w:pPr>
        <w:pStyle w:val="6"/>
        <w:numPr>
          <w:ilvl w:val="0"/>
          <w:numId w:val="0"/>
        </w:numPr>
        <w:ind w:leftChars="0"/>
        <w:jc w:val="center"/>
        <w:rPr>
          <w:rFonts w:hint="default" w:cs="Times New Roman" w:asciiTheme="majorEastAsia" w:hAnsiTheme="majorEastAsia" w:eastAsiaTheme="majorEastAsia"/>
          <w:b w:val="0"/>
          <w:bCs/>
          <w:sz w:val="28"/>
          <w:szCs w:val="28"/>
        </w:rPr>
      </w:pPr>
      <w:r>
        <w:rPr>
          <w:rFonts w:hint="eastAsia" w:ascii="Adobe 黑体 Std" w:hAnsi="Adobe 黑体 Std" w:eastAsia="Adobe 黑体 Std" w:cs="Adobe 黑体 Std"/>
          <w:b/>
          <w:sz w:val="21"/>
          <w:szCs w:val="21"/>
        </w:rPr>
        <w:t>图</w:t>
      </w:r>
      <w:r>
        <w:rPr>
          <w:rFonts w:hint="default" w:ascii="Adobe 黑体 Std" w:hAnsi="Adobe 黑体 Std" w:eastAsia="Adobe 黑体 Std" w:cs="Adobe 黑体 Std"/>
          <w:b/>
          <w:sz w:val="21"/>
          <w:szCs w:val="21"/>
        </w:rPr>
        <w:t>4</w:t>
      </w:r>
      <w:r>
        <w:rPr>
          <w:rFonts w:hint="eastAsia" w:ascii="Adobe 黑体 Std" w:hAnsi="Adobe 黑体 Std" w:eastAsia="Adobe 黑体 Std" w:cs="Adobe 黑体 Std"/>
          <w:b/>
          <w:sz w:val="21"/>
          <w:szCs w:val="21"/>
        </w:rPr>
        <w:t xml:space="preserve"> </w:t>
      </w:r>
      <w:r>
        <w:rPr>
          <w:rFonts w:hint="default" w:ascii="Adobe 黑体 Std" w:hAnsi="Adobe 黑体 Std" w:eastAsia="Adobe 黑体 Std" w:cs="Adobe 黑体 Std"/>
          <w:b/>
          <w:sz w:val="21"/>
          <w:szCs w:val="21"/>
        </w:rPr>
        <w:t>同一周期同一相位时的记录情况</w:t>
      </w:r>
    </w:p>
    <w:p>
      <w:pPr>
        <w:spacing w:line="360" w:lineRule="auto"/>
        <w:rPr>
          <w:rFonts w:hint="default" w:ascii="Times New Roman" w:hAnsi="Times New Roman" w:cs="Times New Roman"/>
          <w:b/>
          <w:bCs/>
          <w:szCs w:val="21"/>
        </w:rPr>
      </w:pPr>
      <w:r>
        <w:rPr>
          <w:rFonts w:hint="default" w:ascii="Times New Roman" w:hAnsi="Times New Roman" w:cs="Times New Roman"/>
          <w:b/>
          <w:bCs/>
          <w:szCs w:val="21"/>
        </w:rPr>
        <w:t>4.1.3 记录表格</w:t>
      </w:r>
    </w:p>
    <w:p>
      <w:pPr>
        <w:spacing w:line="360" w:lineRule="auto"/>
        <w:jc w:val="center"/>
        <w:rPr>
          <w:rFonts w:hint="default" w:ascii="Times New Roman" w:hAnsi="Times New Roman" w:cs="Times New Roman"/>
          <w:b/>
          <w:bCs/>
          <w:szCs w:val="21"/>
        </w:rPr>
      </w:pPr>
      <w:r>
        <w:rPr>
          <w:rFonts w:hint="default" w:ascii="Times New Roman" w:hAnsi="Times New Roman" w:cs="Times New Roman"/>
          <w:b/>
          <w:bCs/>
          <w:szCs w:val="21"/>
        </w:rPr>
        <w:t>行人过街调查表</w:t>
      </w:r>
    </w:p>
    <w:tbl>
      <w:tblPr>
        <w:tblStyle w:val="5"/>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1200"/>
        <w:gridCol w:w="874"/>
        <w:gridCol w:w="1378"/>
        <w:gridCol w:w="1422"/>
        <w:gridCol w:w="1511"/>
        <w:gridCol w:w="1378"/>
        <w:gridCol w:w="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3" w:type="dxa"/>
            <w:gridSpan w:val="8"/>
          </w:tcPr>
          <w:p>
            <w:pPr>
              <w:spacing w:line="360" w:lineRule="auto"/>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日期___年___月___日      星期___    时间_______   天气_____    调查人_______</w:t>
            </w:r>
          </w:p>
          <w:p>
            <w:pPr>
              <w:spacing w:line="360" w:lineRule="auto"/>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调查地点___________     人行横道长度___m    宽度___m    安全岛编号____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 w:type="dxa"/>
          <w:trHeight w:val="463" w:hRule="atLeast"/>
        </w:trPr>
        <w:tc>
          <w:tcPr>
            <w:tcW w:w="758" w:type="dxa"/>
            <w:vMerge w:val="restart"/>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调查时段</w:t>
            </w:r>
          </w:p>
        </w:tc>
        <w:tc>
          <w:tcPr>
            <w:tcW w:w="1200" w:type="dxa"/>
            <w:vMerge w:val="restart"/>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周期编号</w:t>
            </w:r>
          </w:p>
        </w:tc>
        <w:tc>
          <w:tcPr>
            <w:tcW w:w="874" w:type="dxa"/>
            <w:vMerge w:val="restart"/>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人行横道编号</w:t>
            </w:r>
          </w:p>
        </w:tc>
        <w:tc>
          <w:tcPr>
            <w:tcW w:w="2800" w:type="dxa"/>
            <w:gridSpan w:val="2"/>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行人种类（总数）</w:t>
            </w:r>
          </w:p>
        </w:tc>
        <w:tc>
          <w:tcPr>
            <w:tcW w:w="2889" w:type="dxa"/>
            <w:gridSpan w:val="2"/>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违规行人数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 w:type="dxa"/>
          <w:trHeight w:val="463" w:hRule="atLeast"/>
        </w:trPr>
        <w:tc>
          <w:tcPr>
            <w:tcW w:w="758" w:type="dxa"/>
            <w:vMerge w:val="continue"/>
          </w:tcPr>
          <w:p>
            <w:pPr>
              <w:spacing w:line="360" w:lineRule="auto"/>
              <w:jc w:val="center"/>
            </w:pPr>
          </w:p>
        </w:tc>
        <w:tc>
          <w:tcPr>
            <w:tcW w:w="1200" w:type="dxa"/>
            <w:vMerge w:val="continue"/>
          </w:tcPr>
          <w:p>
            <w:pPr>
              <w:spacing w:line="360" w:lineRule="auto"/>
              <w:jc w:val="center"/>
            </w:pPr>
          </w:p>
        </w:tc>
        <w:tc>
          <w:tcPr>
            <w:tcW w:w="874" w:type="dxa"/>
            <w:vMerge w:val="continue"/>
          </w:tcPr>
          <w:p>
            <w:pPr>
              <w:spacing w:line="360" w:lineRule="auto"/>
              <w:jc w:val="center"/>
            </w:pPr>
          </w:p>
        </w:tc>
        <w:tc>
          <w:tcPr>
            <w:tcW w:w="1378" w:type="dxa"/>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男</w:t>
            </w:r>
          </w:p>
        </w:tc>
        <w:tc>
          <w:tcPr>
            <w:tcW w:w="1422" w:type="dxa"/>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女</w:t>
            </w:r>
          </w:p>
        </w:tc>
        <w:tc>
          <w:tcPr>
            <w:tcW w:w="1511" w:type="dxa"/>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男</w:t>
            </w:r>
          </w:p>
        </w:tc>
        <w:tc>
          <w:tcPr>
            <w:tcW w:w="1378" w:type="dxa"/>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 w:type="dxa"/>
        </w:trPr>
        <w:tc>
          <w:tcPr>
            <w:tcW w:w="758" w:type="dxa"/>
            <w:vMerge w:val="restart"/>
          </w:tcPr>
          <w:p>
            <w:pPr>
              <w:spacing w:line="360" w:lineRule="auto"/>
              <w:rPr>
                <w:rFonts w:hint="default" w:ascii="Times New Roman" w:hAnsi="Times New Roman" w:cs="Times New Roman"/>
                <w:b/>
                <w:bCs/>
                <w:szCs w:val="21"/>
                <w:vertAlign w:val="baseline"/>
              </w:rPr>
            </w:pPr>
          </w:p>
        </w:tc>
        <w:tc>
          <w:tcPr>
            <w:tcW w:w="1200" w:type="dxa"/>
            <w:vMerge w:val="restart"/>
          </w:tcPr>
          <w:p>
            <w:pPr>
              <w:spacing w:line="360" w:lineRule="auto"/>
              <w:rPr>
                <w:rFonts w:hint="default" w:ascii="Times New Roman" w:hAnsi="Times New Roman" w:cs="Times New Roman"/>
                <w:b/>
                <w:bCs/>
                <w:szCs w:val="21"/>
                <w:vertAlign w:val="baseline"/>
              </w:rPr>
            </w:pPr>
          </w:p>
        </w:tc>
        <w:tc>
          <w:tcPr>
            <w:tcW w:w="874" w:type="dxa"/>
          </w:tcPr>
          <w:p>
            <w:pPr>
              <w:spacing w:line="360" w:lineRule="auto"/>
              <w:rPr>
                <w:rFonts w:hint="default" w:ascii="Times New Roman" w:hAnsi="Times New Roman" w:cs="Times New Roman"/>
                <w:b/>
                <w:bCs/>
                <w:szCs w:val="21"/>
                <w:vertAlign w:val="baseline"/>
              </w:rPr>
            </w:pPr>
          </w:p>
        </w:tc>
        <w:tc>
          <w:tcPr>
            <w:tcW w:w="1378" w:type="dxa"/>
          </w:tcPr>
          <w:p>
            <w:pPr>
              <w:spacing w:line="360" w:lineRule="auto"/>
              <w:rPr>
                <w:rFonts w:hint="default" w:ascii="Times New Roman" w:hAnsi="Times New Roman" w:cs="Times New Roman"/>
                <w:b/>
                <w:bCs/>
                <w:szCs w:val="21"/>
                <w:vertAlign w:val="baseline"/>
              </w:rPr>
            </w:pPr>
          </w:p>
        </w:tc>
        <w:tc>
          <w:tcPr>
            <w:tcW w:w="1422" w:type="dxa"/>
          </w:tcPr>
          <w:p>
            <w:pPr>
              <w:spacing w:line="360" w:lineRule="auto"/>
              <w:rPr>
                <w:rFonts w:hint="default" w:ascii="Times New Roman" w:hAnsi="Times New Roman" w:cs="Times New Roman"/>
                <w:b/>
                <w:bCs/>
                <w:szCs w:val="21"/>
                <w:vertAlign w:val="baseline"/>
              </w:rPr>
            </w:pPr>
          </w:p>
        </w:tc>
        <w:tc>
          <w:tcPr>
            <w:tcW w:w="1511" w:type="dxa"/>
          </w:tcPr>
          <w:p>
            <w:pPr>
              <w:spacing w:line="360" w:lineRule="auto"/>
              <w:rPr>
                <w:rFonts w:hint="default" w:ascii="Times New Roman" w:hAnsi="Times New Roman" w:cs="Times New Roman"/>
                <w:b/>
                <w:bCs/>
                <w:szCs w:val="21"/>
                <w:vertAlign w:val="baseline"/>
              </w:rPr>
            </w:pPr>
          </w:p>
        </w:tc>
        <w:tc>
          <w:tcPr>
            <w:tcW w:w="1378" w:type="dxa"/>
          </w:tcPr>
          <w:p>
            <w:pPr>
              <w:spacing w:line="360" w:lineRule="auto"/>
              <w:rPr>
                <w:rFonts w:hint="default" w:ascii="Times New Roman" w:hAnsi="Times New Roman" w:cs="Times New Roman"/>
                <w:b/>
                <w:bCs/>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 w:type="dxa"/>
        </w:trPr>
        <w:tc>
          <w:tcPr>
            <w:tcW w:w="758" w:type="dxa"/>
            <w:vMerge w:val="continue"/>
          </w:tcPr>
          <w:p>
            <w:pPr>
              <w:spacing w:line="360" w:lineRule="auto"/>
              <w:rPr>
                <w:rFonts w:hint="default" w:ascii="Times New Roman" w:hAnsi="Times New Roman" w:cs="Times New Roman"/>
                <w:b/>
                <w:bCs/>
                <w:szCs w:val="21"/>
                <w:vertAlign w:val="baseline"/>
              </w:rPr>
            </w:pPr>
          </w:p>
        </w:tc>
        <w:tc>
          <w:tcPr>
            <w:tcW w:w="1200" w:type="dxa"/>
            <w:vMerge w:val="continue"/>
          </w:tcPr>
          <w:p>
            <w:pPr>
              <w:spacing w:line="360" w:lineRule="auto"/>
              <w:rPr>
                <w:rFonts w:hint="default" w:ascii="Times New Roman" w:hAnsi="Times New Roman" w:cs="Times New Roman"/>
                <w:b/>
                <w:bCs/>
                <w:szCs w:val="21"/>
                <w:vertAlign w:val="baseline"/>
              </w:rPr>
            </w:pPr>
          </w:p>
        </w:tc>
        <w:tc>
          <w:tcPr>
            <w:tcW w:w="874" w:type="dxa"/>
          </w:tcPr>
          <w:p>
            <w:pPr>
              <w:spacing w:line="360" w:lineRule="auto"/>
              <w:rPr>
                <w:rFonts w:hint="default" w:ascii="Times New Roman" w:hAnsi="Times New Roman" w:cs="Times New Roman"/>
                <w:b/>
                <w:bCs/>
                <w:szCs w:val="21"/>
                <w:vertAlign w:val="baseline"/>
              </w:rPr>
            </w:pPr>
          </w:p>
        </w:tc>
        <w:tc>
          <w:tcPr>
            <w:tcW w:w="1378" w:type="dxa"/>
          </w:tcPr>
          <w:p>
            <w:pPr>
              <w:spacing w:line="360" w:lineRule="auto"/>
              <w:rPr>
                <w:rFonts w:hint="default" w:ascii="Times New Roman" w:hAnsi="Times New Roman" w:cs="Times New Roman"/>
                <w:b/>
                <w:bCs/>
                <w:szCs w:val="21"/>
                <w:vertAlign w:val="baseline"/>
              </w:rPr>
            </w:pPr>
          </w:p>
        </w:tc>
        <w:tc>
          <w:tcPr>
            <w:tcW w:w="1422" w:type="dxa"/>
          </w:tcPr>
          <w:p>
            <w:pPr>
              <w:spacing w:line="360" w:lineRule="auto"/>
              <w:rPr>
                <w:rFonts w:hint="default" w:ascii="Times New Roman" w:hAnsi="Times New Roman" w:cs="Times New Roman"/>
                <w:b/>
                <w:bCs/>
                <w:szCs w:val="21"/>
                <w:vertAlign w:val="baseline"/>
              </w:rPr>
            </w:pPr>
          </w:p>
        </w:tc>
        <w:tc>
          <w:tcPr>
            <w:tcW w:w="1511" w:type="dxa"/>
          </w:tcPr>
          <w:p>
            <w:pPr>
              <w:spacing w:line="360" w:lineRule="auto"/>
              <w:rPr>
                <w:rFonts w:hint="default" w:ascii="Times New Roman" w:hAnsi="Times New Roman" w:cs="Times New Roman"/>
                <w:b/>
                <w:bCs/>
                <w:szCs w:val="21"/>
                <w:vertAlign w:val="baseline"/>
              </w:rPr>
            </w:pPr>
          </w:p>
        </w:tc>
        <w:tc>
          <w:tcPr>
            <w:tcW w:w="1378" w:type="dxa"/>
          </w:tcPr>
          <w:p>
            <w:pPr>
              <w:spacing w:line="360" w:lineRule="auto"/>
              <w:rPr>
                <w:rFonts w:hint="default" w:ascii="Times New Roman" w:hAnsi="Times New Roman" w:cs="Times New Roman"/>
                <w:b/>
                <w:bCs/>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 w:type="dxa"/>
        </w:trPr>
        <w:tc>
          <w:tcPr>
            <w:tcW w:w="758" w:type="dxa"/>
            <w:vMerge w:val="continue"/>
          </w:tcPr>
          <w:p>
            <w:pPr>
              <w:spacing w:line="360" w:lineRule="auto"/>
              <w:rPr>
                <w:rFonts w:hint="default" w:ascii="Times New Roman" w:hAnsi="Times New Roman" w:cs="Times New Roman"/>
                <w:b/>
                <w:bCs/>
                <w:szCs w:val="21"/>
                <w:vertAlign w:val="baseline"/>
              </w:rPr>
            </w:pPr>
          </w:p>
        </w:tc>
        <w:tc>
          <w:tcPr>
            <w:tcW w:w="1200" w:type="dxa"/>
            <w:vMerge w:val="restart"/>
          </w:tcPr>
          <w:p>
            <w:pPr>
              <w:spacing w:line="360" w:lineRule="auto"/>
              <w:rPr>
                <w:rFonts w:hint="default" w:ascii="Times New Roman" w:hAnsi="Times New Roman" w:cs="Times New Roman"/>
                <w:b/>
                <w:bCs/>
                <w:szCs w:val="21"/>
                <w:vertAlign w:val="baseline"/>
              </w:rPr>
            </w:pPr>
          </w:p>
        </w:tc>
        <w:tc>
          <w:tcPr>
            <w:tcW w:w="874" w:type="dxa"/>
          </w:tcPr>
          <w:p>
            <w:pPr>
              <w:spacing w:line="360" w:lineRule="auto"/>
              <w:rPr>
                <w:rFonts w:hint="default" w:ascii="Times New Roman" w:hAnsi="Times New Roman" w:cs="Times New Roman"/>
                <w:b/>
                <w:bCs/>
                <w:szCs w:val="21"/>
                <w:vertAlign w:val="baseline"/>
              </w:rPr>
            </w:pPr>
          </w:p>
        </w:tc>
        <w:tc>
          <w:tcPr>
            <w:tcW w:w="1378" w:type="dxa"/>
          </w:tcPr>
          <w:p>
            <w:pPr>
              <w:spacing w:line="360" w:lineRule="auto"/>
              <w:rPr>
                <w:rFonts w:hint="default" w:ascii="Times New Roman" w:hAnsi="Times New Roman" w:cs="Times New Roman"/>
                <w:b/>
                <w:bCs/>
                <w:szCs w:val="21"/>
                <w:vertAlign w:val="baseline"/>
              </w:rPr>
            </w:pPr>
          </w:p>
        </w:tc>
        <w:tc>
          <w:tcPr>
            <w:tcW w:w="1422" w:type="dxa"/>
          </w:tcPr>
          <w:p>
            <w:pPr>
              <w:spacing w:line="360" w:lineRule="auto"/>
              <w:rPr>
                <w:rFonts w:hint="default" w:ascii="Times New Roman" w:hAnsi="Times New Roman" w:cs="Times New Roman"/>
                <w:b/>
                <w:bCs/>
                <w:szCs w:val="21"/>
                <w:vertAlign w:val="baseline"/>
              </w:rPr>
            </w:pPr>
          </w:p>
        </w:tc>
        <w:tc>
          <w:tcPr>
            <w:tcW w:w="1511" w:type="dxa"/>
          </w:tcPr>
          <w:p>
            <w:pPr>
              <w:spacing w:line="360" w:lineRule="auto"/>
              <w:rPr>
                <w:rFonts w:hint="default" w:ascii="Times New Roman" w:hAnsi="Times New Roman" w:cs="Times New Roman"/>
                <w:b/>
                <w:bCs/>
                <w:szCs w:val="21"/>
                <w:vertAlign w:val="baseline"/>
              </w:rPr>
            </w:pPr>
          </w:p>
        </w:tc>
        <w:tc>
          <w:tcPr>
            <w:tcW w:w="1378" w:type="dxa"/>
          </w:tcPr>
          <w:p>
            <w:pPr>
              <w:spacing w:line="360" w:lineRule="auto"/>
              <w:rPr>
                <w:rFonts w:hint="default" w:ascii="Times New Roman" w:hAnsi="Times New Roman" w:cs="Times New Roman"/>
                <w:b/>
                <w:bCs/>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 w:type="dxa"/>
        </w:trPr>
        <w:tc>
          <w:tcPr>
            <w:tcW w:w="758" w:type="dxa"/>
            <w:vMerge w:val="continue"/>
          </w:tcPr>
          <w:p>
            <w:pPr>
              <w:spacing w:line="360" w:lineRule="auto"/>
              <w:rPr>
                <w:rFonts w:hint="default" w:ascii="Times New Roman" w:hAnsi="Times New Roman" w:cs="Times New Roman"/>
                <w:b/>
                <w:bCs/>
                <w:szCs w:val="21"/>
                <w:vertAlign w:val="baseline"/>
              </w:rPr>
            </w:pPr>
          </w:p>
        </w:tc>
        <w:tc>
          <w:tcPr>
            <w:tcW w:w="1200" w:type="dxa"/>
            <w:vMerge w:val="continue"/>
          </w:tcPr>
          <w:p>
            <w:pPr>
              <w:spacing w:line="360" w:lineRule="auto"/>
              <w:rPr>
                <w:rFonts w:hint="default" w:ascii="Times New Roman" w:hAnsi="Times New Roman" w:cs="Times New Roman"/>
                <w:b/>
                <w:bCs/>
                <w:szCs w:val="21"/>
                <w:vertAlign w:val="baseline"/>
              </w:rPr>
            </w:pPr>
          </w:p>
        </w:tc>
        <w:tc>
          <w:tcPr>
            <w:tcW w:w="874" w:type="dxa"/>
          </w:tcPr>
          <w:p>
            <w:pPr>
              <w:spacing w:line="360" w:lineRule="auto"/>
              <w:rPr>
                <w:rFonts w:hint="default" w:ascii="Times New Roman" w:hAnsi="Times New Roman" w:cs="Times New Roman"/>
                <w:b/>
                <w:bCs/>
                <w:szCs w:val="21"/>
                <w:vertAlign w:val="baseline"/>
              </w:rPr>
            </w:pPr>
          </w:p>
        </w:tc>
        <w:tc>
          <w:tcPr>
            <w:tcW w:w="1378" w:type="dxa"/>
          </w:tcPr>
          <w:p>
            <w:pPr>
              <w:spacing w:line="360" w:lineRule="auto"/>
              <w:rPr>
                <w:rFonts w:hint="default" w:ascii="Times New Roman" w:hAnsi="Times New Roman" w:cs="Times New Roman"/>
                <w:b/>
                <w:bCs/>
                <w:szCs w:val="21"/>
                <w:vertAlign w:val="baseline"/>
              </w:rPr>
            </w:pPr>
          </w:p>
        </w:tc>
        <w:tc>
          <w:tcPr>
            <w:tcW w:w="1422" w:type="dxa"/>
          </w:tcPr>
          <w:p>
            <w:pPr>
              <w:spacing w:line="360" w:lineRule="auto"/>
              <w:rPr>
                <w:rFonts w:hint="default" w:ascii="Times New Roman" w:hAnsi="Times New Roman" w:cs="Times New Roman"/>
                <w:b/>
                <w:bCs/>
                <w:szCs w:val="21"/>
                <w:vertAlign w:val="baseline"/>
              </w:rPr>
            </w:pPr>
          </w:p>
        </w:tc>
        <w:tc>
          <w:tcPr>
            <w:tcW w:w="1511" w:type="dxa"/>
          </w:tcPr>
          <w:p>
            <w:pPr>
              <w:spacing w:line="360" w:lineRule="auto"/>
              <w:rPr>
                <w:rFonts w:hint="default" w:ascii="Times New Roman" w:hAnsi="Times New Roman" w:cs="Times New Roman"/>
                <w:b/>
                <w:bCs/>
                <w:szCs w:val="21"/>
                <w:vertAlign w:val="baseline"/>
              </w:rPr>
            </w:pPr>
          </w:p>
        </w:tc>
        <w:tc>
          <w:tcPr>
            <w:tcW w:w="1378" w:type="dxa"/>
          </w:tcPr>
          <w:p>
            <w:pPr>
              <w:spacing w:line="360" w:lineRule="auto"/>
              <w:rPr>
                <w:rFonts w:hint="default" w:ascii="Times New Roman" w:hAnsi="Times New Roman" w:cs="Times New Roman"/>
                <w:b/>
                <w:bCs/>
                <w:szCs w:val="21"/>
                <w:vertAlign w:val="baseline"/>
              </w:rPr>
            </w:pPr>
          </w:p>
        </w:tc>
      </w:tr>
    </w:tbl>
    <w:p>
      <w:pPr>
        <w:spacing w:line="360" w:lineRule="auto"/>
        <w:rPr>
          <w:rFonts w:hint="default" w:ascii="Times New Roman" w:hAnsi="Times New Roman" w:cs="Times New Roman"/>
          <w:b/>
          <w:bCs/>
          <w:szCs w:val="21"/>
        </w:rPr>
      </w:pPr>
    </w:p>
    <w:p>
      <w:pPr>
        <w:pStyle w:val="6"/>
        <w:numPr>
          <w:ilvl w:val="0"/>
          <w:numId w:val="0"/>
        </w:numPr>
        <w:spacing w:line="360" w:lineRule="auto"/>
        <w:ind w:leftChars="0"/>
        <w:jc w:val="left"/>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4.2 右转车辆的激进程度</w:t>
      </w:r>
    </w:p>
    <w:p>
      <w:pPr>
        <w:spacing w:line="360" w:lineRule="auto"/>
        <w:rPr>
          <w:rFonts w:hint="default" w:ascii="Times New Roman" w:hAnsi="Times New Roman" w:cs="Times New Roman"/>
          <w:b/>
          <w:bCs/>
          <w:szCs w:val="21"/>
        </w:rPr>
      </w:pPr>
      <w:r>
        <w:rPr>
          <w:rFonts w:hint="default" w:ascii="Times New Roman" w:hAnsi="Times New Roman" w:cs="Times New Roman"/>
          <w:b/>
          <w:bCs/>
          <w:szCs w:val="21"/>
        </w:rPr>
        <w:t>4.2.1 调查时间</w:t>
      </w:r>
    </w:p>
    <w:p>
      <w:pPr>
        <w:spacing w:line="360" w:lineRule="auto"/>
        <w:ind w:firstLine="420" w:firstLineChars="200"/>
        <w:rPr>
          <w:rFonts w:hint="default" w:ascii="Times New Roman" w:hAnsi="Times New Roman" w:cs="Times New Roman"/>
          <w:b/>
          <w:bCs/>
          <w:szCs w:val="21"/>
        </w:rPr>
      </w:pPr>
      <w:r>
        <w:rPr>
          <w:rFonts w:hint="default" w:ascii="Calibri" w:hAnsi="宋体" w:eastAsia="宋体" w:cs="Times New Roman"/>
          <w:color w:val="000000" w:themeColor="text1"/>
          <w:szCs w:val="21"/>
          <w14:textFill>
            <w14:solidFill>
              <w14:schemeClr w14:val="tx1"/>
            </w14:solidFill>
          </w14:textFill>
        </w:rPr>
        <w:t>分别选取高峰时段1h（8:00-9:00）、平峰时段1h（9:00-10:00），每个时段取每15min的后5min共4个时段进行调查。</w:t>
      </w:r>
    </w:p>
    <w:p>
      <w:pPr>
        <w:spacing w:line="360" w:lineRule="auto"/>
        <w:rPr>
          <w:rFonts w:hint="default" w:ascii="Times New Roman" w:hAnsi="Times New Roman" w:cs="Times New Roman"/>
          <w:b/>
          <w:bCs/>
          <w:szCs w:val="21"/>
        </w:rPr>
      </w:pPr>
      <w:r>
        <w:rPr>
          <w:rFonts w:hint="default" w:ascii="Times New Roman" w:hAnsi="Times New Roman" w:cs="Times New Roman"/>
          <w:b/>
          <w:bCs/>
          <w:szCs w:val="21"/>
        </w:rPr>
        <w:t>4.2.2 衡量车辆激进的指标及测量</w:t>
      </w:r>
    </w:p>
    <w:p>
      <w:pPr>
        <w:spacing w:line="360" w:lineRule="auto"/>
        <w:ind w:firstLine="420"/>
        <w:rPr>
          <w:rFonts w:hint="default" w:ascii="Times New Roman" w:hAnsi="Times New Roman" w:cs="Times New Roman"/>
          <w:b/>
          <w:bCs/>
          <w:szCs w:val="21"/>
        </w:rPr>
      </w:pPr>
      <w:r>
        <w:rPr>
          <w:rFonts w:hint="default" w:ascii="Times New Roman" w:hAnsi="Times New Roman" w:cs="Times New Roman"/>
          <w:b/>
          <w:bCs/>
          <w:szCs w:val="21"/>
        </w:rPr>
        <w:t>衡量车辆激进程度的指标为经过右转车道时对行人的避让情况，分为以下4个等级：（1）不管有没有行人，经过路口时均减速；（2）在发现有行人后（不论行人多少）立刻减速；（3）在发现行人较少（1-3个）时不减速，企图令行人让自己通行；（4）不减速。</w:t>
      </w:r>
    </w:p>
    <w:p>
      <w:pPr>
        <w:spacing w:line="360" w:lineRule="auto"/>
        <w:ind w:firstLine="420"/>
        <w:rPr>
          <w:rFonts w:hint="default" w:ascii="Times New Roman" w:hAnsi="Times New Roman" w:cs="Times New Roman"/>
          <w:b/>
          <w:bCs/>
          <w:szCs w:val="21"/>
        </w:rPr>
      </w:pPr>
      <w:r>
        <w:rPr>
          <w:rFonts w:hint="default" w:ascii="Times New Roman" w:hAnsi="Times New Roman" w:cs="Times New Roman"/>
          <w:b/>
          <w:bCs/>
          <w:szCs w:val="21"/>
        </w:rPr>
        <w:t>测量时，衡量右转车辆的激进程度属于上述哪一类，并记录到表格中。</w:t>
      </w:r>
    </w:p>
    <w:p>
      <w:pPr>
        <w:spacing w:line="360" w:lineRule="auto"/>
        <w:rPr>
          <w:rFonts w:hint="default" w:ascii="Times New Roman" w:hAnsi="Times New Roman" w:cs="Times New Roman"/>
          <w:b/>
          <w:bCs/>
          <w:szCs w:val="21"/>
        </w:rPr>
      </w:pPr>
      <w:r>
        <w:rPr>
          <w:rFonts w:hint="default" w:ascii="Times New Roman" w:hAnsi="Times New Roman" w:cs="Times New Roman"/>
          <w:b/>
          <w:bCs/>
          <w:szCs w:val="21"/>
        </w:rPr>
        <w:t>4.2.3 人员分配</w:t>
      </w:r>
    </w:p>
    <w:p>
      <w:pPr>
        <w:spacing w:line="360" w:lineRule="auto"/>
        <w:rPr>
          <w:rFonts w:hint="default" w:ascii="Times New Roman" w:hAnsi="Times New Roman" w:cs="Times New Roman"/>
          <w:b/>
          <w:bCs/>
          <w:szCs w:val="21"/>
        </w:rPr>
      </w:pPr>
      <w:r>
        <w:rPr>
          <w:rFonts w:hint="default" w:ascii="Times New Roman" w:hAnsi="Times New Roman" w:cs="Times New Roman"/>
          <w:b/>
          <w:bCs/>
          <w:szCs w:val="21"/>
        </w:rPr>
        <w:t xml:space="preserve">    小组四个成员分别负责四个右转车道，在同一时段进行测量。</w:t>
      </w:r>
    </w:p>
    <w:p>
      <w:pPr>
        <w:spacing w:line="360" w:lineRule="auto"/>
        <w:rPr>
          <w:rFonts w:hint="default" w:ascii="Times New Roman" w:hAnsi="Times New Roman" w:cs="Times New Roman"/>
          <w:b/>
          <w:bCs/>
          <w:szCs w:val="21"/>
        </w:rPr>
      </w:pPr>
      <w:r>
        <w:rPr>
          <w:rFonts w:hint="default" w:ascii="Times New Roman" w:hAnsi="Times New Roman" w:cs="Times New Roman"/>
          <w:b/>
          <w:bCs/>
          <w:szCs w:val="21"/>
        </w:rPr>
        <w:t>4.2.4 记录表格</w:t>
      </w:r>
    </w:p>
    <w:p>
      <w:pPr>
        <w:spacing w:line="360" w:lineRule="auto"/>
        <w:jc w:val="center"/>
        <w:rPr>
          <w:rFonts w:hint="default" w:ascii="Times New Roman" w:hAnsi="Times New Roman" w:cs="Times New Roman"/>
          <w:b/>
          <w:bCs/>
          <w:szCs w:val="21"/>
        </w:rPr>
      </w:pPr>
      <w:r>
        <w:rPr>
          <w:rFonts w:hint="default" w:ascii="Times New Roman" w:hAnsi="Times New Roman" w:cs="Times New Roman"/>
          <w:b/>
          <w:bCs/>
          <w:szCs w:val="21"/>
        </w:rPr>
        <w:t>车辆激进行为调查表</w:t>
      </w:r>
    </w:p>
    <w:tbl>
      <w:tblPr>
        <w:tblStyle w:val="5"/>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4"/>
        <w:gridCol w:w="1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3" w:type="dxa"/>
            <w:gridSpan w:val="5"/>
          </w:tcPr>
          <w:p>
            <w:pPr>
              <w:spacing w:line="360" w:lineRule="auto"/>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日期___年___月___日      星期___    时间_______   天气_____    调查人_______</w:t>
            </w:r>
          </w:p>
          <w:p>
            <w:pPr>
              <w:spacing w:line="360" w:lineRule="auto"/>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调查地点___________     车道编号____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Merge w:val="restart"/>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调查时段</w:t>
            </w:r>
          </w:p>
        </w:tc>
        <w:tc>
          <w:tcPr>
            <w:tcW w:w="6819" w:type="dxa"/>
            <w:gridSpan w:val="4"/>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车辆激进行为程度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Merge w:val="continue"/>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1</w:t>
            </w:r>
          </w:p>
        </w:tc>
        <w:tc>
          <w:tcPr>
            <w:tcW w:w="1704" w:type="dxa"/>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2</w:t>
            </w:r>
          </w:p>
        </w:tc>
        <w:tc>
          <w:tcPr>
            <w:tcW w:w="1704" w:type="dxa"/>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3</w:t>
            </w:r>
          </w:p>
        </w:tc>
        <w:tc>
          <w:tcPr>
            <w:tcW w:w="1707" w:type="dxa"/>
          </w:tcPr>
          <w:p>
            <w:pPr>
              <w:spacing w:line="360" w:lineRule="auto"/>
              <w:jc w:val="center"/>
              <w:rPr>
                <w:rFonts w:hint="default" w:ascii="Times New Roman" w:hAnsi="Times New Roman" w:cs="Times New Roman"/>
                <w:b w:val="0"/>
                <w:bCs w:val="0"/>
                <w:szCs w:val="21"/>
                <w:vertAlign w:val="baseline"/>
              </w:rPr>
            </w:pPr>
            <w:r>
              <w:rPr>
                <w:rFonts w:hint="default" w:ascii="Times New Roman" w:hAnsi="Times New Roman" w:cs="Times New Roman"/>
                <w:b w:val="0"/>
                <w:bCs w:val="0"/>
                <w:szCs w:val="21"/>
                <w:vertAlign w:val="baseli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rPr>
                <w:rFonts w:hint="default" w:ascii="Times New Roman" w:hAnsi="Times New Roman" w:cs="Times New Roman"/>
                <w:b w:val="0"/>
                <w:bCs w:val="0"/>
                <w:szCs w:val="21"/>
                <w:vertAlign w:val="baseline"/>
              </w:rPr>
            </w:pPr>
          </w:p>
        </w:tc>
        <w:tc>
          <w:tcPr>
            <w:tcW w:w="1707" w:type="dxa"/>
          </w:tcPr>
          <w:p>
            <w:pPr>
              <w:spacing w:line="360" w:lineRule="auto"/>
              <w:rPr>
                <w:rFonts w:hint="default" w:ascii="Times New Roman" w:hAnsi="Times New Roman" w:cs="Times New Roman"/>
                <w:b w:val="0"/>
                <w:bCs w:val="0"/>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rPr>
                <w:rFonts w:hint="default" w:ascii="Times New Roman" w:hAnsi="Times New Roman" w:cs="Times New Roman"/>
                <w:b w:val="0"/>
                <w:bCs w:val="0"/>
                <w:szCs w:val="21"/>
                <w:vertAlign w:val="baseline"/>
              </w:rPr>
            </w:pPr>
          </w:p>
        </w:tc>
        <w:tc>
          <w:tcPr>
            <w:tcW w:w="1707" w:type="dxa"/>
          </w:tcPr>
          <w:p>
            <w:pPr>
              <w:spacing w:line="360" w:lineRule="auto"/>
              <w:rPr>
                <w:rFonts w:hint="default" w:ascii="Times New Roman" w:hAnsi="Times New Roman" w:cs="Times New Roman"/>
                <w:b w:val="0"/>
                <w:bCs w:val="0"/>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rPr>
                <w:rFonts w:hint="default" w:ascii="Times New Roman" w:hAnsi="Times New Roman" w:cs="Times New Roman"/>
                <w:b w:val="0"/>
                <w:bCs w:val="0"/>
                <w:szCs w:val="21"/>
                <w:vertAlign w:val="baseline"/>
              </w:rPr>
            </w:pPr>
          </w:p>
        </w:tc>
        <w:tc>
          <w:tcPr>
            <w:tcW w:w="1707" w:type="dxa"/>
          </w:tcPr>
          <w:p>
            <w:pPr>
              <w:spacing w:line="360" w:lineRule="auto"/>
              <w:rPr>
                <w:rFonts w:hint="default" w:ascii="Times New Roman" w:hAnsi="Times New Roman" w:cs="Times New Roman"/>
                <w:b w:val="0"/>
                <w:bCs w:val="0"/>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rPr>
                <w:rFonts w:hint="default" w:ascii="Times New Roman" w:hAnsi="Times New Roman" w:cs="Times New Roman"/>
                <w:b w:val="0"/>
                <w:bCs w:val="0"/>
                <w:szCs w:val="21"/>
                <w:vertAlign w:val="baseline"/>
              </w:rPr>
            </w:pPr>
          </w:p>
        </w:tc>
        <w:tc>
          <w:tcPr>
            <w:tcW w:w="1704" w:type="dxa"/>
          </w:tcPr>
          <w:p>
            <w:pPr>
              <w:spacing w:line="360" w:lineRule="auto"/>
              <w:rPr>
                <w:rFonts w:hint="default" w:ascii="Times New Roman" w:hAnsi="Times New Roman" w:cs="Times New Roman"/>
                <w:b w:val="0"/>
                <w:bCs w:val="0"/>
                <w:szCs w:val="21"/>
                <w:vertAlign w:val="baseline"/>
              </w:rPr>
            </w:pPr>
          </w:p>
        </w:tc>
        <w:tc>
          <w:tcPr>
            <w:tcW w:w="1707" w:type="dxa"/>
          </w:tcPr>
          <w:p>
            <w:pPr>
              <w:spacing w:line="360" w:lineRule="auto"/>
              <w:rPr>
                <w:rFonts w:hint="default" w:ascii="Times New Roman" w:hAnsi="Times New Roman" w:cs="Times New Roman"/>
                <w:b w:val="0"/>
                <w:bCs w:val="0"/>
                <w:szCs w:val="21"/>
                <w:vertAlign w:val="baseline"/>
              </w:rPr>
            </w:pPr>
          </w:p>
        </w:tc>
      </w:tr>
    </w:tbl>
    <w:p>
      <w:pPr>
        <w:pStyle w:val="6"/>
        <w:numPr>
          <w:ilvl w:val="0"/>
          <w:numId w:val="0"/>
        </w:numPr>
        <w:spacing w:line="360" w:lineRule="auto"/>
        <w:ind w:leftChars="0"/>
        <w:jc w:val="left"/>
        <w:rPr>
          <w:rFonts w:hint="default" w:ascii="Times New Roman" w:hAnsi="Times New Roman" w:cs="Times New Roman" w:eastAsiaTheme="majorEastAsia"/>
          <w:b/>
          <w:sz w:val="24"/>
          <w:szCs w:val="24"/>
        </w:rPr>
      </w:pPr>
    </w:p>
    <w:p>
      <w:pPr>
        <w:pStyle w:val="6"/>
        <w:numPr>
          <w:ilvl w:val="0"/>
          <w:numId w:val="0"/>
        </w:numPr>
        <w:spacing w:line="360" w:lineRule="auto"/>
        <w:ind w:leftChars="0"/>
        <w:jc w:val="left"/>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4.3 调查时的注意事项</w:t>
      </w:r>
    </w:p>
    <w:p>
      <w:pPr>
        <w:pStyle w:val="6"/>
        <w:numPr>
          <w:ilvl w:val="0"/>
          <w:numId w:val="5"/>
        </w:numPr>
        <w:spacing w:line="360" w:lineRule="auto"/>
        <w:ind w:leftChars="0" w:firstLine="420" w:firstLineChars="200"/>
        <w:jc w:val="left"/>
        <w:rPr>
          <w:rFonts w:hint="default" w:ascii="Times New Roman" w:hAnsi="Times New Roman" w:cs="Times New Roman"/>
          <w:b w:val="0"/>
          <w:bCs w:val="0"/>
          <w:szCs w:val="21"/>
        </w:rPr>
      </w:pPr>
      <w:r>
        <w:rPr>
          <w:rFonts w:hint="default" w:ascii="Times New Roman" w:hAnsi="Times New Roman" w:cs="Times New Roman"/>
          <w:b w:val="0"/>
          <w:bCs w:val="0"/>
          <w:szCs w:val="21"/>
        </w:rPr>
        <w:t>小组成员之间及时、准确沟通，确保记录的是同一周期。</w:t>
      </w:r>
    </w:p>
    <w:p>
      <w:pPr>
        <w:pStyle w:val="6"/>
        <w:numPr>
          <w:ilvl w:val="0"/>
          <w:numId w:val="5"/>
        </w:numPr>
        <w:spacing w:line="360" w:lineRule="auto"/>
        <w:ind w:leftChars="0" w:firstLine="420" w:firstLineChars="200"/>
        <w:jc w:val="left"/>
        <w:rPr>
          <w:rFonts w:hint="default" w:ascii="Times New Roman" w:hAnsi="Times New Roman" w:cs="Times New Roman"/>
          <w:b w:val="0"/>
          <w:bCs w:val="0"/>
          <w:szCs w:val="21"/>
        </w:rPr>
      </w:pPr>
      <w:r>
        <w:rPr>
          <w:rFonts w:hint="default" w:ascii="Times New Roman" w:hAnsi="Times New Roman" w:cs="Times New Roman"/>
          <w:b w:val="0"/>
          <w:bCs w:val="0"/>
          <w:szCs w:val="21"/>
        </w:rPr>
        <w:t>注意记录当天天气情况及对行人、车辆行为的影响。</w:t>
      </w:r>
    </w:p>
    <w:p>
      <w:pPr>
        <w:pStyle w:val="6"/>
        <w:numPr>
          <w:ilvl w:val="0"/>
          <w:numId w:val="5"/>
        </w:numPr>
        <w:spacing w:line="360" w:lineRule="auto"/>
        <w:ind w:leftChars="0" w:firstLine="420" w:firstLineChars="200"/>
        <w:jc w:val="left"/>
        <w:rPr>
          <w:rFonts w:hint="default" w:ascii="Times New Roman" w:hAnsi="Times New Roman" w:cs="Times New Roman"/>
          <w:b w:val="0"/>
          <w:bCs w:val="0"/>
          <w:szCs w:val="21"/>
        </w:rPr>
      </w:pPr>
      <w:r>
        <w:rPr>
          <w:rFonts w:hint="default" w:ascii="Times New Roman" w:hAnsi="Times New Roman" w:cs="Times New Roman"/>
          <w:b w:val="0"/>
          <w:bCs w:val="0"/>
          <w:szCs w:val="21"/>
        </w:rPr>
        <w:t>观察时视野应开阔，注意不走人行横道、离人行横道较远的行人，也应算入相应方向的行人数目中。</w:t>
      </w:r>
    </w:p>
    <w:p>
      <w:pPr>
        <w:pStyle w:val="6"/>
        <w:numPr>
          <w:ilvl w:val="0"/>
          <w:numId w:val="5"/>
        </w:numPr>
        <w:spacing w:line="360" w:lineRule="auto"/>
        <w:ind w:leftChars="0" w:firstLine="420" w:firstLineChars="200"/>
        <w:jc w:val="left"/>
        <w:rPr>
          <w:rFonts w:hint="default" w:ascii="Times New Roman" w:hAnsi="Times New Roman" w:cs="Times New Roman"/>
          <w:b/>
          <w:bCs/>
          <w:szCs w:val="21"/>
        </w:rPr>
      </w:pPr>
      <w:r>
        <w:rPr>
          <w:rFonts w:hint="default" w:ascii="Times New Roman" w:hAnsi="Times New Roman" w:cs="Times New Roman"/>
          <w:b w:val="0"/>
          <w:bCs w:val="0"/>
          <w:szCs w:val="21"/>
        </w:rPr>
        <w:t>应穿着荧光背心、戴口罩，注意安全。</w:t>
      </w:r>
    </w:p>
    <w:p>
      <w:pPr>
        <w:pStyle w:val="6"/>
        <w:numPr>
          <w:ilvl w:val="0"/>
          <w:numId w:val="1"/>
        </w:numPr>
        <w:spacing w:line="360" w:lineRule="auto"/>
        <w:ind w:firstLineChars="0"/>
        <w:rPr>
          <w:rFonts w:hint="eastAsia" w:cs="Times New Roman" w:asciiTheme="majorEastAsia" w:hAnsiTheme="majorEastAsia" w:eastAsiaTheme="majorEastAsia"/>
          <w:b/>
          <w:sz w:val="28"/>
          <w:szCs w:val="28"/>
        </w:rPr>
      </w:pPr>
      <w:r>
        <w:rPr>
          <w:rFonts w:hint="default" w:cs="Times New Roman" w:asciiTheme="majorEastAsia" w:hAnsiTheme="majorEastAsia" w:eastAsiaTheme="majorEastAsia"/>
          <w:b/>
          <w:sz w:val="28"/>
          <w:szCs w:val="28"/>
        </w:rPr>
        <w:t>拟采用的分析手段</w:t>
      </w:r>
    </w:p>
    <w:p>
      <w:pPr>
        <w:pStyle w:val="6"/>
        <w:numPr>
          <w:ilvl w:val="0"/>
          <w:numId w:val="6"/>
        </w:numPr>
        <w:spacing w:line="360" w:lineRule="auto"/>
        <w:ind w:leftChars="0"/>
        <w:rPr>
          <w:rFonts w:hint="default" w:ascii="Times New Roman" w:hAnsi="Times New Roman" w:cs="Times New Roman"/>
          <w:b w:val="0"/>
          <w:bCs w:val="0"/>
          <w:szCs w:val="21"/>
        </w:rPr>
      </w:pPr>
      <w:r>
        <w:rPr>
          <w:rFonts w:hint="default" w:ascii="Times New Roman" w:hAnsi="Times New Roman" w:cs="Times New Roman"/>
          <w:b w:val="0"/>
          <w:bCs w:val="0"/>
          <w:szCs w:val="21"/>
        </w:rPr>
        <w:t>利用access数据库，建立行人过街数据表和车辆激进行为数据表；通过交叉表查询等方式，找出不同时段、流量、性别下行人违规率和车辆激进程度的异同，分析造成违规的关键因子。通过excel对数据进行可视化。</w:t>
      </w:r>
    </w:p>
    <w:p>
      <w:pPr>
        <w:pStyle w:val="6"/>
        <w:numPr>
          <w:ilvl w:val="0"/>
          <w:numId w:val="6"/>
        </w:numPr>
        <w:spacing w:line="360" w:lineRule="auto"/>
        <w:ind w:leftChars="0"/>
        <w:rPr>
          <w:rFonts w:hint="eastAsia" w:ascii="Times New Roman" w:hAnsi="Times New Roman" w:cs="Times New Roman"/>
          <w:b w:val="0"/>
          <w:bCs w:val="0"/>
          <w:szCs w:val="21"/>
        </w:rPr>
      </w:pPr>
      <w:r>
        <w:rPr>
          <w:rFonts w:hint="default" w:ascii="Times New Roman" w:hAnsi="Times New Roman" w:cs="Times New Roman"/>
          <w:b w:val="0"/>
          <w:bCs w:val="0"/>
          <w:szCs w:val="21"/>
        </w:rPr>
        <w:t>利用仿真软件，模拟与调查所得流量相同、不存在对向冲突的行人过街情况，分析相同人流量下若消除对流冲突效率可获得的提高。</w:t>
      </w:r>
    </w:p>
    <w:p>
      <w:pPr>
        <w:pStyle w:val="6"/>
        <w:numPr>
          <w:ilvl w:val="0"/>
          <w:numId w:val="1"/>
        </w:numPr>
        <w:spacing w:line="360" w:lineRule="auto"/>
        <w:ind w:firstLineChars="0"/>
        <w:rPr>
          <w:rFonts w:hint="eastAsia" w:cs="Times New Roman" w:asciiTheme="majorEastAsia" w:hAnsiTheme="majorEastAsia" w:eastAsiaTheme="majorEastAsia"/>
          <w:b w:val="0"/>
          <w:bCs/>
          <w:sz w:val="28"/>
          <w:szCs w:val="28"/>
        </w:rPr>
      </w:pPr>
      <w:r>
        <w:rPr>
          <w:rFonts w:hint="default" w:cs="Times New Roman" w:asciiTheme="majorEastAsia" w:hAnsiTheme="majorEastAsia" w:eastAsiaTheme="majorEastAsia"/>
          <w:b/>
          <w:sz w:val="28"/>
          <w:szCs w:val="28"/>
        </w:rPr>
        <w:t>总结</w:t>
      </w:r>
    </w:p>
    <w:p>
      <w:pPr>
        <w:pStyle w:val="6"/>
        <w:numPr>
          <w:ilvl w:val="0"/>
          <w:numId w:val="0"/>
        </w:numPr>
        <w:spacing w:line="360" w:lineRule="auto"/>
        <w:ind w:leftChars="0" w:firstLine="420" w:firstLineChars="200"/>
        <w:rPr>
          <w:rFonts w:hint="eastAsia" w:cs="Times New Roman" w:asciiTheme="majorEastAsia" w:hAnsiTheme="majorEastAsia" w:eastAsiaTheme="majorEastAsia"/>
          <w:b w:val="0"/>
          <w:bCs/>
          <w:sz w:val="28"/>
          <w:szCs w:val="28"/>
        </w:rPr>
      </w:pPr>
      <w:r>
        <w:rPr>
          <w:rFonts w:hint="default" w:ascii="Times New Roman" w:hAnsi="Times New Roman" w:cs="Times New Roman"/>
          <w:b w:val="0"/>
          <w:bCs w:val="0"/>
          <w:szCs w:val="21"/>
        </w:rPr>
        <w:t>在本次调查中，我们通过对交叉口行人流量，不同时间、不同类型、流量变化时的行人违法率，以及对不同时段车辆激进行为的调查分析该城市道路交叉口的行人交通现行存在的问题，了解影响城市道路交叉口效率的主要因素，提出优化交叉口、提高过街效率、提升交叉口安全系数的若干设想与建议。</w:t>
      </w:r>
    </w:p>
    <w:p>
      <w:pPr>
        <w:pStyle w:val="6"/>
        <w:numPr>
          <w:ilvl w:val="0"/>
          <w:numId w:val="0"/>
        </w:numPr>
        <w:ind w:leftChars="0"/>
        <w:jc w:val="left"/>
        <w:rPr>
          <w:rFonts w:hint="default" w:ascii="Times New Roman" w:hAnsi="Times New Roman" w:cs="Times New Roman" w:eastAsiaTheme="majorEastAsia"/>
          <w:b/>
          <w:sz w:val="24"/>
          <w:szCs w:val="24"/>
        </w:rPr>
      </w:pPr>
    </w:p>
    <w:p>
      <w:pPr>
        <w:pStyle w:val="6"/>
        <w:numPr>
          <w:ilvl w:val="0"/>
          <w:numId w:val="0"/>
        </w:numPr>
        <w:ind w:leftChars="0"/>
        <w:jc w:val="left"/>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[1]《广州地铁年报》2017</w:t>
      </w:r>
    </w:p>
    <w:p>
      <w:pPr>
        <w:pStyle w:val="6"/>
        <w:numPr>
          <w:ilvl w:val="0"/>
          <w:numId w:val="0"/>
        </w:numPr>
        <w:ind w:leftChars="0"/>
        <w:jc w:val="left"/>
        <w:rPr>
          <w:rFonts w:hint="default" w:ascii="Times New Roman" w:hAnsi="Times New Roman" w:cs="Times New Roman" w:eastAsiaTheme="majorEastAsia"/>
          <w:b/>
          <w:sz w:val="24"/>
          <w:szCs w:val="24"/>
        </w:rPr>
      </w:pPr>
    </w:p>
    <w:p>
      <w:pPr>
        <w:pStyle w:val="6"/>
        <w:numPr>
          <w:ilvl w:val="0"/>
          <w:numId w:val="0"/>
        </w:numPr>
        <w:ind w:leftChars="0"/>
        <w:jc w:val="left"/>
        <w:rPr>
          <w:rFonts w:hint="default" w:ascii="Times New Roman" w:hAnsi="Times New Roman" w:cs="Times New Roman" w:eastAsiaTheme="majorEastAsia"/>
          <w:b/>
          <w:sz w:val="24"/>
          <w:szCs w:val="24"/>
        </w:rPr>
      </w:pPr>
    </w:p>
    <w:p>
      <w:pPr>
        <w:pStyle w:val="6"/>
        <w:numPr>
          <w:ilvl w:val="0"/>
          <w:numId w:val="0"/>
        </w:numPr>
        <w:ind w:leftChars="0"/>
        <w:rPr>
          <w:rFonts w:hint="eastAsia" w:cs="Times New Roman" w:asciiTheme="majorEastAsia" w:hAnsiTheme="majorEastAsia" w:eastAsiaTheme="majorEastAsia"/>
          <w:b/>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dobe 黑体 Std">
    <w:altName w:val="黑体"/>
    <w:panose1 w:val="020B0400000000000000"/>
    <w:charset w:val="86"/>
    <w:family w:val="auto"/>
    <w:pitch w:val="default"/>
    <w:sig w:usb0="00000000" w:usb1="00000000" w:usb2="00000000" w:usb3="00000000" w:csb0="00160000"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E0AE7"/>
    <w:multiLevelType w:val="multilevel"/>
    <w:tmpl w:val="002E0AE7"/>
    <w:lvl w:ilvl="0" w:tentative="0">
      <w:start w:val="1"/>
      <w:numFmt w:val="decimal"/>
      <w:lvlText w:val="%1."/>
      <w:lvlJc w:val="left"/>
      <w:pPr>
        <w:ind w:left="360" w:hanging="360"/>
      </w:pPr>
      <w:rPr>
        <w:rFonts w:hint="default" w:ascii="Times New Roman" w:hAnsi="Times New Roman" w:eastAsiaTheme="minorEastAsia"/>
      </w:rPr>
    </w:lvl>
    <w:lvl w:ilvl="1" w:tentative="0">
      <w:start w:val="1"/>
      <w:numFmt w:val="decimal"/>
      <w:isLgl/>
      <w:lvlText w:val="%1.%2"/>
      <w:lvlJc w:val="left"/>
      <w:pPr>
        <w:ind w:left="720" w:hanging="720"/>
      </w:pPr>
      <w:rPr>
        <w:rFonts w:hint="default" w:ascii="Times New Roman" w:hAnsi="Times New Roman"/>
      </w:rPr>
    </w:lvl>
    <w:lvl w:ilvl="2" w:tentative="0">
      <w:start w:val="1"/>
      <w:numFmt w:val="decimal"/>
      <w:isLgl/>
      <w:lvlText w:val="%1.%2.%3"/>
      <w:lvlJc w:val="left"/>
      <w:pPr>
        <w:ind w:left="720" w:hanging="720"/>
      </w:pPr>
      <w:rPr>
        <w:rFonts w:hint="default" w:ascii="Times New Roman" w:hAnsi="Times New Roman"/>
      </w:rPr>
    </w:lvl>
    <w:lvl w:ilvl="3" w:tentative="0">
      <w:start w:val="1"/>
      <w:numFmt w:val="decimal"/>
      <w:isLgl/>
      <w:lvlText w:val="%1.%2.%3.%4"/>
      <w:lvlJc w:val="left"/>
      <w:pPr>
        <w:ind w:left="1080" w:hanging="1080"/>
      </w:pPr>
      <w:rPr>
        <w:rFonts w:hint="default" w:ascii="Times New Roman" w:hAnsi="Times New Roman"/>
      </w:rPr>
    </w:lvl>
    <w:lvl w:ilvl="4" w:tentative="0">
      <w:start w:val="1"/>
      <w:numFmt w:val="decimal"/>
      <w:isLgl/>
      <w:lvlText w:val="%1.%2.%3.%4.%5"/>
      <w:lvlJc w:val="left"/>
      <w:pPr>
        <w:ind w:left="1440" w:hanging="1440"/>
      </w:pPr>
      <w:rPr>
        <w:rFonts w:hint="default" w:ascii="Times New Roman" w:hAnsi="Times New Roman"/>
      </w:rPr>
    </w:lvl>
    <w:lvl w:ilvl="5" w:tentative="0">
      <w:start w:val="1"/>
      <w:numFmt w:val="decimal"/>
      <w:isLgl/>
      <w:lvlText w:val="%1.%2.%3.%4.%5.%6"/>
      <w:lvlJc w:val="left"/>
      <w:pPr>
        <w:ind w:left="1440" w:hanging="1440"/>
      </w:pPr>
      <w:rPr>
        <w:rFonts w:hint="default" w:ascii="Times New Roman" w:hAnsi="Times New Roman"/>
      </w:rPr>
    </w:lvl>
    <w:lvl w:ilvl="6" w:tentative="0">
      <w:start w:val="1"/>
      <w:numFmt w:val="decimal"/>
      <w:isLgl/>
      <w:lvlText w:val="%1.%2.%3.%4.%5.%6.%7"/>
      <w:lvlJc w:val="left"/>
      <w:pPr>
        <w:ind w:left="1800" w:hanging="1800"/>
      </w:pPr>
      <w:rPr>
        <w:rFonts w:hint="default" w:ascii="Times New Roman" w:hAnsi="Times New Roman"/>
      </w:rPr>
    </w:lvl>
    <w:lvl w:ilvl="7" w:tentative="0">
      <w:start w:val="1"/>
      <w:numFmt w:val="decimal"/>
      <w:isLgl/>
      <w:lvlText w:val="%1.%2.%3.%4.%5.%6.%7.%8"/>
      <w:lvlJc w:val="left"/>
      <w:pPr>
        <w:ind w:left="2160" w:hanging="2160"/>
      </w:pPr>
      <w:rPr>
        <w:rFonts w:hint="default" w:ascii="Times New Roman" w:hAnsi="Times New Roman"/>
      </w:rPr>
    </w:lvl>
    <w:lvl w:ilvl="8" w:tentative="0">
      <w:start w:val="1"/>
      <w:numFmt w:val="decimal"/>
      <w:isLgl/>
      <w:lvlText w:val="%1.%2.%3.%4.%5.%6.%7.%8.%9"/>
      <w:lvlJc w:val="left"/>
      <w:pPr>
        <w:ind w:left="2160" w:hanging="2160"/>
      </w:pPr>
      <w:rPr>
        <w:rFonts w:hint="default" w:ascii="Times New Roman" w:hAnsi="Times New Roman"/>
      </w:rPr>
    </w:lvl>
  </w:abstractNum>
  <w:abstractNum w:abstractNumId="1">
    <w:nsid w:val="5BF2CD31"/>
    <w:multiLevelType w:val="singleLevel"/>
    <w:tmpl w:val="5BF2CD31"/>
    <w:lvl w:ilvl="0" w:tentative="0">
      <w:start w:val="3"/>
      <w:numFmt w:val="decimal"/>
      <w:suff w:val="nothing"/>
      <w:lvlText w:val="（%1）"/>
      <w:lvlJc w:val="left"/>
    </w:lvl>
  </w:abstractNum>
  <w:abstractNum w:abstractNumId="2">
    <w:nsid w:val="5BF2D810"/>
    <w:multiLevelType w:val="singleLevel"/>
    <w:tmpl w:val="5BF2D810"/>
    <w:lvl w:ilvl="0" w:tentative="0">
      <w:start w:val="1"/>
      <w:numFmt w:val="decimal"/>
      <w:suff w:val="nothing"/>
      <w:lvlText w:val="（%1）"/>
      <w:lvlJc w:val="left"/>
    </w:lvl>
  </w:abstractNum>
  <w:abstractNum w:abstractNumId="3">
    <w:nsid w:val="5BF2D867"/>
    <w:multiLevelType w:val="singleLevel"/>
    <w:tmpl w:val="5BF2D867"/>
    <w:lvl w:ilvl="0" w:tentative="0">
      <w:start w:val="1"/>
      <w:numFmt w:val="decimalEnclosedCircleChinese"/>
      <w:suff w:val="nothing"/>
      <w:lvlText w:val="%1　"/>
      <w:lvlJc w:val="left"/>
      <w:pPr>
        <w:ind w:left="0" w:leftChars="0" w:firstLine="400" w:firstLineChars="0"/>
      </w:pPr>
      <w:rPr>
        <w:rFonts w:hint="eastAsia"/>
      </w:rPr>
    </w:lvl>
  </w:abstractNum>
  <w:abstractNum w:abstractNumId="4">
    <w:nsid w:val="5BF2E8C3"/>
    <w:multiLevelType w:val="singleLevel"/>
    <w:tmpl w:val="5BF2E8C3"/>
    <w:lvl w:ilvl="0" w:tentative="0">
      <w:start w:val="1"/>
      <w:numFmt w:val="decimal"/>
      <w:suff w:val="nothing"/>
      <w:lvlText w:val="（%1）"/>
      <w:lvlJc w:val="left"/>
    </w:lvl>
  </w:abstractNum>
  <w:abstractNum w:abstractNumId="5">
    <w:nsid w:val="5BF2EA69"/>
    <w:multiLevelType w:val="singleLevel"/>
    <w:tmpl w:val="5BF2EA69"/>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59AEF59"/>
    <w:rsid w:val="30AF7B27"/>
    <w:rsid w:val="575D1801"/>
    <w:rsid w:val="7FFF7EA0"/>
    <w:rsid w:val="F59AE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qFormat/>
    <w:uiPriority w:val="0"/>
    <w:rPr>
      <w:color w:val="0000FF"/>
      <w:u w:val="none"/>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Office_11.1.0.7881_F1E327BC-269C-435d-A152-05C5408002CA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2018-11-20T05:41:00Z</dcterms:created>
  <dc:creator>diana</dc:creator>
  <cp:lastModifiedBy>Stephen</cp:lastModifiedBy>
  <dcterms:modified xsi:type="dcterms:W3CDTF">2018-11-21T14:05:30Z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2052-11.1.0.7881</vt:lpwstr>
  </property>
</Properties>
</file>