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pPr>
    </w:p>
    <w:p>
      <w:pPr>
        <w:spacing w:line="360" w:lineRule="auto"/>
        <w:jc w:val="center"/>
        <w:rPr>
          <w:rFonts w:ascii="宋体" w:hAnsi="宋体"/>
          <w:sz w:val="24"/>
          <w:szCs w:val="24"/>
        </w:rPr>
      </w:pPr>
      <w:r>
        <w:drawing>
          <wp:inline distT="0" distB="0" distL="0" distR="0">
            <wp:extent cx="3195955" cy="2672080"/>
            <wp:effectExtent l="0" t="0" r="4445" b="7620"/>
            <wp:docPr id="9" name="图片 9" descr="https://timgsa.baidu.com/timg?image&amp;quality=80&amp;size=b9999_10000&amp;sec=1543464008906&amp;di=829e79fc4f0971e2a6473a3d7e60737a&amp;imgtype=0&amp;src=http%3A%2F%2Fpic.baike.soso.com%2Fugc%2Fbaikepic2%2F19326%2F20150527211421-514588533.jpg%2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https://timgsa.baidu.com/timg?image&amp;quality=80&amp;size=b9999_10000&amp;sec=1543464008906&amp;di=829e79fc4f0971e2a6473a3d7e60737a&amp;imgtype=0&amp;src=http%3A%2F%2Fpic.baike.soso.com%2Fugc%2Fbaikepic2%2F19326%2F20150527211421-514588533.jpg%2F0"/>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3195955" cy="2672080"/>
                    </a:xfrm>
                    <a:prstGeom prst="rect">
                      <a:avLst/>
                    </a:prstGeom>
                    <a:noFill/>
                    <a:ln>
                      <a:noFill/>
                    </a:ln>
                  </pic:spPr>
                </pic:pic>
              </a:graphicData>
            </a:graphic>
          </wp:inline>
        </w:drawing>
      </w:r>
    </w:p>
    <w:p>
      <w:pPr>
        <w:spacing w:line="360" w:lineRule="auto"/>
        <w:rPr>
          <w:rFonts w:ascii="宋体" w:hAnsi="宋体"/>
          <w:sz w:val="36"/>
          <w:szCs w:val="24"/>
        </w:rPr>
      </w:pPr>
    </w:p>
    <w:p>
      <w:pPr>
        <w:jc w:val="center"/>
        <w:rPr>
          <w:rFonts w:ascii="楷体" w:hAnsi="楷体" w:eastAsia="楷体"/>
          <w:b/>
          <w:sz w:val="84"/>
          <w:szCs w:val="84"/>
        </w:rPr>
      </w:pPr>
      <w:r>
        <w:rPr>
          <w:rFonts w:hint="eastAsia" w:ascii="楷体" w:hAnsi="楷体" w:eastAsia="楷体"/>
          <w:b/>
          <w:sz w:val="84"/>
          <w:szCs w:val="84"/>
        </w:rPr>
        <w:t>中山大道-车陂路</w:t>
      </w:r>
    </w:p>
    <w:p>
      <w:pPr>
        <w:jc w:val="center"/>
        <w:rPr>
          <w:rFonts w:hint="eastAsia" w:ascii="楷体" w:hAnsi="楷体" w:eastAsia="楷体"/>
          <w:b/>
          <w:sz w:val="84"/>
          <w:szCs w:val="84"/>
          <w:lang w:val="en-US" w:eastAsia="zh-CN"/>
        </w:rPr>
      </w:pPr>
      <w:r>
        <w:rPr>
          <w:rFonts w:hint="eastAsia" w:ascii="楷体" w:hAnsi="楷体" w:eastAsia="楷体"/>
          <w:b/>
          <w:sz w:val="84"/>
          <w:szCs w:val="84"/>
        </w:rPr>
        <w:t>交叉口交通</w:t>
      </w:r>
      <w:r>
        <w:rPr>
          <w:rFonts w:hint="eastAsia" w:ascii="楷体" w:hAnsi="楷体" w:eastAsia="楷体"/>
          <w:b/>
          <w:sz w:val="84"/>
          <w:szCs w:val="84"/>
          <w:lang w:val="en-US" w:eastAsia="zh-CN"/>
        </w:rPr>
        <w:t>量</w:t>
      </w:r>
    </w:p>
    <w:p>
      <w:pPr>
        <w:jc w:val="center"/>
        <w:rPr>
          <w:rFonts w:ascii="楷体" w:hAnsi="楷体" w:eastAsia="楷体"/>
          <w:b/>
          <w:sz w:val="84"/>
          <w:szCs w:val="84"/>
        </w:rPr>
      </w:pPr>
      <w:r>
        <w:rPr>
          <w:rFonts w:hint="eastAsia" w:ascii="楷体" w:hAnsi="楷体" w:eastAsia="楷体"/>
          <w:b/>
          <w:sz w:val="84"/>
          <w:szCs w:val="84"/>
        </w:rPr>
        <w:t>调查策划</w:t>
      </w:r>
    </w:p>
    <w:p>
      <w:pPr>
        <w:spacing w:line="360" w:lineRule="auto"/>
        <w:rPr>
          <w:rFonts w:ascii="宋体" w:hAnsi="宋体"/>
          <w:sz w:val="36"/>
          <w:szCs w:val="24"/>
        </w:rPr>
      </w:pPr>
    </w:p>
    <w:p>
      <w:pPr>
        <w:spacing w:after="240" w:line="360" w:lineRule="auto"/>
        <w:jc w:val="center"/>
        <w:rPr>
          <w:rFonts w:hint="eastAsia" w:ascii="宋体" w:hAnsi="宋体" w:eastAsiaTheme="minorEastAsia"/>
          <w:sz w:val="24"/>
          <w:szCs w:val="24"/>
          <w:lang w:val="en-US" w:eastAsia="zh-CN"/>
        </w:rPr>
      </w:pPr>
      <w:r>
        <w:rPr>
          <w:rFonts w:hint="eastAsia" w:ascii="宋体" w:hAnsi="宋体"/>
          <w:sz w:val="24"/>
          <w:szCs w:val="24"/>
        </w:rPr>
        <w:t>组长：</w:t>
      </w:r>
      <w:r>
        <w:rPr>
          <w:rFonts w:hint="eastAsia" w:ascii="宋体" w:hAnsi="宋体"/>
          <w:sz w:val="24"/>
          <w:szCs w:val="24"/>
          <w:lang w:val="en-US" w:eastAsia="zh-CN"/>
        </w:rPr>
        <w:t>张洲</w:t>
      </w:r>
    </w:p>
    <w:p>
      <w:pPr>
        <w:spacing w:after="240" w:line="360" w:lineRule="auto"/>
        <w:ind w:firstLine="1440" w:firstLineChars="600"/>
        <w:jc w:val="both"/>
        <w:rPr>
          <w:rFonts w:hint="eastAsia" w:ascii="宋体" w:hAnsi="宋体"/>
          <w:sz w:val="24"/>
          <w:szCs w:val="24"/>
          <w:lang w:val="en-US" w:eastAsia="zh-CN"/>
        </w:rPr>
      </w:pPr>
      <w:r>
        <w:rPr>
          <w:rFonts w:ascii="宋体" w:hAnsi="宋体"/>
          <w:sz w:val="24"/>
          <w:szCs w:val="24"/>
        </w:rPr>
        <w:t>成员</w:t>
      </w:r>
      <w:r>
        <w:rPr>
          <w:rFonts w:hint="eastAsia" w:ascii="宋体" w:hAnsi="宋体"/>
          <w:sz w:val="24"/>
          <w:szCs w:val="24"/>
        </w:rPr>
        <w:t>：</w:t>
      </w:r>
      <w:r>
        <w:rPr>
          <w:rFonts w:hint="eastAsia" w:ascii="宋体" w:hAnsi="宋体"/>
          <w:sz w:val="24"/>
          <w:szCs w:val="24"/>
          <w:lang w:val="en-US" w:eastAsia="zh-CN"/>
        </w:rPr>
        <w:t>杨翔宇、张雨田、王其超、李浩彬、张麒</w:t>
      </w:r>
    </w:p>
    <w:p>
      <w:pPr>
        <w:spacing w:after="240" w:line="360" w:lineRule="auto"/>
        <w:ind w:firstLine="1200" w:firstLineChars="500"/>
        <w:jc w:val="both"/>
        <w:rPr>
          <w:rFonts w:hint="eastAsia" w:ascii="宋体" w:hAnsi="宋体"/>
          <w:sz w:val="24"/>
          <w:szCs w:val="24"/>
          <w:lang w:val="en-US" w:eastAsia="zh-CN"/>
        </w:rPr>
      </w:pPr>
      <w:r>
        <w:rPr>
          <w:rFonts w:hint="eastAsia" w:ascii="宋体" w:hAnsi="宋体"/>
          <w:sz w:val="24"/>
          <w:szCs w:val="24"/>
          <w:lang w:val="en-US" w:eastAsia="zh-CN"/>
        </w:rPr>
        <w:t xml:space="preserve">        吴玉冰、黄思娴、陈心怡、陈彦蓉、李曼妮</w:t>
      </w:r>
    </w:p>
    <w:p>
      <w:pPr>
        <w:spacing w:after="240" w:line="360" w:lineRule="auto"/>
        <w:jc w:val="both"/>
        <w:rPr>
          <w:rFonts w:hint="default" w:ascii="宋体" w:hAnsi="宋体"/>
          <w:sz w:val="24"/>
          <w:szCs w:val="24"/>
          <w:lang w:val="en-US" w:eastAsia="zh-CN"/>
        </w:rPr>
      </w:pPr>
      <w:r>
        <w:rPr>
          <w:rFonts w:hint="eastAsia" w:ascii="宋体" w:hAnsi="宋体"/>
          <w:sz w:val="24"/>
          <w:szCs w:val="24"/>
          <w:lang w:val="en-US" w:eastAsia="zh-CN"/>
        </w:rPr>
        <w:t xml:space="preserve">     </w:t>
      </w:r>
      <w:r>
        <w:rPr>
          <w:rFonts w:hint="eastAsia" w:ascii="宋体" w:hAnsi="宋体"/>
          <w:sz w:val="24"/>
          <w:szCs w:val="24"/>
          <w:lang w:val="en-US" w:eastAsia="zh-CN"/>
        </w:rPr>
        <w:tab/>
        <w:t xml:space="preserve">   </w:t>
      </w:r>
      <w:r>
        <w:rPr>
          <w:rFonts w:hint="eastAsia" w:ascii="宋体" w:hAnsi="宋体"/>
          <w:sz w:val="24"/>
          <w:szCs w:val="24"/>
          <w:lang w:val="en-US" w:eastAsia="zh-CN"/>
        </w:rPr>
        <w:tab/>
        <w:t/>
      </w:r>
      <w:r>
        <w:rPr>
          <w:rFonts w:hint="eastAsia" w:ascii="宋体" w:hAnsi="宋体"/>
          <w:sz w:val="24"/>
          <w:szCs w:val="24"/>
          <w:lang w:val="en-US" w:eastAsia="zh-CN"/>
        </w:rPr>
        <w:tab/>
        <w:t xml:space="preserve">    黄孜颖、赖雨梦、陈洁颖、张丽涛、陈梦琪</w:t>
      </w:r>
    </w:p>
    <w:p>
      <w:pPr>
        <w:rPr>
          <w:rFonts w:hint="eastAsia" w:eastAsiaTheme="minorEastAsia"/>
          <w:lang w:val="en-US" w:eastAsia="zh-CN"/>
        </w:rPr>
      </w:pPr>
      <w:r>
        <w:rPr>
          <w:rFonts w:hint="eastAsia"/>
          <w:lang w:val="en-US" w:eastAsia="zh-CN"/>
        </w:rPr>
        <w:t xml:space="preserve"> </w:t>
      </w:r>
    </w:p>
    <w:p>
      <w:pPr>
        <w:rPr>
          <w:rFonts w:hint="eastAsia"/>
          <w:lang w:val="en-US" w:eastAsia="zh-CN"/>
        </w:rPr>
      </w:pPr>
      <w:r>
        <w:rPr>
          <w:rFonts w:hint="eastAsia"/>
          <w:lang w:val="en-US" w:eastAsia="zh-CN"/>
        </w:rPr>
        <w:t xml:space="preserve">                </w:t>
      </w:r>
    </w:p>
    <w:p>
      <w:pPr>
        <w:rPr>
          <w:rFonts w:hint="eastAsia"/>
          <w:sz w:val="24"/>
          <w:szCs w:val="32"/>
          <w:lang w:val="en-US" w:eastAsia="zh-CN"/>
        </w:rPr>
        <w:sectPr>
          <w:pgSz w:w="11906" w:h="16838"/>
          <w:pgMar w:top="1440" w:right="1800" w:bottom="1440" w:left="1800" w:header="851" w:footer="992" w:gutter="0"/>
          <w:cols w:space="425" w:num="1"/>
          <w:docGrid w:type="lines" w:linePitch="312" w:charSpace="0"/>
        </w:sectPr>
      </w:pPr>
      <w:r>
        <w:rPr>
          <w:rFonts w:hint="eastAsia"/>
          <w:lang w:val="en-US" w:eastAsia="zh-CN"/>
        </w:rPr>
        <w:t xml:space="preserve">                                 </w:t>
      </w:r>
      <w:r>
        <w:rPr>
          <w:rFonts w:hint="eastAsia"/>
          <w:sz w:val="24"/>
          <w:szCs w:val="32"/>
          <w:lang w:val="en-US" w:eastAsia="zh-CN"/>
        </w:rPr>
        <w:t xml:space="preserve"> 2019年11月</w:t>
      </w:r>
    </w:p>
    <w:sdt>
      <w:sdtPr>
        <w:rPr>
          <w:rFonts w:ascii="宋体" w:hAnsi="宋体" w:eastAsia="宋体" w:cstheme="minorBidi"/>
          <w:kern w:val="2"/>
          <w:sz w:val="21"/>
          <w:szCs w:val="24"/>
          <w:lang w:val="en-US" w:eastAsia="zh-CN" w:bidi="ar-SA"/>
        </w:rPr>
        <w:id w:val="147466134"/>
        <w15:color w:val="DBDBDB"/>
        <w:docPartObj>
          <w:docPartGallery w:val="Table of Contents"/>
          <w:docPartUnique/>
        </w:docPartObj>
      </w:sdtPr>
      <w:sdtEndPr>
        <w:rPr>
          <w:rFonts w:hint="default" w:asciiTheme="minorHAnsi" w:hAnsiTheme="minorHAnsi" w:eastAsiaTheme="minorEastAsia" w:cstheme="minorBidi"/>
          <w:kern w:val="2"/>
          <w:sz w:val="21"/>
          <w:szCs w:val="32"/>
          <w:lang w:val="en-US" w:eastAsia="zh-CN" w:bidi="ar-SA"/>
        </w:rPr>
      </w:sdtEndPr>
      <w:sdtContent>
        <w:p>
          <w:pPr>
            <w:spacing w:before="0" w:beforeLines="0" w:after="0" w:afterLines="0" w:line="240" w:lineRule="auto"/>
            <w:ind w:left="0" w:leftChars="0" w:right="0" w:rightChars="0" w:firstLine="0" w:firstLineChars="0"/>
            <w:jc w:val="center"/>
            <w:rPr>
              <w:sz w:val="32"/>
              <w:szCs w:val="40"/>
            </w:rPr>
          </w:pPr>
          <w:r>
            <w:rPr>
              <w:rFonts w:ascii="宋体" w:hAnsi="宋体" w:eastAsia="宋体"/>
              <w:sz w:val="32"/>
              <w:szCs w:val="40"/>
            </w:rPr>
            <w:t>目录</w:t>
          </w:r>
        </w:p>
        <w:p>
          <w:pPr>
            <w:pStyle w:val="14"/>
            <w:tabs>
              <w:tab w:val="right" w:leader="dot" w:pos="8306"/>
            </w:tabs>
            <w:rPr>
              <w:sz w:val="28"/>
              <w:szCs w:val="28"/>
            </w:rPr>
          </w:pPr>
          <w:r>
            <w:rPr>
              <w:rFonts w:hint="default"/>
              <w:sz w:val="40"/>
              <w:szCs w:val="48"/>
              <w:lang w:val="en-US" w:eastAsia="zh-CN"/>
            </w:rPr>
            <w:fldChar w:fldCharType="begin"/>
          </w:r>
          <w:r>
            <w:rPr>
              <w:rFonts w:hint="default"/>
              <w:sz w:val="40"/>
              <w:szCs w:val="48"/>
              <w:lang w:val="en-US" w:eastAsia="zh-CN"/>
            </w:rPr>
            <w:instrText xml:space="preserve">TOC \o "1-1" \h \u </w:instrText>
          </w:r>
          <w:r>
            <w:rPr>
              <w:rFonts w:hint="default"/>
              <w:sz w:val="40"/>
              <w:szCs w:val="48"/>
              <w:lang w:val="en-US" w:eastAsia="zh-CN"/>
            </w:rPr>
            <w:fldChar w:fldCharType="separate"/>
          </w:r>
          <w:r>
            <w:rPr>
              <w:rFonts w:hint="default"/>
              <w:sz w:val="28"/>
              <w:szCs w:val="48"/>
              <w:lang w:val="en-US" w:eastAsia="zh-CN"/>
            </w:rPr>
            <w:fldChar w:fldCharType="begin"/>
          </w:r>
          <w:r>
            <w:rPr>
              <w:rFonts w:hint="default"/>
              <w:sz w:val="28"/>
              <w:szCs w:val="48"/>
              <w:lang w:val="en-US" w:eastAsia="zh-CN"/>
            </w:rPr>
            <w:instrText xml:space="preserve"> HYPERLINK \l _Toc32400 </w:instrText>
          </w:r>
          <w:r>
            <w:rPr>
              <w:rFonts w:hint="default"/>
              <w:sz w:val="28"/>
              <w:szCs w:val="48"/>
              <w:lang w:val="en-US" w:eastAsia="zh-CN"/>
            </w:rPr>
            <w:fldChar w:fldCharType="separate"/>
          </w:r>
          <w:r>
            <w:rPr>
              <w:rFonts w:hint="eastAsia"/>
              <w:sz w:val="28"/>
              <w:szCs w:val="36"/>
              <w:lang w:val="en-US" w:eastAsia="zh-CN"/>
            </w:rPr>
            <w:t>一、 调查背景</w:t>
          </w:r>
          <w:r>
            <w:rPr>
              <w:sz w:val="28"/>
              <w:szCs w:val="28"/>
            </w:rPr>
            <w:tab/>
          </w:r>
          <w:r>
            <w:rPr>
              <w:sz w:val="28"/>
              <w:szCs w:val="28"/>
            </w:rPr>
            <w:fldChar w:fldCharType="begin"/>
          </w:r>
          <w:r>
            <w:rPr>
              <w:sz w:val="28"/>
              <w:szCs w:val="28"/>
            </w:rPr>
            <w:instrText xml:space="preserve"> PAGEREF _Toc32400 </w:instrText>
          </w:r>
          <w:r>
            <w:rPr>
              <w:sz w:val="28"/>
              <w:szCs w:val="28"/>
            </w:rPr>
            <w:fldChar w:fldCharType="separate"/>
          </w:r>
          <w:r>
            <w:rPr>
              <w:sz w:val="28"/>
              <w:szCs w:val="28"/>
            </w:rPr>
            <w:t>3</w:t>
          </w:r>
          <w:r>
            <w:rPr>
              <w:sz w:val="28"/>
              <w:szCs w:val="28"/>
            </w:rPr>
            <w:fldChar w:fldCharType="end"/>
          </w:r>
          <w:r>
            <w:rPr>
              <w:rFonts w:hint="default"/>
              <w:sz w:val="28"/>
              <w:szCs w:val="48"/>
              <w:lang w:val="en-US" w:eastAsia="zh-CN"/>
            </w:rPr>
            <w:fldChar w:fldCharType="end"/>
          </w:r>
        </w:p>
        <w:p>
          <w:pPr>
            <w:pStyle w:val="14"/>
            <w:tabs>
              <w:tab w:val="right" w:leader="dot" w:pos="8306"/>
            </w:tabs>
            <w:rPr>
              <w:sz w:val="28"/>
              <w:szCs w:val="28"/>
            </w:rPr>
          </w:pPr>
          <w:r>
            <w:rPr>
              <w:rFonts w:hint="default"/>
              <w:sz w:val="28"/>
              <w:szCs w:val="48"/>
              <w:lang w:val="en-US" w:eastAsia="zh-CN"/>
            </w:rPr>
            <w:fldChar w:fldCharType="begin"/>
          </w:r>
          <w:r>
            <w:rPr>
              <w:rFonts w:hint="default"/>
              <w:sz w:val="28"/>
              <w:szCs w:val="48"/>
              <w:lang w:val="en-US" w:eastAsia="zh-CN"/>
            </w:rPr>
            <w:instrText xml:space="preserve"> HYPERLINK \l _Toc25591 </w:instrText>
          </w:r>
          <w:r>
            <w:rPr>
              <w:rFonts w:hint="default"/>
              <w:sz w:val="28"/>
              <w:szCs w:val="48"/>
              <w:lang w:val="en-US" w:eastAsia="zh-CN"/>
            </w:rPr>
            <w:fldChar w:fldCharType="separate"/>
          </w:r>
          <w:r>
            <w:rPr>
              <w:rFonts w:hint="eastAsia"/>
              <w:sz w:val="28"/>
              <w:szCs w:val="36"/>
              <w:lang w:val="en-US" w:eastAsia="zh-CN"/>
            </w:rPr>
            <w:t>二</w:t>
          </w:r>
          <w:r>
            <w:rPr>
              <w:rFonts w:hint="eastAsia"/>
              <w:sz w:val="28"/>
              <w:szCs w:val="36"/>
            </w:rPr>
            <w:t>、调查人员组成</w:t>
          </w:r>
          <w:r>
            <w:rPr>
              <w:sz w:val="28"/>
              <w:szCs w:val="28"/>
            </w:rPr>
            <w:tab/>
          </w:r>
          <w:r>
            <w:rPr>
              <w:sz w:val="28"/>
              <w:szCs w:val="28"/>
            </w:rPr>
            <w:fldChar w:fldCharType="begin"/>
          </w:r>
          <w:r>
            <w:rPr>
              <w:sz w:val="28"/>
              <w:szCs w:val="28"/>
            </w:rPr>
            <w:instrText xml:space="preserve"> PAGEREF _Toc25591 </w:instrText>
          </w:r>
          <w:r>
            <w:rPr>
              <w:sz w:val="28"/>
              <w:szCs w:val="28"/>
            </w:rPr>
            <w:fldChar w:fldCharType="separate"/>
          </w:r>
          <w:r>
            <w:rPr>
              <w:sz w:val="28"/>
              <w:szCs w:val="28"/>
            </w:rPr>
            <w:t>3</w:t>
          </w:r>
          <w:r>
            <w:rPr>
              <w:sz w:val="28"/>
              <w:szCs w:val="28"/>
            </w:rPr>
            <w:fldChar w:fldCharType="end"/>
          </w:r>
          <w:r>
            <w:rPr>
              <w:rFonts w:hint="default"/>
              <w:sz w:val="28"/>
              <w:szCs w:val="48"/>
              <w:lang w:val="en-US" w:eastAsia="zh-CN"/>
            </w:rPr>
            <w:fldChar w:fldCharType="end"/>
          </w:r>
        </w:p>
        <w:p>
          <w:pPr>
            <w:pStyle w:val="14"/>
            <w:tabs>
              <w:tab w:val="right" w:leader="dot" w:pos="8306"/>
            </w:tabs>
            <w:rPr>
              <w:sz w:val="28"/>
              <w:szCs w:val="28"/>
            </w:rPr>
          </w:pPr>
          <w:r>
            <w:rPr>
              <w:rFonts w:hint="default"/>
              <w:sz w:val="28"/>
              <w:szCs w:val="48"/>
              <w:lang w:val="en-US" w:eastAsia="zh-CN"/>
            </w:rPr>
            <w:fldChar w:fldCharType="begin"/>
          </w:r>
          <w:r>
            <w:rPr>
              <w:rFonts w:hint="default"/>
              <w:sz w:val="28"/>
              <w:szCs w:val="48"/>
              <w:lang w:val="en-US" w:eastAsia="zh-CN"/>
            </w:rPr>
            <w:instrText xml:space="preserve"> HYPERLINK \l _Toc20913 </w:instrText>
          </w:r>
          <w:r>
            <w:rPr>
              <w:rFonts w:hint="default"/>
              <w:sz w:val="28"/>
              <w:szCs w:val="48"/>
              <w:lang w:val="en-US" w:eastAsia="zh-CN"/>
            </w:rPr>
            <w:fldChar w:fldCharType="separate"/>
          </w:r>
          <w:r>
            <w:rPr>
              <w:rFonts w:hint="eastAsia"/>
              <w:sz w:val="28"/>
              <w:szCs w:val="36"/>
              <w:lang w:val="en-US" w:eastAsia="zh-CN"/>
            </w:rPr>
            <w:t>三</w:t>
          </w:r>
          <w:r>
            <w:rPr>
              <w:rFonts w:hint="eastAsia"/>
              <w:sz w:val="28"/>
              <w:szCs w:val="36"/>
            </w:rPr>
            <w:t>、调查交叉口简介</w:t>
          </w:r>
          <w:r>
            <w:rPr>
              <w:sz w:val="28"/>
              <w:szCs w:val="28"/>
            </w:rPr>
            <w:tab/>
          </w:r>
          <w:r>
            <w:rPr>
              <w:sz w:val="28"/>
              <w:szCs w:val="28"/>
            </w:rPr>
            <w:fldChar w:fldCharType="begin"/>
          </w:r>
          <w:r>
            <w:rPr>
              <w:sz w:val="28"/>
              <w:szCs w:val="28"/>
            </w:rPr>
            <w:instrText xml:space="preserve"> PAGEREF _Toc20913 </w:instrText>
          </w:r>
          <w:r>
            <w:rPr>
              <w:sz w:val="28"/>
              <w:szCs w:val="28"/>
            </w:rPr>
            <w:fldChar w:fldCharType="separate"/>
          </w:r>
          <w:r>
            <w:rPr>
              <w:sz w:val="28"/>
              <w:szCs w:val="28"/>
            </w:rPr>
            <w:t>4</w:t>
          </w:r>
          <w:r>
            <w:rPr>
              <w:sz w:val="28"/>
              <w:szCs w:val="28"/>
            </w:rPr>
            <w:fldChar w:fldCharType="end"/>
          </w:r>
          <w:r>
            <w:rPr>
              <w:rFonts w:hint="default"/>
              <w:sz w:val="28"/>
              <w:szCs w:val="48"/>
              <w:lang w:val="en-US" w:eastAsia="zh-CN"/>
            </w:rPr>
            <w:fldChar w:fldCharType="end"/>
          </w:r>
        </w:p>
        <w:p>
          <w:pPr>
            <w:pStyle w:val="14"/>
            <w:tabs>
              <w:tab w:val="right" w:leader="dot" w:pos="8306"/>
            </w:tabs>
            <w:rPr>
              <w:sz w:val="28"/>
              <w:szCs w:val="28"/>
            </w:rPr>
          </w:pPr>
          <w:r>
            <w:rPr>
              <w:rFonts w:hint="default"/>
              <w:sz w:val="28"/>
              <w:szCs w:val="48"/>
              <w:lang w:val="en-US" w:eastAsia="zh-CN"/>
            </w:rPr>
            <w:fldChar w:fldCharType="begin"/>
          </w:r>
          <w:r>
            <w:rPr>
              <w:rFonts w:hint="default"/>
              <w:sz w:val="28"/>
              <w:szCs w:val="48"/>
              <w:lang w:val="en-US" w:eastAsia="zh-CN"/>
            </w:rPr>
            <w:instrText xml:space="preserve"> HYPERLINK \l _Toc8934 </w:instrText>
          </w:r>
          <w:r>
            <w:rPr>
              <w:rFonts w:hint="default"/>
              <w:sz w:val="28"/>
              <w:szCs w:val="48"/>
              <w:lang w:val="en-US" w:eastAsia="zh-CN"/>
            </w:rPr>
            <w:fldChar w:fldCharType="separate"/>
          </w:r>
          <w:r>
            <w:rPr>
              <w:rFonts w:hint="eastAsia"/>
              <w:sz w:val="28"/>
              <w:szCs w:val="36"/>
              <w:lang w:val="en-US" w:eastAsia="zh-CN"/>
            </w:rPr>
            <w:t>四、调查方向</w:t>
          </w:r>
          <w:r>
            <w:rPr>
              <w:sz w:val="28"/>
              <w:szCs w:val="28"/>
            </w:rPr>
            <w:tab/>
          </w:r>
          <w:r>
            <w:rPr>
              <w:sz w:val="28"/>
              <w:szCs w:val="28"/>
            </w:rPr>
            <w:fldChar w:fldCharType="begin"/>
          </w:r>
          <w:r>
            <w:rPr>
              <w:sz w:val="28"/>
              <w:szCs w:val="28"/>
            </w:rPr>
            <w:instrText xml:space="preserve"> PAGEREF _Toc8934 </w:instrText>
          </w:r>
          <w:r>
            <w:rPr>
              <w:sz w:val="28"/>
              <w:szCs w:val="28"/>
            </w:rPr>
            <w:fldChar w:fldCharType="separate"/>
          </w:r>
          <w:r>
            <w:rPr>
              <w:sz w:val="28"/>
              <w:szCs w:val="28"/>
            </w:rPr>
            <w:t>4</w:t>
          </w:r>
          <w:r>
            <w:rPr>
              <w:sz w:val="28"/>
              <w:szCs w:val="28"/>
            </w:rPr>
            <w:fldChar w:fldCharType="end"/>
          </w:r>
          <w:r>
            <w:rPr>
              <w:rFonts w:hint="default"/>
              <w:sz w:val="28"/>
              <w:szCs w:val="48"/>
              <w:lang w:val="en-US" w:eastAsia="zh-CN"/>
            </w:rPr>
            <w:fldChar w:fldCharType="end"/>
          </w:r>
        </w:p>
        <w:p>
          <w:pPr>
            <w:pStyle w:val="14"/>
            <w:tabs>
              <w:tab w:val="right" w:leader="dot" w:pos="8306"/>
            </w:tabs>
            <w:rPr>
              <w:sz w:val="28"/>
              <w:szCs w:val="28"/>
            </w:rPr>
          </w:pPr>
          <w:r>
            <w:rPr>
              <w:rFonts w:hint="default"/>
              <w:sz w:val="28"/>
              <w:szCs w:val="48"/>
              <w:lang w:val="en-US" w:eastAsia="zh-CN"/>
            </w:rPr>
            <w:fldChar w:fldCharType="begin"/>
          </w:r>
          <w:r>
            <w:rPr>
              <w:rFonts w:hint="default"/>
              <w:sz w:val="28"/>
              <w:szCs w:val="48"/>
              <w:lang w:val="en-US" w:eastAsia="zh-CN"/>
            </w:rPr>
            <w:instrText xml:space="preserve"> HYPERLINK \l _Toc17296 </w:instrText>
          </w:r>
          <w:r>
            <w:rPr>
              <w:rFonts w:hint="default"/>
              <w:sz w:val="28"/>
              <w:szCs w:val="48"/>
              <w:lang w:val="en-US" w:eastAsia="zh-CN"/>
            </w:rPr>
            <w:fldChar w:fldCharType="separate"/>
          </w:r>
          <w:r>
            <w:rPr>
              <w:rFonts w:hint="eastAsia"/>
              <w:sz w:val="28"/>
              <w:szCs w:val="36"/>
              <w:lang w:val="en-US" w:eastAsia="zh-CN"/>
            </w:rPr>
            <w:t>五、预期成果</w:t>
          </w:r>
          <w:r>
            <w:rPr>
              <w:sz w:val="28"/>
              <w:szCs w:val="28"/>
            </w:rPr>
            <w:tab/>
          </w:r>
          <w:r>
            <w:rPr>
              <w:sz w:val="28"/>
              <w:szCs w:val="28"/>
            </w:rPr>
            <w:fldChar w:fldCharType="begin"/>
          </w:r>
          <w:r>
            <w:rPr>
              <w:sz w:val="28"/>
              <w:szCs w:val="28"/>
            </w:rPr>
            <w:instrText xml:space="preserve"> PAGEREF _Toc17296 </w:instrText>
          </w:r>
          <w:r>
            <w:rPr>
              <w:sz w:val="28"/>
              <w:szCs w:val="28"/>
            </w:rPr>
            <w:fldChar w:fldCharType="separate"/>
          </w:r>
          <w:r>
            <w:rPr>
              <w:sz w:val="28"/>
              <w:szCs w:val="28"/>
            </w:rPr>
            <w:t>5</w:t>
          </w:r>
          <w:r>
            <w:rPr>
              <w:sz w:val="28"/>
              <w:szCs w:val="28"/>
            </w:rPr>
            <w:fldChar w:fldCharType="end"/>
          </w:r>
          <w:r>
            <w:rPr>
              <w:rFonts w:hint="default"/>
              <w:sz w:val="28"/>
              <w:szCs w:val="48"/>
              <w:lang w:val="en-US" w:eastAsia="zh-CN"/>
            </w:rPr>
            <w:fldChar w:fldCharType="end"/>
          </w:r>
        </w:p>
        <w:p>
          <w:pPr>
            <w:pStyle w:val="14"/>
            <w:tabs>
              <w:tab w:val="right" w:leader="dot" w:pos="8306"/>
            </w:tabs>
            <w:rPr>
              <w:sz w:val="28"/>
              <w:szCs w:val="28"/>
            </w:rPr>
          </w:pPr>
          <w:r>
            <w:rPr>
              <w:rFonts w:hint="default"/>
              <w:sz w:val="28"/>
              <w:szCs w:val="48"/>
              <w:lang w:val="en-US" w:eastAsia="zh-CN"/>
            </w:rPr>
            <w:fldChar w:fldCharType="begin"/>
          </w:r>
          <w:r>
            <w:rPr>
              <w:rFonts w:hint="default"/>
              <w:sz w:val="28"/>
              <w:szCs w:val="48"/>
              <w:lang w:val="en-US" w:eastAsia="zh-CN"/>
            </w:rPr>
            <w:instrText xml:space="preserve"> HYPERLINK \l _Toc14949 </w:instrText>
          </w:r>
          <w:r>
            <w:rPr>
              <w:rFonts w:hint="default"/>
              <w:sz w:val="28"/>
              <w:szCs w:val="48"/>
              <w:lang w:val="en-US" w:eastAsia="zh-CN"/>
            </w:rPr>
            <w:fldChar w:fldCharType="separate"/>
          </w:r>
          <w:r>
            <w:rPr>
              <w:rFonts w:hint="eastAsia"/>
              <w:sz w:val="28"/>
              <w:szCs w:val="36"/>
              <w:lang w:val="en-US" w:eastAsia="zh-CN"/>
            </w:rPr>
            <w:t>六</w:t>
          </w:r>
          <w:r>
            <w:rPr>
              <w:rFonts w:hint="eastAsia"/>
              <w:sz w:val="28"/>
              <w:szCs w:val="36"/>
            </w:rPr>
            <w:t>、预调查测量过程</w:t>
          </w:r>
          <w:r>
            <w:rPr>
              <w:sz w:val="28"/>
              <w:szCs w:val="28"/>
            </w:rPr>
            <w:tab/>
          </w:r>
          <w:r>
            <w:rPr>
              <w:sz w:val="28"/>
              <w:szCs w:val="28"/>
            </w:rPr>
            <w:fldChar w:fldCharType="begin"/>
          </w:r>
          <w:r>
            <w:rPr>
              <w:sz w:val="28"/>
              <w:szCs w:val="28"/>
            </w:rPr>
            <w:instrText xml:space="preserve"> PAGEREF _Toc14949 </w:instrText>
          </w:r>
          <w:r>
            <w:rPr>
              <w:sz w:val="28"/>
              <w:szCs w:val="28"/>
            </w:rPr>
            <w:fldChar w:fldCharType="separate"/>
          </w:r>
          <w:r>
            <w:rPr>
              <w:sz w:val="28"/>
              <w:szCs w:val="28"/>
            </w:rPr>
            <w:t>5</w:t>
          </w:r>
          <w:r>
            <w:rPr>
              <w:sz w:val="28"/>
              <w:szCs w:val="28"/>
            </w:rPr>
            <w:fldChar w:fldCharType="end"/>
          </w:r>
          <w:r>
            <w:rPr>
              <w:rFonts w:hint="default"/>
              <w:sz w:val="28"/>
              <w:szCs w:val="48"/>
              <w:lang w:val="en-US" w:eastAsia="zh-CN"/>
            </w:rPr>
            <w:fldChar w:fldCharType="end"/>
          </w:r>
        </w:p>
        <w:p>
          <w:pPr>
            <w:pStyle w:val="14"/>
            <w:tabs>
              <w:tab w:val="right" w:leader="dot" w:pos="8306"/>
            </w:tabs>
            <w:rPr>
              <w:sz w:val="28"/>
              <w:szCs w:val="28"/>
            </w:rPr>
          </w:pPr>
          <w:r>
            <w:rPr>
              <w:rFonts w:hint="default"/>
              <w:sz w:val="28"/>
              <w:szCs w:val="48"/>
              <w:lang w:val="en-US" w:eastAsia="zh-CN"/>
            </w:rPr>
            <w:fldChar w:fldCharType="begin"/>
          </w:r>
          <w:r>
            <w:rPr>
              <w:rFonts w:hint="default"/>
              <w:sz w:val="28"/>
              <w:szCs w:val="48"/>
              <w:lang w:val="en-US" w:eastAsia="zh-CN"/>
            </w:rPr>
            <w:instrText xml:space="preserve"> HYPERLINK \l _Toc19035 </w:instrText>
          </w:r>
          <w:r>
            <w:rPr>
              <w:rFonts w:hint="default"/>
              <w:sz w:val="28"/>
              <w:szCs w:val="48"/>
              <w:lang w:val="en-US" w:eastAsia="zh-CN"/>
            </w:rPr>
            <w:fldChar w:fldCharType="separate"/>
          </w:r>
          <w:r>
            <w:rPr>
              <w:rFonts w:hint="eastAsia"/>
              <w:sz w:val="28"/>
              <w:szCs w:val="36"/>
              <w:lang w:val="en-US" w:eastAsia="zh-CN"/>
            </w:rPr>
            <w:t>七</w:t>
          </w:r>
          <w:r>
            <w:rPr>
              <w:rFonts w:hint="eastAsia"/>
              <w:sz w:val="28"/>
              <w:szCs w:val="36"/>
            </w:rPr>
            <w:t>、问题的分析及解决方案</w:t>
          </w:r>
          <w:r>
            <w:rPr>
              <w:sz w:val="28"/>
              <w:szCs w:val="28"/>
            </w:rPr>
            <w:tab/>
          </w:r>
          <w:r>
            <w:rPr>
              <w:sz w:val="28"/>
              <w:szCs w:val="28"/>
            </w:rPr>
            <w:fldChar w:fldCharType="begin"/>
          </w:r>
          <w:r>
            <w:rPr>
              <w:sz w:val="28"/>
              <w:szCs w:val="28"/>
            </w:rPr>
            <w:instrText xml:space="preserve"> PAGEREF _Toc19035 </w:instrText>
          </w:r>
          <w:r>
            <w:rPr>
              <w:sz w:val="28"/>
              <w:szCs w:val="28"/>
            </w:rPr>
            <w:fldChar w:fldCharType="separate"/>
          </w:r>
          <w:r>
            <w:rPr>
              <w:sz w:val="28"/>
              <w:szCs w:val="28"/>
            </w:rPr>
            <w:t>6</w:t>
          </w:r>
          <w:r>
            <w:rPr>
              <w:sz w:val="28"/>
              <w:szCs w:val="28"/>
            </w:rPr>
            <w:fldChar w:fldCharType="end"/>
          </w:r>
          <w:r>
            <w:rPr>
              <w:rFonts w:hint="default"/>
              <w:sz w:val="28"/>
              <w:szCs w:val="48"/>
              <w:lang w:val="en-US" w:eastAsia="zh-CN"/>
            </w:rPr>
            <w:fldChar w:fldCharType="end"/>
          </w:r>
        </w:p>
        <w:p>
          <w:pPr>
            <w:pStyle w:val="14"/>
            <w:tabs>
              <w:tab w:val="right" w:leader="dot" w:pos="8306"/>
            </w:tabs>
            <w:rPr>
              <w:sz w:val="28"/>
              <w:szCs w:val="28"/>
            </w:rPr>
          </w:pPr>
          <w:r>
            <w:rPr>
              <w:rFonts w:hint="default"/>
              <w:sz w:val="28"/>
              <w:szCs w:val="48"/>
              <w:lang w:val="en-US" w:eastAsia="zh-CN"/>
            </w:rPr>
            <w:fldChar w:fldCharType="begin"/>
          </w:r>
          <w:r>
            <w:rPr>
              <w:rFonts w:hint="default"/>
              <w:sz w:val="28"/>
              <w:szCs w:val="48"/>
              <w:lang w:val="en-US" w:eastAsia="zh-CN"/>
            </w:rPr>
            <w:instrText xml:space="preserve"> HYPERLINK \l _Toc68 </w:instrText>
          </w:r>
          <w:r>
            <w:rPr>
              <w:rFonts w:hint="default"/>
              <w:sz w:val="28"/>
              <w:szCs w:val="48"/>
              <w:lang w:val="en-US" w:eastAsia="zh-CN"/>
            </w:rPr>
            <w:fldChar w:fldCharType="separate"/>
          </w:r>
          <w:r>
            <w:rPr>
              <w:rFonts w:hint="eastAsia"/>
              <w:sz w:val="28"/>
              <w:szCs w:val="36"/>
              <w:lang w:val="en-US" w:eastAsia="zh-CN"/>
            </w:rPr>
            <w:t>八</w:t>
          </w:r>
          <w:r>
            <w:rPr>
              <w:rFonts w:hint="eastAsia"/>
              <w:sz w:val="28"/>
              <w:szCs w:val="36"/>
            </w:rPr>
            <w:t>、正式调查方案的制定</w:t>
          </w:r>
          <w:r>
            <w:rPr>
              <w:sz w:val="28"/>
              <w:szCs w:val="28"/>
            </w:rPr>
            <w:tab/>
          </w:r>
          <w:r>
            <w:rPr>
              <w:sz w:val="28"/>
              <w:szCs w:val="28"/>
            </w:rPr>
            <w:fldChar w:fldCharType="begin"/>
          </w:r>
          <w:r>
            <w:rPr>
              <w:sz w:val="28"/>
              <w:szCs w:val="28"/>
            </w:rPr>
            <w:instrText xml:space="preserve"> PAGEREF _Toc68 </w:instrText>
          </w:r>
          <w:r>
            <w:rPr>
              <w:sz w:val="28"/>
              <w:szCs w:val="28"/>
            </w:rPr>
            <w:fldChar w:fldCharType="separate"/>
          </w:r>
          <w:r>
            <w:rPr>
              <w:sz w:val="28"/>
              <w:szCs w:val="28"/>
            </w:rPr>
            <w:t>7</w:t>
          </w:r>
          <w:r>
            <w:rPr>
              <w:sz w:val="28"/>
              <w:szCs w:val="28"/>
            </w:rPr>
            <w:fldChar w:fldCharType="end"/>
          </w:r>
          <w:r>
            <w:rPr>
              <w:rFonts w:hint="default"/>
              <w:sz w:val="28"/>
              <w:szCs w:val="48"/>
              <w:lang w:val="en-US" w:eastAsia="zh-CN"/>
            </w:rPr>
            <w:fldChar w:fldCharType="end"/>
          </w:r>
        </w:p>
        <w:p>
          <w:pPr>
            <w:pStyle w:val="14"/>
            <w:tabs>
              <w:tab w:val="right" w:leader="dot" w:pos="8306"/>
            </w:tabs>
            <w:rPr>
              <w:sz w:val="28"/>
              <w:szCs w:val="28"/>
            </w:rPr>
          </w:pPr>
          <w:r>
            <w:rPr>
              <w:rFonts w:hint="default"/>
              <w:sz w:val="28"/>
              <w:szCs w:val="48"/>
              <w:lang w:val="en-US" w:eastAsia="zh-CN"/>
            </w:rPr>
            <w:fldChar w:fldCharType="begin"/>
          </w:r>
          <w:r>
            <w:rPr>
              <w:rFonts w:hint="default"/>
              <w:sz w:val="28"/>
              <w:szCs w:val="48"/>
              <w:lang w:val="en-US" w:eastAsia="zh-CN"/>
            </w:rPr>
            <w:instrText xml:space="preserve"> HYPERLINK \l _Toc9112 </w:instrText>
          </w:r>
          <w:r>
            <w:rPr>
              <w:rFonts w:hint="default"/>
              <w:sz w:val="28"/>
              <w:szCs w:val="48"/>
              <w:lang w:val="en-US" w:eastAsia="zh-CN"/>
            </w:rPr>
            <w:fldChar w:fldCharType="separate"/>
          </w:r>
          <w:r>
            <w:rPr>
              <w:rFonts w:hint="eastAsia"/>
              <w:sz w:val="28"/>
              <w:szCs w:val="36"/>
              <w:lang w:val="en-US" w:eastAsia="zh-CN"/>
            </w:rPr>
            <w:t>九</w:t>
          </w:r>
          <w:r>
            <w:rPr>
              <w:rFonts w:hint="eastAsia"/>
              <w:sz w:val="28"/>
              <w:szCs w:val="36"/>
            </w:rPr>
            <w:t>、注意事项</w:t>
          </w:r>
          <w:r>
            <w:rPr>
              <w:sz w:val="28"/>
              <w:szCs w:val="28"/>
            </w:rPr>
            <w:tab/>
          </w:r>
          <w:r>
            <w:rPr>
              <w:sz w:val="28"/>
              <w:szCs w:val="28"/>
            </w:rPr>
            <w:fldChar w:fldCharType="begin"/>
          </w:r>
          <w:r>
            <w:rPr>
              <w:sz w:val="28"/>
              <w:szCs w:val="28"/>
            </w:rPr>
            <w:instrText xml:space="preserve"> PAGEREF _Toc9112 </w:instrText>
          </w:r>
          <w:r>
            <w:rPr>
              <w:sz w:val="28"/>
              <w:szCs w:val="28"/>
            </w:rPr>
            <w:fldChar w:fldCharType="separate"/>
          </w:r>
          <w:r>
            <w:rPr>
              <w:sz w:val="28"/>
              <w:szCs w:val="28"/>
            </w:rPr>
            <w:t>9</w:t>
          </w:r>
          <w:r>
            <w:rPr>
              <w:sz w:val="28"/>
              <w:szCs w:val="28"/>
            </w:rPr>
            <w:fldChar w:fldCharType="end"/>
          </w:r>
          <w:r>
            <w:rPr>
              <w:rFonts w:hint="default"/>
              <w:sz w:val="28"/>
              <w:szCs w:val="48"/>
              <w:lang w:val="en-US" w:eastAsia="zh-CN"/>
            </w:rPr>
            <w:fldChar w:fldCharType="end"/>
          </w:r>
        </w:p>
        <w:p>
          <w:pPr>
            <w:rPr>
              <w:rFonts w:hint="default" w:asciiTheme="minorHAnsi" w:hAnsiTheme="minorHAnsi" w:eastAsiaTheme="minorEastAsia" w:cstheme="minorBidi"/>
              <w:kern w:val="2"/>
              <w:sz w:val="21"/>
              <w:szCs w:val="32"/>
              <w:lang w:val="en-US" w:eastAsia="zh-CN" w:bidi="ar-SA"/>
            </w:rPr>
            <w:sectPr>
              <w:pgSz w:w="11906" w:h="16838"/>
              <w:pgMar w:top="1440" w:right="1800" w:bottom="1440" w:left="1800" w:header="851" w:footer="992" w:gutter="0"/>
              <w:cols w:space="425" w:num="1"/>
              <w:docGrid w:type="lines" w:linePitch="312" w:charSpace="0"/>
            </w:sectPr>
          </w:pPr>
          <w:r>
            <w:rPr>
              <w:rFonts w:hint="default"/>
              <w:sz w:val="32"/>
              <w:szCs w:val="48"/>
              <w:lang w:val="en-US" w:eastAsia="zh-CN"/>
            </w:rPr>
            <w:fldChar w:fldCharType="end"/>
          </w:r>
        </w:p>
      </w:sdtContent>
    </w:sdt>
    <w:p>
      <w:pPr>
        <w:pStyle w:val="4"/>
        <w:bidi w:val="0"/>
        <w:rPr>
          <w:rFonts w:hint="eastAsia"/>
          <w:sz w:val="24"/>
          <w:szCs w:val="22"/>
          <w:lang w:val="en-US" w:eastAsia="zh-CN"/>
        </w:rPr>
      </w:pPr>
      <w:bookmarkStart w:id="0" w:name="_Toc32400"/>
      <w:r>
        <w:rPr>
          <w:rFonts w:hint="eastAsia"/>
          <w:sz w:val="24"/>
          <w:szCs w:val="22"/>
          <w:lang w:val="en-US" w:eastAsia="zh-CN"/>
        </w:rPr>
        <w:t>一、调查背景</w:t>
      </w:r>
      <w:bookmarkEnd w:id="0"/>
    </w:p>
    <w:p>
      <w:pPr>
        <w:numPr>
          <w:numId w:val="0"/>
        </w:numPr>
        <w:spacing w:line="276" w:lineRule="auto"/>
        <w:ind w:firstLine="480"/>
        <w:rPr>
          <w:rFonts w:hint="eastAsia" w:asciiTheme="minorEastAsia" w:hAnsiTheme="minorEastAsia" w:cstheme="minorEastAsia"/>
          <w:i w:val="0"/>
          <w:caps w:val="0"/>
          <w:color w:val="333333"/>
          <w:spacing w:val="0"/>
          <w:sz w:val="24"/>
          <w:szCs w:val="24"/>
          <w:shd w:val="clear" w:fill="FFFFFF"/>
          <w:lang w:val="en-US" w:eastAsia="zh-CN"/>
        </w:rPr>
      </w:pPr>
      <w:r>
        <w:rPr>
          <w:rFonts w:hint="eastAsia"/>
          <w:b w:val="0"/>
          <w:bCs w:val="0"/>
          <w:sz w:val="24"/>
          <w:lang w:val="en-US" w:eastAsia="zh-CN"/>
        </w:rPr>
        <w:t>交通量作为是交通工程学的三大基本要素之一，</w:t>
      </w:r>
      <w:r>
        <w:rPr>
          <w:rFonts w:hint="eastAsia" w:asciiTheme="minorEastAsia" w:hAnsiTheme="minorEastAsia" w:eastAsiaTheme="minorEastAsia" w:cstheme="minorEastAsia"/>
          <w:i w:val="0"/>
          <w:caps w:val="0"/>
          <w:color w:val="333333"/>
          <w:spacing w:val="0"/>
          <w:sz w:val="24"/>
          <w:szCs w:val="24"/>
          <w:shd w:val="clear" w:fill="FFFFFF"/>
        </w:rPr>
        <w:t>指在单位时间内，通过道路上的某一地点或者某一断面实际参与交通的参与者的数量。又称作交通流量或者流量。参与者包括</w:t>
      </w:r>
      <w:r>
        <w:rPr>
          <w:rFonts w:hint="eastAsia" w:asciiTheme="minorEastAsia" w:hAnsiTheme="minorEastAsia" w:eastAsiaTheme="minorEastAsia" w:cstheme="minorEastAsia"/>
          <w:i w:val="0"/>
          <w:caps w:val="0"/>
          <w:color w:val="136EC2"/>
          <w:spacing w:val="0"/>
          <w:sz w:val="24"/>
          <w:szCs w:val="24"/>
          <w:u w:val="none"/>
          <w:bdr w:val="none" w:color="auto" w:sz="0" w:space="0"/>
          <w:shd w:val="clear" w:fill="FFFFFF"/>
        </w:rPr>
        <w:fldChar w:fldCharType="begin"/>
      </w:r>
      <w:r>
        <w:rPr>
          <w:rFonts w:hint="eastAsia" w:asciiTheme="minorEastAsia" w:hAnsiTheme="minorEastAsia" w:eastAsiaTheme="minorEastAsia" w:cstheme="minorEastAsia"/>
          <w:i w:val="0"/>
          <w:caps w:val="0"/>
          <w:color w:val="136EC2"/>
          <w:spacing w:val="0"/>
          <w:sz w:val="24"/>
          <w:szCs w:val="24"/>
          <w:u w:val="none"/>
          <w:bdr w:val="none" w:color="auto" w:sz="0" w:space="0"/>
          <w:shd w:val="clear" w:fill="FFFFFF"/>
        </w:rPr>
        <w:instrText xml:space="preserve"> HYPERLINK "https://baike.so.com/doc/1038253-1098144.html" \t "https://baike.so.com/doc/_blank" </w:instrText>
      </w:r>
      <w:r>
        <w:rPr>
          <w:rFonts w:hint="eastAsia" w:asciiTheme="minorEastAsia" w:hAnsiTheme="minorEastAsia" w:eastAsiaTheme="minorEastAsia" w:cstheme="minorEastAsia"/>
          <w:i w:val="0"/>
          <w:caps w:val="0"/>
          <w:color w:val="136EC2"/>
          <w:spacing w:val="0"/>
          <w:sz w:val="24"/>
          <w:szCs w:val="24"/>
          <w:u w:val="none"/>
          <w:bdr w:val="none" w:color="auto" w:sz="0" w:space="0"/>
          <w:shd w:val="clear" w:fill="FFFFFF"/>
        </w:rPr>
        <w:fldChar w:fldCharType="separate"/>
      </w:r>
      <w:r>
        <w:rPr>
          <w:rStyle w:val="10"/>
          <w:rFonts w:hint="eastAsia" w:asciiTheme="minorEastAsia" w:hAnsiTheme="minorEastAsia" w:eastAsiaTheme="minorEastAsia" w:cstheme="minorEastAsia"/>
          <w:i w:val="0"/>
          <w:caps w:val="0"/>
          <w:color w:val="136EC2"/>
          <w:spacing w:val="0"/>
          <w:sz w:val="24"/>
          <w:szCs w:val="24"/>
          <w:u w:val="none"/>
          <w:bdr w:val="none" w:color="auto" w:sz="0" w:space="0"/>
          <w:shd w:val="clear" w:fill="FFFFFF"/>
        </w:rPr>
        <w:t>机动车</w:t>
      </w:r>
      <w:r>
        <w:rPr>
          <w:rFonts w:hint="eastAsia" w:asciiTheme="minorEastAsia" w:hAnsiTheme="minorEastAsia" w:eastAsiaTheme="minorEastAsia" w:cstheme="minorEastAsia"/>
          <w:i w:val="0"/>
          <w:caps w:val="0"/>
          <w:color w:val="136EC2"/>
          <w:spacing w:val="0"/>
          <w:sz w:val="24"/>
          <w:szCs w:val="24"/>
          <w:u w:val="none"/>
          <w:bdr w:val="none" w:color="auto" w:sz="0" w:space="0"/>
          <w:shd w:val="clear" w:fill="FFFFFF"/>
        </w:rPr>
        <w:fldChar w:fldCharType="end"/>
      </w:r>
      <w:r>
        <w:rPr>
          <w:rFonts w:hint="eastAsia" w:asciiTheme="minorEastAsia" w:hAnsiTheme="minorEastAsia" w:eastAsiaTheme="minorEastAsia" w:cstheme="minorEastAsia"/>
          <w:i w:val="0"/>
          <w:caps w:val="0"/>
          <w:color w:val="333333"/>
          <w:spacing w:val="0"/>
          <w:sz w:val="24"/>
          <w:szCs w:val="24"/>
          <w:shd w:val="clear" w:fill="FFFFFF"/>
        </w:rPr>
        <w:t>、</w:t>
      </w:r>
      <w:r>
        <w:rPr>
          <w:rFonts w:hint="eastAsia" w:asciiTheme="minorEastAsia" w:hAnsiTheme="minorEastAsia" w:eastAsiaTheme="minorEastAsia" w:cstheme="minorEastAsia"/>
          <w:i w:val="0"/>
          <w:caps w:val="0"/>
          <w:color w:val="136EC2"/>
          <w:spacing w:val="0"/>
          <w:sz w:val="24"/>
          <w:szCs w:val="24"/>
          <w:u w:val="none"/>
          <w:bdr w:val="none" w:color="auto" w:sz="0" w:space="0"/>
          <w:shd w:val="clear" w:fill="FFFFFF"/>
        </w:rPr>
        <w:fldChar w:fldCharType="begin"/>
      </w:r>
      <w:r>
        <w:rPr>
          <w:rFonts w:hint="eastAsia" w:asciiTheme="minorEastAsia" w:hAnsiTheme="minorEastAsia" w:eastAsiaTheme="minorEastAsia" w:cstheme="minorEastAsia"/>
          <w:i w:val="0"/>
          <w:caps w:val="0"/>
          <w:color w:val="136EC2"/>
          <w:spacing w:val="0"/>
          <w:sz w:val="24"/>
          <w:szCs w:val="24"/>
          <w:u w:val="none"/>
          <w:bdr w:val="none" w:color="auto" w:sz="0" w:space="0"/>
          <w:shd w:val="clear" w:fill="FFFFFF"/>
        </w:rPr>
        <w:instrText xml:space="preserve"> HYPERLINK "https://baike.so.com/doc/5631540-5844164.html" \t "https://baike.so.com/doc/_blank" </w:instrText>
      </w:r>
      <w:r>
        <w:rPr>
          <w:rFonts w:hint="eastAsia" w:asciiTheme="minorEastAsia" w:hAnsiTheme="minorEastAsia" w:eastAsiaTheme="minorEastAsia" w:cstheme="minorEastAsia"/>
          <w:i w:val="0"/>
          <w:caps w:val="0"/>
          <w:color w:val="136EC2"/>
          <w:spacing w:val="0"/>
          <w:sz w:val="24"/>
          <w:szCs w:val="24"/>
          <w:u w:val="none"/>
          <w:bdr w:val="none" w:color="auto" w:sz="0" w:space="0"/>
          <w:shd w:val="clear" w:fill="FFFFFF"/>
        </w:rPr>
        <w:fldChar w:fldCharType="separate"/>
      </w:r>
      <w:r>
        <w:rPr>
          <w:rStyle w:val="10"/>
          <w:rFonts w:hint="eastAsia" w:asciiTheme="minorEastAsia" w:hAnsiTheme="minorEastAsia" w:eastAsiaTheme="minorEastAsia" w:cstheme="minorEastAsia"/>
          <w:i w:val="0"/>
          <w:caps w:val="0"/>
          <w:color w:val="136EC2"/>
          <w:spacing w:val="0"/>
          <w:sz w:val="24"/>
          <w:szCs w:val="24"/>
          <w:u w:val="none"/>
          <w:bdr w:val="none" w:color="auto" w:sz="0" w:space="0"/>
          <w:shd w:val="clear" w:fill="FFFFFF"/>
        </w:rPr>
        <w:t>非机动车</w:t>
      </w:r>
      <w:r>
        <w:rPr>
          <w:rFonts w:hint="eastAsia" w:asciiTheme="minorEastAsia" w:hAnsiTheme="minorEastAsia" w:eastAsiaTheme="minorEastAsia" w:cstheme="minorEastAsia"/>
          <w:i w:val="0"/>
          <w:caps w:val="0"/>
          <w:color w:val="136EC2"/>
          <w:spacing w:val="0"/>
          <w:sz w:val="24"/>
          <w:szCs w:val="24"/>
          <w:u w:val="none"/>
          <w:bdr w:val="none" w:color="auto" w:sz="0" w:space="0"/>
          <w:shd w:val="clear" w:fill="FFFFFF"/>
        </w:rPr>
        <w:fldChar w:fldCharType="end"/>
      </w:r>
      <w:r>
        <w:rPr>
          <w:rFonts w:hint="eastAsia" w:asciiTheme="minorEastAsia" w:hAnsiTheme="minorEastAsia" w:eastAsiaTheme="minorEastAsia" w:cstheme="minorEastAsia"/>
          <w:i w:val="0"/>
          <w:caps w:val="0"/>
          <w:color w:val="333333"/>
          <w:spacing w:val="0"/>
          <w:sz w:val="24"/>
          <w:szCs w:val="24"/>
          <w:shd w:val="clear" w:fill="FFFFFF"/>
        </w:rPr>
        <w:t>和行人，因而交通量可分为机动车交通量、非机动车交通量和行人交通量。但在没有特殊说明的情况下，交通量都是指机动车交通量，并且是指单位时间内来去两个方向上的车辆数。是道路截面实际通行能力的测算指标，也是道路分级和确定道路等级的主要依据。</w:t>
      </w:r>
      <w:r>
        <w:rPr>
          <w:rFonts w:hint="eastAsia" w:asciiTheme="minorEastAsia" w:hAnsiTheme="minorEastAsia" w:cstheme="minorEastAsia"/>
          <w:i w:val="0"/>
          <w:caps w:val="0"/>
          <w:color w:val="333333"/>
          <w:spacing w:val="0"/>
          <w:sz w:val="24"/>
          <w:szCs w:val="24"/>
          <w:shd w:val="clear" w:fill="FFFFFF"/>
          <w:lang w:val="en-US" w:eastAsia="zh-CN"/>
        </w:rPr>
        <w:t>因此在交通工程中具有重要定位。</w:t>
      </w:r>
    </w:p>
    <w:p>
      <w:pPr>
        <w:numPr>
          <w:numId w:val="0"/>
        </w:numPr>
        <w:spacing w:line="276" w:lineRule="auto"/>
        <w:ind w:firstLine="480"/>
        <w:rPr>
          <w:rFonts w:hint="eastAsia" w:asciiTheme="minorEastAsia" w:hAnsiTheme="minorEastAsia" w:cstheme="minorEastAsia"/>
          <w:i w:val="0"/>
          <w:caps w:val="0"/>
          <w:color w:val="333333"/>
          <w:spacing w:val="0"/>
          <w:sz w:val="24"/>
          <w:szCs w:val="24"/>
          <w:shd w:val="clear" w:fill="FFFFFF"/>
          <w:lang w:val="en-US" w:eastAsia="zh-CN"/>
        </w:rPr>
      </w:pPr>
      <w:r>
        <w:rPr>
          <w:rFonts w:hint="eastAsia" w:asciiTheme="minorEastAsia" w:hAnsiTheme="minorEastAsia" w:cstheme="minorEastAsia"/>
          <w:i w:val="0"/>
          <w:caps w:val="0"/>
          <w:color w:val="333333"/>
          <w:spacing w:val="0"/>
          <w:sz w:val="24"/>
          <w:szCs w:val="24"/>
          <w:shd w:val="clear" w:fill="FFFFFF"/>
          <w:lang w:val="en-US" w:eastAsia="zh-CN"/>
        </w:rPr>
        <w:t>本次调查主要针对机动车交通量，旨在得到科学准确的交叉口交通量数据，为其他组的调查奠定一定的基础，同时对防控车流拥堵情况具有积极意义。</w:t>
      </w:r>
    </w:p>
    <w:p>
      <w:pPr>
        <w:numPr>
          <w:numId w:val="0"/>
        </w:numPr>
        <w:spacing w:line="276" w:lineRule="auto"/>
        <w:ind w:firstLine="480"/>
        <w:rPr>
          <w:rFonts w:hint="default" w:asciiTheme="minorEastAsia" w:hAnsiTheme="minorEastAsia" w:cstheme="minorEastAsia"/>
          <w:i w:val="0"/>
          <w:caps w:val="0"/>
          <w:color w:val="333333"/>
          <w:spacing w:val="0"/>
          <w:sz w:val="24"/>
          <w:szCs w:val="24"/>
          <w:shd w:val="clear" w:fill="FFFFFF"/>
          <w:lang w:val="en-US" w:eastAsia="zh-CN"/>
        </w:rPr>
      </w:pPr>
    </w:p>
    <w:p>
      <w:pPr>
        <w:pStyle w:val="4"/>
        <w:bidi w:val="0"/>
        <w:outlineLvl w:val="0"/>
        <w:rPr>
          <w:rFonts w:hint="eastAsia"/>
          <w:sz w:val="24"/>
          <w:szCs w:val="22"/>
          <w:lang w:val="en-US" w:eastAsia="zh-CN"/>
        </w:rPr>
      </w:pPr>
      <w:bookmarkStart w:id="1" w:name="_Toc25591"/>
      <w:r>
        <w:rPr>
          <w:rFonts w:hint="eastAsia"/>
          <w:sz w:val="24"/>
          <w:szCs w:val="22"/>
          <w:lang w:val="en-US" w:eastAsia="zh-CN"/>
        </w:rPr>
        <w:t>二</w:t>
      </w:r>
      <w:r>
        <w:rPr>
          <w:rFonts w:hint="eastAsia"/>
          <w:sz w:val="24"/>
          <w:szCs w:val="22"/>
        </w:rPr>
        <w:t>、调查人员组成</w:t>
      </w:r>
      <w:bookmarkEnd w:id="1"/>
    </w:p>
    <w:p>
      <w:pPr>
        <w:spacing w:line="276" w:lineRule="auto"/>
        <w:ind w:firstLine="480" w:firstLineChars="200"/>
        <w:rPr>
          <w:sz w:val="24"/>
        </w:rPr>
      </w:pPr>
      <w:r>
        <w:rPr>
          <w:rFonts w:hint="eastAsia"/>
          <w:sz w:val="24"/>
        </w:rPr>
        <w:t>本调查组由四个小组组成，每个小组的小组长担任交通量调查这一个大组的副组长</w:t>
      </w:r>
      <w:r>
        <w:rPr>
          <w:rFonts w:hint="eastAsia"/>
          <w:sz w:val="24"/>
          <w:lang w:val="en-US" w:eastAsia="zh-CN"/>
        </w:rPr>
        <w:t>。</w:t>
      </w:r>
      <w:r>
        <w:rPr>
          <w:rFonts w:hint="eastAsia"/>
          <w:sz w:val="24"/>
        </w:rPr>
        <w:t>以下为调查成员名单：</w:t>
      </w:r>
    </w:p>
    <w:tbl>
      <w:tblPr>
        <w:tblStyle w:val="8"/>
        <w:tblpPr w:leftFromText="180" w:rightFromText="180" w:vertAnchor="text" w:horzAnchor="page" w:tblpX="1767" w:tblpY="86"/>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spacing w:line="276" w:lineRule="auto"/>
              <w:jc w:val="center"/>
              <w:rPr>
                <w:b/>
                <w:bCs/>
                <w:sz w:val="24"/>
              </w:rPr>
            </w:pPr>
            <w:r>
              <w:rPr>
                <w:b/>
                <w:bCs/>
                <w:sz w:val="24"/>
              </w:rPr>
              <w:t>张洲</w:t>
            </w:r>
          </w:p>
        </w:tc>
        <w:tc>
          <w:tcPr>
            <w:tcW w:w="2130" w:type="dxa"/>
          </w:tcPr>
          <w:p>
            <w:pPr>
              <w:spacing w:line="276" w:lineRule="auto"/>
              <w:jc w:val="center"/>
              <w:rPr>
                <w:sz w:val="24"/>
              </w:rPr>
            </w:pPr>
            <w:r>
              <w:rPr>
                <w:b/>
                <w:bCs/>
                <w:sz w:val="24"/>
              </w:rPr>
              <w:t>张麒</w:t>
            </w:r>
          </w:p>
        </w:tc>
        <w:tc>
          <w:tcPr>
            <w:tcW w:w="2131" w:type="dxa"/>
          </w:tcPr>
          <w:p>
            <w:pPr>
              <w:spacing w:line="276" w:lineRule="auto"/>
              <w:jc w:val="center"/>
              <w:rPr>
                <w:sz w:val="24"/>
              </w:rPr>
            </w:pPr>
            <w:r>
              <w:rPr>
                <w:b/>
                <w:bCs/>
                <w:sz w:val="24"/>
              </w:rPr>
              <w:t>杨翔宇</w:t>
            </w:r>
          </w:p>
        </w:tc>
        <w:tc>
          <w:tcPr>
            <w:tcW w:w="2131" w:type="dxa"/>
          </w:tcPr>
          <w:p>
            <w:pPr>
              <w:spacing w:line="276" w:lineRule="auto"/>
              <w:jc w:val="center"/>
              <w:rPr>
                <w:sz w:val="24"/>
              </w:rPr>
            </w:pPr>
            <w:r>
              <w:rPr>
                <w:b/>
                <w:bCs/>
                <w:sz w:val="24"/>
              </w:rPr>
              <w:t>陈心怡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spacing w:line="276" w:lineRule="auto"/>
              <w:jc w:val="center"/>
              <w:rPr>
                <w:sz w:val="24"/>
              </w:rPr>
            </w:pPr>
            <w:r>
              <w:rPr>
                <w:sz w:val="24"/>
              </w:rPr>
              <w:t>李曼妮</w:t>
            </w:r>
          </w:p>
        </w:tc>
        <w:tc>
          <w:tcPr>
            <w:tcW w:w="2130" w:type="dxa"/>
          </w:tcPr>
          <w:p>
            <w:pPr>
              <w:spacing w:line="276" w:lineRule="auto"/>
              <w:jc w:val="center"/>
              <w:rPr>
                <w:sz w:val="24"/>
              </w:rPr>
            </w:pPr>
            <w:r>
              <w:rPr>
                <w:sz w:val="24"/>
              </w:rPr>
              <w:t>张丽涛</w:t>
            </w:r>
          </w:p>
        </w:tc>
        <w:tc>
          <w:tcPr>
            <w:tcW w:w="2131" w:type="dxa"/>
          </w:tcPr>
          <w:p>
            <w:pPr>
              <w:spacing w:line="276" w:lineRule="auto"/>
              <w:jc w:val="center"/>
              <w:rPr>
                <w:sz w:val="24"/>
              </w:rPr>
            </w:pPr>
            <w:r>
              <w:rPr>
                <w:sz w:val="24"/>
              </w:rPr>
              <w:t>王其超</w:t>
            </w:r>
          </w:p>
        </w:tc>
        <w:tc>
          <w:tcPr>
            <w:tcW w:w="2131" w:type="dxa"/>
          </w:tcPr>
          <w:p>
            <w:pPr>
              <w:spacing w:line="276" w:lineRule="auto"/>
              <w:jc w:val="center"/>
              <w:rPr>
                <w:sz w:val="24"/>
              </w:rPr>
            </w:pPr>
            <w:r>
              <w:rPr>
                <w:sz w:val="24"/>
              </w:rPr>
              <w:t>陈彦蓉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spacing w:line="276" w:lineRule="auto"/>
              <w:jc w:val="center"/>
              <w:rPr>
                <w:sz w:val="24"/>
              </w:rPr>
            </w:pPr>
            <w:r>
              <w:rPr>
                <w:sz w:val="24"/>
              </w:rPr>
              <w:t>赖雨梦</w:t>
            </w:r>
          </w:p>
        </w:tc>
        <w:tc>
          <w:tcPr>
            <w:tcW w:w="2130" w:type="dxa"/>
          </w:tcPr>
          <w:p>
            <w:pPr>
              <w:spacing w:line="276" w:lineRule="auto"/>
              <w:jc w:val="center"/>
              <w:rPr>
                <w:sz w:val="24"/>
              </w:rPr>
            </w:pPr>
            <w:r>
              <w:rPr>
                <w:sz w:val="24"/>
              </w:rPr>
              <w:t>吴玉冰</w:t>
            </w:r>
          </w:p>
        </w:tc>
        <w:tc>
          <w:tcPr>
            <w:tcW w:w="2131" w:type="dxa"/>
          </w:tcPr>
          <w:p>
            <w:pPr>
              <w:spacing w:line="276" w:lineRule="auto"/>
              <w:jc w:val="center"/>
              <w:rPr>
                <w:sz w:val="24"/>
              </w:rPr>
            </w:pPr>
            <w:r>
              <w:rPr>
                <w:sz w:val="24"/>
              </w:rPr>
              <w:t>张雨田</w:t>
            </w:r>
          </w:p>
        </w:tc>
        <w:tc>
          <w:tcPr>
            <w:tcW w:w="2131" w:type="dxa"/>
          </w:tcPr>
          <w:p>
            <w:pPr>
              <w:spacing w:line="276" w:lineRule="auto"/>
              <w:jc w:val="center"/>
              <w:rPr>
                <w:sz w:val="24"/>
              </w:rPr>
            </w:pPr>
            <w:r>
              <w:rPr>
                <w:sz w:val="24"/>
              </w:rPr>
              <w:t>黄思娴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spacing w:line="276" w:lineRule="auto"/>
              <w:jc w:val="center"/>
              <w:rPr>
                <w:sz w:val="24"/>
              </w:rPr>
            </w:pPr>
            <w:r>
              <w:rPr>
                <w:sz w:val="24"/>
              </w:rPr>
              <w:t>黄孜颖</w:t>
            </w:r>
          </w:p>
        </w:tc>
        <w:tc>
          <w:tcPr>
            <w:tcW w:w="2130" w:type="dxa"/>
          </w:tcPr>
          <w:p>
            <w:pPr>
              <w:spacing w:line="276" w:lineRule="auto"/>
              <w:jc w:val="center"/>
              <w:rPr>
                <w:sz w:val="24"/>
              </w:rPr>
            </w:pPr>
            <w:r>
              <w:rPr>
                <w:sz w:val="24"/>
              </w:rPr>
              <w:t>李浩彬</w:t>
            </w:r>
          </w:p>
        </w:tc>
        <w:tc>
          <w:tcPr>
            <w:tcW w:w="2131" w:type="dxa"/>
          </w:tcPr>
          <w:p>
            <w:pPr>
              <w:spacing w:line="276" w:lineRule="auto"/>
              <w:jc w:val="center"/>
              <w:rPr>
                <w:sz w:val="24"/>
              </w:rPr>
            </w:pPr>
            <w:r>
              <w:rPr>
                <w:sz w:val="24"/>
              </w:rPr>
              <w:t>陈洁颖</w:t>
            </w:r>
          </w:p>
        </w:tc>
        <w:tc>
          <w:tcPr>
            <w:tcW w:w="2131" w:type="dxa"/>
          </w:tcPr>
          <w:p>
            <w:pPr>
              <w:spacing w:line="276" w:lineRule="auto"/>
              <w:jc w:val="center"/>
              <w:rPr>
                <w:sz w:val="24"/>
              </w:rPr>
            </w:pPr>
            <w:r>
              <w:rPr>
                <w:sz w:val="24"/>
              </w:rPr>
              <w:t>陈梦琪</w:t>
            </w:r>
          </w:p>
        </w:tc>
      </w:tr>
    </w:tbl>
    <w:p>
      <w:pPr>
        <w:spacing w:line="276" w:lineRule="auto"/>
        <w:ind w:firstLine="240" w:firstLineChars="100"/>
        <w:jc w:val="both"/>
        <w:rPr>
          <w:rFonts w:hint="eastAsia"/>
          <w:sz w:val="24"/>
        </w:rPr>
      </w:pPr>
      <w:r>
        <w:rPr>
          <w:rFonts w:hint="eastAsia"/>
          <w:sz w:val="24"/>
        </w:rPr>
        <w:t>（注：加粗的人员名字为副组长，张洲担任本次调查任务组的组长）</w:t>
      </w:r>
    </w:p>
    <w:p>
      <w:pPr>
        <w:spacing w:line="276" w:lineRule="auto"/>
        <w:jc w:val="both"/>
        <w:rPr>
          <w:rFonts w:hint="eastAsia"/>
          <w:b/>
          <w:bCs/>
          <w:sz w:val="24"/>
        </w:rPr>
      </w:pPr>
    </w:p>
    <w:p>
      <w:pPr>
        <w:pStyle w:val="4"/>
        <w:bidi w:val="0"/>
        <w:outlineLvl w:val="0"/>
        <w:rPr>
          <w:sz w:val="24"/>
          <w:szCs w:val="22"/>
        </w:rPr>
      </w:pPr>
      <w:bookmarkStart w:id="2" w:name="_Toc20913"/>
      <w:r>
        <w:rPr>
          <w:rFonts w:hint="eastAsia"/>
          <w:sz w:val="24"/>
          <w:szCs w:val="22"/>
          <w:lang w:val="en-US" w:eastAsia="zh-CN"/>
        </w:rPr>
        <w:t>三</w:t>
      </w:r>
      <w:r>
        <w:rPr>
          <w:rFonts w:hint="eastAsia"/>
          <w:sz w:val="24"/>
          <w:szCs w:val="22"/>
        </w:rPr>
        <w:t>、调查交叉口简介</w:t>
      </w:r>
      <w:bookmarkEnd w:id="2"/>
    </w:p>
    <w:p>
      <w:pPr>
        <w:jc w:val="center"/>
        <w:rPr>
          <w:sz w:val="24"/>
        </w:rPr>
      </w:pPr>
      <w:r>
        <w:rPr>
          <w:sz w:val="20"/>
          <w:szCs w:val="22"/>
        </w:rPr>
        <w:drawing>
          <wp:inline distT="0" distB="0" distL="114300" distR="114300">
            <wp:extent cx="5270500" cy="2625725"/>
            <wp:effectExtent l="0" t="0" r="0" b="3175"/>
            <wp:docPr id="1" name="图片 3" descr="C:\Documents and Settings\Administrator\Application Data\Tencent\Users\838370494\QQ\WinTemp\RichOle\M4V329}P4T0~03]JEWFDW2J.jpg"/>
            <wp:cNvGraphicFramePr/>
            <a:graphic xmlns:a="http://schemas.openxmlformats.org/drawingml/2006/main">
              <a:graphicData uri="http://schemas.openxmlformats.org/drawingml/2006/picture">
                <pic:pic xmlns:pic="http://schemas.openxmlformats.org/drawingml/2006/picture">
                  <pic:nvPicPr>
                    <pic:cNvPr id="1" name="图片 3" descr="C:\Documents and Settings\Administrator\Application Data\Tencent\Users\838370494\QQ\WinTemp\RichOle\M4V329}P4T0~03]JEWFDW2J.jpg"/>
                    <pic:cNvPicPr/>
                  </pic:nvPicPr>
                  <pic:blipFill>
                    <a:blip r:embed="rId5" cstate="print"/>
                    <a:srcRect/>
                    <a:stretch>
                      <a:fillRect/>
                    </a:stretch>
                  </pic:blipFill>
                  <pic:spPr>
                    <a:xfrm>
                      <a:off x="0" y="0"/>
                      <a:ext cx="5270992" cy="2625725"/>
                    </a:xfrm>
                    <a:prstGeom prst="rect">
                      <a:avLst/>
                    </a:prstGeom>
                    <a:noFill/>
                    <a:ln w="9525">
                      <a:noFill/>
                      <a:miter lim="800000"/>
                      <a:headEnd/>
                      <a:tailEnd/>
                    </a:ln>
                  </pic:spPr>
                </pic:pic>
              </a:graphicData>
            </a:graphic>
          </wp:inline>
        </w:drawing>
      </w:r>
    </w:p>
    <w:p>
      <w:pPr>
        <w:spacing w:line="276" w:lineRule="auto"/>
        <w:ind w:firstLine="480"/>
        <w:rPr>
          <w:rFonts w:hint="eastAsia" w:asciiTheme="minorEastAsia" w:hAnsiTheme="minorEastAsia"/>
          <w:sz w:val="24"/>
        </w:rPr>
      </w:pPr>
    </w:p>
    <w:p>
      <w:pPr>
        <w:spacing w:line="276" w:lineRule="auto"/>
        <w:ind w:firstLine="480"/>
        <w:rPr>
          <w:rFonts w:asciiTheme="minorEastAsia" w:hAnsiTheme="minorEastAsia"/>
          <w:sz w:val="24"/>
        </w:rPr>
      </w:pPr>
      <w:r>
        <w:rPr>
          <w:rFonts w:hint="eastAsia" w:asciiTheme="minorEastAsia" w:hAnsiTheme="minorEastAsia"/>
          <w:sz w:val="24"/>
        </w:rPr>
        <w:t>本调查口位于车陂路-中山大道交叉口，在交叉口内没有左转车道，只设立了调头车道，同时在交叉口中有右转专用车道，整个交叉口有两个相位，交通通行较为顺畅。</w:t>
      </w:r>
    </w:p>
    <w:p>
      <w:pPr>
        <w:spacing w:line="276" w:lineRule="auto"/>
        <w:ind w:firstLine="480"/>
        <w:rPr>
          <w:rFonts w:hint="eastAsia" w:asciiTheme="minorEastAsia" w:hAnsiTheme="minorEastAsia"/>
          <w:sz w:val="24"/>
          <w:lang w:val="en-US" w:eastAsia="zh-CN"/>
        </w:rPr>
      </w:pPr>
      <w:r>
        <w:rPr>
          <w:rFonts w:hint="eastAsia" w:asciiTheme="minorEastAsia" w:hAnsiTheme="minorEastAsia"/>
          <w:sz w:val="24"/>
        </w:rPr>
        <w:t>车辆组成复杂，且有BRT车辆经过此交叉口，道路宽度为3.75米，车道数（包括右转车道）双向</w:t>
      </w:r>
      <w:r>
        <w:rPr>
          <w:rFonts w:hint="eastAsia" w:asciiTheme="minorEastAsia" w:hAnsiTheme="minorEastAsia"/>
          <w:sz w:val="24"/>
          <w:lang w:val="en-US" w:eastAsia="zh-CN"/>
        </w:rPr>
        <w:t>八</w:t>
      </w:r>
      <w:r>
        <w:rPr>
          <w:rFonts w:hint="eastAsia" w:asciiTheme="minorEastAsia" w:hAnsiTheme="minorEastAsia"/>
          <w:sz w:val="24"/>
        </w:rPr>
        <w:t>车道</w:t>
      </w:r>
      <w:r>
        <w:rPr>
          <w:rFonts w:hint="eastAsia" w:asciiTheme="minorEastAsia" w:hAnsiTheme="minorEastAsia"/>
          <w:sz w:val="24"/>
          <w:lang w:eastAsia="zh-CN"/>
        </w:rPr>
        <w:t>（</w:t>
      </w:r>
      <w:r>
        <w:rPr>
          <w:rFonts w:hint="eastAsia" w:asciiTheme="minorEastAsia" w:hAnsiTheme="minorEastAsia"/>
          <w:sz w:val="24"/>
          <w:lang w:val="en-US" w:eastAsia="zh-CN"/>
        </w:rPr>
        <w:t>进道口5车道，出道口三车道</w:t>
      </w:r>
      <w:r>
        <w:rPr>
          <w:rFonts w:hint="eastAsia" w:asciiTheme="minorEastAsia" w:hAnsiTheme="minorEastAsia"/>
          <w:sz w:val="24"/>
          <w:lang w:eastAsia="zh-CN"/>
        </w:rPr>
        <w:t>）</w:t>
      </w:r>
      <w:r>
        <w:rPr>
          <w:rFonts w:hint="eastAsia" w:asciiTheme="minorEastAsia" w:hAnsiTheme="minorEastAsia"/>
          <w:sz w:val="24"/>
        </w:rPr>
        <w:t>，在四个方向的直行和右转车道上都设置有斑马线。并且在右转车道及直行车道的斑马线之间设有安全岛。</w:t>
      </w:r>
      <w:r>
        <w:rPr>
          <w:rFonts w:hint="eastAsia" w:asciiTheme="minorEastAsia" w:hAnsiTheme="minorEastAsia"/>
          <w:sz w:val="24"/>
          <w:lang w:val="en-US" w:eastAsia="zh-CN"/>
        </w:rPr>
        <w:t>在进入交叉口的位置有调头车道。</w:t>
      </w:r>
    </w:p>
    <w:p>
      <w:pPr>
        <w:spacing w:line="276" w:lineRule="auto"/>
        <w:ind w:firstLine="480"/>
        <w:rPr>
          <w:rFonts w:hint="default" w:asciiTheme="minorEastAsia" w:hAnsiTheme="minorEastAsia"/>
          <w:sz w:val="24"/>
          <w:lang w:val="en-US" w:eastAsia="zh-CN"/>
        </w:rPr>
      </w:pPr>
      <w:r>
        <w:rPr>
          <w:rFonts w:hint="eastAsia" w:asciiTheme="minorEastAsia" w:hAnsiTheme="minorEastAsia"/>
          <w:sz w:val="24"/>
          <w:lang w:val="en-US" w:eastAsia="zh-CN"/>
        </w:rPr>
        <w:t>由于交叉口未设置左转相位，故车流需通过先直行后右转，或者是先右转后直行。所以如果想要计算左转车流，则需在每个出道口尽头的调头车道设置人员进行车牌统计，同时还要有人员计算右转专用车道的车牌，在二者数据统一之后，方可对左转车流进行计算。同时还有个注意点是，在交叉口的西方向尽头没有调头车道，故可不用派人员前去。</w:t>
      </w:r>
    </w:p>
    <w:p>
      <w:pPr>
        <w:spacing w:line="276" w:lineRule="auto"/>
        <w:ind w:firstLine="480"/>
        <w:rPr>
          <w:rFonts w:hint="eastAsia" w:asciiTheme="minorEastAsia" w:hAnsiTheme="minorEastAsia"/>
          <w:sz w:val="24"/>
        </w:rPr>
      </w:pPr>
    </w:p>
    <w:p>
      <w:pPr>
        <w:pStyle w:val="4"/>
        <w:bidi w:val="0"/>
        <w:outlineLvl w:val="0"/>
        <w:rPr>
          <w:rFonts w:hint="eastAsia"/>
          <w:sz w:val="24"/>
          <w:szCs w:val="22"/>
          <w:lang w:val="en-US" w:eastAsia="zh-CN"/>
        </w:rPr>
      </w:pPr>
      <w:bookmarkStart w:id="3" w:name="_Toc8934"/>
      <w:r>
        <w:rPr>
          <w:rFonts w:hint="eastAsia"/>
          <w:sz w:val="24"/>
          <w:szCs w:val="22"/>
          <w:lang w:val="en-US" w:eastAsia="zh-CN"/>
        </w:rPr>
        <w:t>四、调查方向</w:t>
      </w:r>
      <w:bookmarkEnd w:id="3"/>
    </w:p>
    <w:p>
      <w:pPr>
        <w:numPr>
          <w:ilvl w:val="0"/>
          <w:numId w:val="2"/>
        </w:numPr>
        <w:spacing w:line="276" w:lineRule="auto"/>
        <w:ind w:firstLine="480"/>
        <w:rPr>
          <w:rFonts w:hint="eastAsia"/>
          <w:sz w:val="24"/>
          <w:lang w:val="en-US" w:eastAsia="zh-CN"/>
        </w:rPr>
      </w:pPr>
      <w:r>
        <w:rPr>
          <w:rFonts w:hint="eastAsia"/>
          <w:sz w:val="24"/>
          <w:lang w:val="en-US" w:eastAsia="zh-CN"/>
        </w:rPr>
        <w:t>获取该交叉口交通量的基本数据，包括车型组成、流量转向、交通量时变等，为其他组提供数据基础；</w:t>
      </w:r>
    </w:p>
    <w:p>
      <w:pPr>
        <w:numPr>
          <w:ilvl w:val="0"/>
          <w:numId w:val="2"/>
        </w:numPr>
        <w:spacing w:line="276" w:lineRule="auto"/>
        <w:ind w:firstLine="480"/>
        <w:rPr>
          <w:rFonts w:hint="default"/>
          <w:sz w:val="24"/>
          <w:lang w:val="en-US" w:eastAsia="zh-CN"/>
        </w:rPr>
      </w:pPr>
      <w:r>
        <w:rPr>
          <w:rFonts w:hint="eastAsia"/>
          <w:sz w:val="24"/>
          <w:lang w:val="en-US" w:eastAsia="zh-CN"/>
        </w:rPr>
        <w:t>调查该交叉口公交车、五类车的交通量组成占比，并对其通行能力的影响以及分析；</w:t>
      </w:r>
    </w:p>
    <w:p>
      <w:pPr>
        <w:numPr>
          <w:ilvl w:val="0"/>
          <w:numId w:val="2"/>
        </w:numPr>
        <w:spacing w:line="276" w:lineRule="auto"/>
        <w:ind w:firstLine="480"/>
        <w:rPr>
          <w:rFonts w:hint="default"/>
          <w:sz w:val="24"/>
          <w:lang w:val="en-US" w:eastAsia="zh-CN"/>
        </w:rPr>
      </w:pPr>
      <w:r>
        <w:rPr>
          <w:rFonts w:hint="eastAsia"/>
          <w:sz w:val="24"/>
          <w:lang w:val="en-US" w:eastAsia="zh-CN"/>
        </w:rPr>
        <w:t>计算该交叉口的最大通行能力，并判断其产生拥堵的情况如何，同时查找文献，综合其他组的数据，并设定一个对交叉口服务等级的评比方案，希望能够适用于各种类型的交叉口，并方便城市的管理。</w:t>
      </w:r>
    </w:p>
    <w:p>
      <w:pPr>
        <w:numPr>
          <w:numId w:val="0"/>
        </w:numPr>
        <w:spacing w:line="276" w:lineRule="auto"/>
        <w:rPr>
          <w:rFonts w:hint="default"/>
          <w:sz w:val="24"/>
          <w:lang w:val="en-US" w:eastAsia="zh-CN"/>
        </w:rPr>
      </w:pPr>
    </w:p>
    <w:p>
      <w:pPr>
        <w:pStyle w:val="4"/>
        <w:bidi w:val="0"/>
        <w:outlineLvl w:val="0"/>
        <w:rPr>
          <w:rFonts w:hint="default"/>
          <w:sz w:val="24"/>
          <w:szCs w:val="22"/>
          <w:lang w:val="en-US" w:eastAsia="zh-CN"/>
        </w:rPr>
      </w:pPr>
      <w:bookmarkStart w:id="4" w:name="_Toc17296"/>
      <w:r>
        <w:rPr>
          <w:rFonts w:hint="eastAsia"/>
          <w:sz w:val="24"/>
          <w:szCs w:val="22"/>
          <w:lang w:val="en-US" w:eastAsia="zh-CN"/>
        </w:rPr>
        <w:t>五、预期成果</w:t>
      </w:r>
      <w:bookmarkEnd w:id="4"/>
    </w:p>
    <w:p>
      <w:pPr>
        <w:numPr>
          <w:ilvl w:val="0"/>
          <w:numId w:val="3"/>
        </w:numPr>
        <w:spacing w:line="276" w:lineRule="auto"/>
        <w:ind w:firstLine="480" w:firstLineChars="200"/>
        <w:rPr>
          <w:rFonts w:hint="eastAsia"/>
          <w:sz w:val="24"/>
          <w:lang w:val="en-US" w:eastAsia="zh-CN"/>
        </w:rPr>
      </w:pPr>
      <w:r>
        <w:rPr>
          <w:rFonts w:hint="eastAsia"/>
          <w:sz w:val="24"/>
          <w:lang w:val="en-US" w:eastAsia="zh-CN"/>
        </w:rPr>
        <w:t>得到该交叉口的综合数据；</w:t>
      </w:r>
    </w:p>
    <w:p>
      <w:pPr>
        <w:numPr>
          <w:ilvl w:val="0"/>
          <w:numId w:val="3"/>
        </w:numPr>
        <w:spacing w:line="276" w:lineRule="auto"/>
        <w:ind w:firstLine="480" w:firstLineChars="200"/>
        <w:rPr>
          <w:rFonts w:hint="default"/>
          <w:sz w:val="24"/>
          <w:lang w:val="en-US" w:eastAsia="zh-CN"/>
        </w:rPr>
      </w:pPr>
      <w:r>
        <w:rPr>
          <w:rFonts w:hint="eastAsia"/>
          <w:sz w:val="24"/>
          <w:lang w:val="en-US" w:eastAsia="zh-CN"/>
        </w:rPr>
        <w:t>与信号配时组合作得到饱和车头时距并计算出该交叉口的饱和流量；</w:t>
      </w:r>
    </w:p>
    <w:p>
      <w:pPr>
        <w:numPr>
          <w:ilvl w:val="0"/>
          <w:numId w:val="3"/>
        </w:numPr>
        <w:spacing w:line="276" w:lineRule="auto"/>
        <w:ind w:firstLine="480" w:firstLineChars="200"/>
        <w:rPr>
          <w:rFonts w:hint="default"/>
          <w:sz w:val="24"/>
          <w:lang w:val="en-US" w:eastAsia="zh-CN"/>
        </w:rPr>
      </w:pPr>
      <w:r>
        <w:rPr>
          <w:rFonts w:hint="eastAsia"/>
          <w:sz w:val="24"/>
          <w:lang w:val="en-US" w:eastAsia="zh-CN"/>
        </w:rPr>
        <w:t>与排队长度组合作计算出车辆的到达率；</w:t>
      </w:r>
    </w:p>
    <w:p>
      <w:pPr>
        <w:numPr>
          <w:ilvl w:val="0"/>
          <w:numId w:val="3"/>
        </w:numPr>
        <w:spacing w:line="276" w:lineRule="auto"/>
        <w:ind w:firstLine="480" w:firstLineChars="200"/>
        <w:rPr>
          <w:rFonts w:hint="default"/>
          <w:sz w:val="24"/>
          <w:lang w:val="en-US" w:eastAsia="zh-CN"/>
        </w:rPr>
      </w:pPr>
      <w:r>
        <w:rPr>
          <w:rFonts w:hint="eastAsia"/>
          <w:sz w:val="24"/>
          <w:lang w:val="en-US" w:eastAsia="zh-CN"/>
        </w:rPr>
        <w:t>通过对不同车型的分析，得出该种车型对于交通流量的影响作用，有利于交通管理部门实现对五类车、公交车的宏观调控；</w:t>
      </w:r>
    </w:p>
    <w:p>
      <w:pPr>
        <w:numPr>
          <w:ilvl w:val="0"/>
          <w:numId w:val="3"/>
        </w:numPr>
        <w:spacing w:line="276" w:lineRule="auto"/>
        <w:ind w:firstLine="480" w:firstLineChars="200"/>
        <w:rPr>
          <w:rFonts w:hint="default"/>
          <w:sz w:val="24"/>
          <w:lang w:val="en-US" w:eastAsia="zh-CN"/>
        </w:rPr>
      </w:pPr>
      <w:r>
        <w:rPr>
          <w:rFonts w:hint="eastAsia"/>
          <w:sz w:val="24"/>
          <w:lang w:val="en-US" w:eastAsia="zh-CN"/>
        </w:rPr>
        <w:t>得出一个交叉口的评价模型，输入各类参数能够相应的反馈出该交叉口的等级，从而获得有利于城市建设的经验</w:t>
      </w:r>
    </w:p>
    <w:p>
      <w:pPr>
        <w:spacing w:line="276" w:lineRule="auto"/>
        <w:rPr>
          <w:rFonts w:hint="eastAsia" w:asciiTheme="minorEastAsia" w:hAnsiTheme="minorEastAsia"/>
          <w:sz w:val="24"/>
        </w:rPr>
      </w:pPr>
    </w:p>
    <w:p>
      <w:pPr>
        <w:pStyle w:val="4"/>
        <w:bidi w:val="0"/>
        <w:outlineLvl w:val="0"/>
        <w:rPr>
          <w:sz w:val="24"/>
          <w:szCs w:val="22"/>
        </w:rPr>
      </w:pPr>
      <w:bookmarkStart w:id="5" w:name="_Toc14949"/>
      <w:r>
        <w:rPr>
          <w:rFonts w:hint="eastAsia"/>
          <w:sz w:val="24"/>
          <w:szCs w:val="22"/>
          <w:lang w:val="en-US" w:eastAsia="zh-CN"/>
        </w:rPr>
        <w:t>六</w:t>
      </w:r>
      <w:r>
        <w:rPr>
          <w:rFonts w:hint="eastAsia"/>
          <w:sz w:val="24"/>
          <w:szCs w:val="22"/>
        </w:rPr>
        <w:t>、预调查测量过程</w:t>
      </w:r>
      <w:bookmarkEnd w:id="5"/>
    </w:p>
    <w:p>
      <w:pPr>
        <w:spacing w:line="276" w:lineRule="auto"/>
        <w:ind w:firstLine="480"/>
        <w:rPr>
          <w:rFonts w:asciiTheme="minorEastAsia" w:hAnsiTheme="minorEastAsia"/>
          <w:sz w:val="24"/>
        </w:rPr>
      </w:pPr>
      <w:r>
        <w:rPr>
          <w:rFonts w:hint="eastAsia" w:asciiTheme="minorEastAsia" w:hAnsiTheme="minorEastAsia"/>
          <w:sz w:val="24"/>
        </w:rPr>
        <w:t>每个小组有四位同学，一共有四个小组，分别负责东西南北四个方向的路口，在本次与调查的实验中，我们还对每个方向上出交叉口的数据也进行了采集和处理，其目的是为了验证我们对于交叉口进道口的数据采集是否是合理的。我们分别采集了两次数据。</w:t>
      </w:r>
    </w:p>
    <w:p>
      <w:pPr>
        <w:spacing w:line="276" w:lineRule="auto"/>
        <w:ind w:firstLine="480"/>
        <w:rPr>
          <w:rFonts w:hint="eastAsia" w:asciiTheme="minorEastAsia" w:hAnsiTheme="minorEastAsia"/>
          <w:sz w:val="24"/>
        </w:rPr>
      </w:pPr>
      <w:r>
        <w:rPr>
          <w:rFonts w:hint="eastAsia" w:asciiTheme="minorEastAsia" w:hAnsiTheme="minorEastAsia"/>
          <w:sz w:val="24"/>
        </w:rPr>
        <w:t>在不了解交叉口交通量组成的前提下，我们进行了第一次数据采集，时长为20分钟。第一次数据只区分了大车和小车，并按照小车1.0，大车2.0的交通量进行折算。在经过第一次的数据采集之后，我们意识到交叉口如此复杂的车辆组成类型不能简单地通过小车和大车来区分，为了获得更加准确的数据，我们在现场召开了一次小会，明确了各种车辆所对应的车型，并强调了摩托车、三轮车等交通工具也应纳入交通量的计算范围，并希望以此来获得更具有代表性的数据，从而计算出更准确的交通量。（按照《交通调查与分析》P25的《城市道路交通量调查以小汽车为标准的换算系数表》进行折算）</w:t>
      </w:r>
    </w:p>
    <w:p>
      <w:pPr>
        <w:spacing w:line="276" w:lineRule="auto"/>
        <w:rPr>
          <w:rFonts w:hint="eastAsia" w:asciiTheme="minorEastAsia" w:hAnsiTheme="minorEastAsia" w:eastAsiaTheme="minorEastAsia"/>
          <w:sz w:val="24"/>
          <w:lang w:eastAsia="zh-CN"/>
        </w:rPr>
      </w:pPr>
      <w:r>
        <w:rPr>
          <w:rFonts w:hint="eastAsia" w:asciiTheme="minorEastAsia" w:hAnsiTheme="minorEastAsia" w:eastAsiaTheme="minorEastAsia"/>
          <w:sz w:val="24"/>
          <w:lang w:eastAsia="zh-CN"/>
        </w:rPr>
        <w:drawing>
          <wp:inline distT="0" distB="0" distL="114300" distR="114300">
            <wp:extent cx="1233170" cy="5260975"/>
            <wp:effectExtent l="0" t="0" r="9525" b="11430"/>
            <wp:docPr id="4" name="图片 4" descr="微信图片_20191117220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191117220532"/>
                    <pic:cNvPicPr>
                      <a:picLocks noChangeAspect="1"/>
                    </pic:cNvPicPr>
                  </pic:nvPicPr>
                  <pic:blipFill>
                    <a:blip r:embed="rId6"/>
                    <a:stretch>
                      <a:fillRect/>
                    </a:stretch>
                  </pic:blipFill>
                  <pic:spPr>
                    <a:xfrm rot="16200000">
                      <a:off x="0" y="0"/>
                      <a:ext cx="1233170" cy="5260975"/>
                    </a:xfrm>
                    <a:prstGeom prst="rect">
                      <a:avLst/>
                    </a:prstGeom>
                  </pic:spPr>
                </pic:pic>
              </a:graphicData>
            </a:graphic>
          </wp:inline>
        </w:drawing>
      </w:r>
    </w:p>
    <w:p>
      <w:pPr>
        <w:spacing w:line="276" w:lineRule="auto"/>
        <w:ind w:firstLine="480" w:firstLineChars="200"/>
        <w:rPr>
          <w:rFonts w:hint="eastAsia" w:asciiTheme="minorEastAsia" w:hAnsiTheme="minorEastAsia"/>
          <w:sz w:val="24"/>
          <w:lang w:val="en-US" w:eastAsia="zh-CN"/>
        </w:rPr>
      </w:pPr>
      <w:r>
        <w:rPr>
          <w:rFonts w:hint="eastAsia" w:asciiTheme="minorEastAsia" w:hAnsiTheme="minorEastAsia"/>
          <w:sz w:val="24"/>
        </w:rPr>
        <w:t>第二次的数据采集按照现场的方案设定进行着，但是也出现了一些问题，故第二次的采集数据只持续了十五分钟，其问题在于：计算每个出道口的同学工作量异常庞大，在第一次中只需要区分小车和大车的同学突然需要区分如此多的车型使得他们无法及时反应过来并进行相应的计数。</w:t>
      </w:r>
      <w:r>
        <w:rPr>
          <w:rFonts w:hint="eastAsia" w:asciiTheme="minorEastAsia" w:hAnsiTheme="minorEastAsia"/>
          <w:sz w:val="24"/>
          <w:lang w:val="en-US" w:eastAsia="zh-CN"/>
        </w:rPr>
        <w:t>如下：</w:t>
      </w:r>
    </w:p>
    <w:p>
      <w:pPr>
        <w:spacing w:line="276" w:lineRule="auto"/>
        <w:ind w:firstLine="480" w:firstLineChars="200"/>
        <w:rPr>
          <w:rFonts w:hint="eastAsia" w:asciiTheme="minorEastAsia" w:hAnsiTheme="minorEastAsia"/>
          <w:sz w:val="24"/>
          <w:lang w:val="en-US" w:eastAsia="zh-CN"/>
        </w:rPr>
      </w:pPr>
      <w:r>
        <w:rPr>
          <w:rFonts w:hint="eastAsia" w:asciiTheme="minorEastAsia" w:hAnsiTheme="minorEastAsia"/>
          <w:sz w:val="24"/>
          <w:lang w:val="en-US" w:eastAsia="zh-CN"/>
        </w:rPr>
        <w:drawing>
          <wp:inline distT="0" distB="0" distL="114300" distR="114300">
            <wp:extent cx="4958080" cy="2639060"/>
            <wp:effectExtent l="0" t="0" r="7620" b="2540"/>
            <wp:docPr id="5" name="图片 5" descr="微信图片_201911172207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微信图片_20191117220744"/>
                    <pic:cNvPicPr>
                      <a:picLocks noChangeAspect="1"/>
                    </pic:cNvPicPr>
                  </pic:nvPicPr>
                  <pic:blipFill>
                    <a:blip r:embed="rId7"/>
                    <a:stretch>
                      <a:fillRect/>
                    </a:stretch>
                  </pic:blipFill>
                  <pic:spPr>
                    <a:xfrm>
                      <a:off x="0" y="0"/>
                      <a:ext cx="4958080" cy="2639060"/>
                    </a:xfrm>
                    <a:prstGeom prst="rect">
                      <a:avLst/>
                    </a:prstGeom>
                  </pic:spPr>
                </pic:pic>
              </a:graphicData>
            </a:graphic>
          </wp:inline>
        </w:drawing>
      </w:r>
    </w:p>
    <w:p>
      <w:pPr>
        <w:spacing w:line="276" w:lineRule="auto"/>
        <w:rPr>
          <w:rFonts w:hint="eastAsia" w:asciiTheme="minorEastAsia" w:hAnsiTheme="minorEastAsia"/>
          <w:sz w:val="24"/>
        </w:rPr>
      </w:pPr>
    </w:p>
    <w:p>
      <w:pPr>
        <w:spacing w:line="276" w:lineRule="auto"/>
        <w:rPr>
          <w:rFonts w:hint="eastAsia"/>
          <w:b/>
          <w:bCs/>
          <w:sz w:val="24"/>
        </w:rPr>
      </w:pPr>
    </w:p>
    <w:p>
      <w:pPr>
        <w:pStyle w:val="4"/>
        <w:bidi w:val="0"/>
        <w:outlineLvl w:val="0"/>
        <w:rPr>
          <w:rFonts w:hint="eastAsia"/>
          <w:sz w:val="24"/>
          <w:szCs w:val="22"/>
        </w:rPr>
      </w:pPr>
      <w:bookmarkStart w:id="6" w:name="_Toc19035"/>
      <w:r>
        <w:rPr>
          <w:rFonts w:hint="eastAsia"/>
          <w:sz w:val="24"/>
          <w:szCs w:val="22"/>
          <w:lang w:val="en-US" w:eastAsia="zh-CN"/>
        </w:rPr>
        <w:t>七</w:t>
      </w:r>
      <w:r>
        <w:rPr>
          <w:rFonts w:hint="eastAsia"/>
          <w:sz w:val="24"/>
          <w:szCs w:val="22"/>
        </w:rPr>
        <w:t>、问题的分析及解决方案</w:t>
      </w:r>
      <w:bookmarkEnd w:id="6"/>
    </w:p>
    <w:p>
      <w:pPr>
        <w:spacing w:line="276" w:lineRule="auto"/>
        <w:ind w:firstLine="480"/>
        <w:rPr>
          <w:sz w:val="24"/>
        </w:rPr>
      </w:pPr>
      <w:r>
        <w:rPr>
          <w:rFonts w:hint="eastAsia"/>
          <w:sz w:val="24"/>
        </w:rPr>
        <w:t>在整个预调查过程中，我们遇到了一些问题，并提出了一些解决的方案，以便在接下来的正式调查中能够更加顺利地开展：</w:t>
      </w:r>
    </w:p>
    <w:p>
      <w:pPr>
        <w:numPr>
          <w:ilvl w:val="0"/>
          <w:numId w:val="4"/>
        </w:numPr>
        <w:spacing w:line="276" w:lineRule="auto"/>
        <w:ind w:firstLine="480"/>
        <w:rPr>
          <w:sz w:val="24"/>
        </w:rPr>
      </w:pPr>
      <w:r>
        <w:rPr>
          <w:rFonts w:hint="eastAsia"/>
          <w:sz w:val="24"/>
        </w:rPr>
        <w:t>人员分工不够合理。</w:t>
      </w:r>
    </w:p>
    <w:p>
      <w:pPr>
        <w:spacing w:line="276" w:lineRule="auto"/>
        <w:ind w:firstLine="480" w:firstLineChars="200"/>
        <w:rPr>
          <w:sz w:val="24"/>
        </w:rPr>
      </w:pPr>
      <w:r>
        <w:rPr>
          <w:rFonts w:hint="eastAsia"/>
          <w:sz w:val="24"/>
        </w:rPr>
        <w:t>我们在预调查中实施的方案是在一个方向上安排四位同学，每一位同学按照调头、直行、右转以及出道口来进行分工。但是这样带来的问题是计算调头交通量的同学相对而言工作量要少很多，而出道口的同学又要大很多。这就导致了数据可能出现不合理不准确的情况。</w:t>
      </w:r>
    </w:p>
    <w:p>
      <w:pPr>
        <w:spacing w:line="276" w:lineRule="auto"/>
        <w:ind w:firstLine="480"/>
        <w:rPr>
          <w:sz w:val="24"/>
        </w:rPr>
      </w:pPr>
      <w:r>
        <w:rPr>
          <w:rFonts w:hint="eastAsia"/>
          <w:sz w:val="24"/>
        </w:rPr>
        <w:t>解决方案：我们将在正式调查的第一次进行人员工作的重新分配。首先将计算调头车辆的同学统一安排到行人过马路时中间的安全岛上进行测量（如图所示位置），同时我们注意到，由于交叉口是两个相位的，在计算调头车辆时，相应方向上的出道口并无车辆汇入。所以我们的计划是，当计算调头车辆的同学计算完一个信号周期之后，可以帮忙计算同一周期内相应交叉口的出道口车辆数据。比如说，原先一个人需要区分六种车型进行计算，那么现在有了另外一位同学的帮助，只需要一人计算三种车型，大大减小了工作难度。</w:t>
      </w:r>
    </w:p>
    <w:p>
      <w:pPr>
        <w:numPr>
          <w:ilvl w:val="0"/>
          <w:numId w:val="4"/>
        </w:numPr>
        <w:spacing w:line="276" w:lineRule="auto"/>
        <w:ind w:firstLine="480"/>
        <w:rPr>
          <w:sz w:val="24"/>
        </w:rPr>
      </w:pPr>
      <w:r>
        <w:rPr>
          <w:rFonts w:hint="eastAsia"/>
          <w:sz w:val="24"/>
        </w:rPr>
        <w:t>数据获得不够精确。</w:t>
      </w:r>
    </w:p>
    <w:p>
      <w:pPr>
        <w:spacing w:line="276" w:lineRule="auto"/>
        <w:ind w:firstLine="480" w:firstLineChars="200"/>
        <w:rPr>
          <w:sz w:val="24"/>
        </w:rPr>
      </w:pPr>
      <w:r>
        <w:rPr>
          <w:rFonts w:hint="eastAsia"/>
          <w:sz w:val="24"/>
        </w:rPr>
        <w:t>在后来处理数据的过程中我们发现，有部分同学在数据获取的过程中出现问题，比如说导出数据时的错误，注意力不集中导致车型不匹配</w:t>
      </w:r>
      <w:r>
        <w:rPr>
          <w:rFonts w:hint="eastAsia"/>
          <w:sz w:val="24"/>
          <w:lang w:eastAsia="zh-CN"/>
        </w:rPr>
        <w:t>，</w:t>
      </w:r>
      <w:r>
        <w:rPr>
          <w:rFonts w:hint="eastAsia"/>
          <w:sz w:val="24"/>
          <w:lang w:val="en-US" w:eastAsia="zh-CN"/>
        </w:rPr>
        <w:t>或者是某一数据特别高</w:t>
      </w:r>
      <w:r>
        <w:rPr>
          <w:rFonts w:hint="eastAsia"/>
          <w:sz w:val="24"/>
        </w:rPr>
        <w:t>等等，这就很可能导致整个团队在某一阶段的数据变得没有意义。</w:t>
      </w:r>
    </w:p>
    <w:p>
      <w:pPr>
        <w:spacing w:line="276" w:lineRule="auto"/>
        <w:ind w:firstLine="480" w:firstLineChars="200"/>
        <w:rPr>
          <w:sz w:val="24"/>
        </w:rPr>
      </w:pPr>
      <w:r>
        <w:rPr>
          <w:rFonts w:hint="eastAsia"/>
          <w:sz w:val="24"/>
        </w:rPr>
        <w:t>为了尽可能减少这种现象的出现，我们提出了以下的解决方案：首先对人员分工进行重新分配，我们在预调查中已经初步掌握了我们调查方法的合理性，那么在接下来的过程中可以根据所负责工作的特点不同来进行分配。比如说直行的车流大车辆类型多，那么就需要同时有多位同学来保证数据的准确性。并且在每次调查后及时在现场先进行简单的分析，看看数据是否有明显的错误。</w:t>
      </w:r>
    </w:p>
    <w:p>
      <w:pPr>
        <w:numPr>
          <w:ilvl w:val="0"/>
          <w:numId w:val="4"/>
        </w:numPr>
        <w:spacing w:line="276" w:lineRule="auto"/>
        <w:ind w:firstLine="480"/>
        <w:rPr>
          <w:sz w:val="24"/>
        </w:rPr>
      </w:pPr>
      <w:r>
        <w:rPr>
          <w:rFonts w:hint="eastAsia"/>
          <w:sz w:val="24"/>
        </w:rPr>
        <w:t>数据样本不够多。</w:t>
      </w:r>
    </w:p>
    <w:p>
      <w:pPr>
        <w:spacing w:line="276" w:lineRule="auto"/>
        <w:ind w:firstLine="480" w:firstLineChars="200"/>
        <w:rPr>
          <w:rFonts w:hint="default" w:eastAsiaTheme="minorEastAsia"/>
          <w:sz w:val="24"/>
          <w:lang w:val="en-US" w:eastAsia="zh-CN"/>
        </w:rPr>
      </w:pPr>
      <w:r>
        <w:rPr>
          <w:rFonts w:hint="eastAsia"/>
          <w:sz w:val="24"/>
        </w:rPr>
        <w:t>通过这次调查我们发现了我们采集的交通量变化不大，整个过程中没有较为明显的起伏，因此在这个过程中我们也是需要有更多的不同阶段的数据来使得我们的调查更具有全面性，也更能发现交叉口中可能存在的某些问题。</w:t>
      </w:r>
      <w:r>
        <w:rPr>
          <w:rFonts w:hint="eastAsia"/>
          <w:sz w:val="24"/>
          <w:lang w:val="en-US" w:eastAsia="zh-CN"/>
        </w:rPr>
        <w:t>比如说早晚高峰时车型的主要分布，四个进道口交通量有差距的原因探究，使用右转专用车道的合理性等等。</w:t>
      </w:r>
    </w:p>
    <w:p>
      <w:pPr>
        <w:spacing w:line="276" w:lineRule="auto"/>
        <w:rPr>
          <w:sz w:val="24"/>
        </w:rPr>
      </w:pPr>
    </w:p>
    <w:p>
      <w:pPr>
        <w:pStyle w:val="4"/>
        <w:bidi w:val="0"/>
        <w:outlineLvl w:val="0"/>
        <w:rPr>
          <w:sz w:val="24"/>
          <w:szCs w:val="22"/>
        </w:rPr>
      </w:pPr>
      <w:bookmarkStart w:id="7" w:name="_Toc68"/>
      <w:r>
        <w:rPr>
          <w:rFonts w:hint="eastAsia"/>
          <w:sz w:val="24"/>
          <w:szCs w:val="22"/>
          <w:lang w:val="en-US" w:eastAsia="zh-CN"/>
        </w:rPr>
        <w:t>八</w:t>
      </w:r>
      <w:r>
        <w:rPr>
          <w:rFonts w:hint="eastAsia"/>
          <w:sz w:val="24"/>
          <w:szCs w:val="22"/>
        </w:rPr>
        <w:t>、正式调查方案的制定</w:t>
      </w:r>
      <w:bookmarkEnd w:id="7"/>
    </w:p>
    <w:p>
      <w:pPr>
        <w:pStyle w:val="11"/>
        <w:numPr>
          <w:ilvl w:val="0"/>
          <w:numId w:val="5"/>
        </w:numPr>
        <w:spacing w:line="276" w:lineRule="auto"/>
        <w:ind w:firstLineChars="0"/>
        <w:rPr>
          <w:sz w:val="24"/>
        </w:rPr>
      </w:pPr>
      <w:r>
        <w:rPr>
          <w:rFonts w:hint="eastAsia"/>
          <w:sz w:val="24"/>
        </w:rPr>
        <w:t>在验证了调查方案的准确性和可行性之后，我们将不再调查出道口的交通量，而是直接调查各个进道口的数据，同时对人员分工进行调整，确保每次获得的数据都有较高的科学性，以便我们对接下来的课题进行研究。</w:t>
      </w:r>
    </w:p>
    <w:p>
      <w:pPr>
        <w:pStyle w:val="11"/>
        <w:numPr>
          <w:ilvl w:val="0"/>
          <w:numId w:val="5"/>
        </w:numPr>
        <w:spacing w:line="276" w:lineRule="auto"/>
        <w:ind w:firstLineChars="0"/>
        <w:rPr>
          <w:sz w:val="24"/>
        </w:rPr>
      </w:pPr>
      <w:r>
        <w:rPr>
          <w:rFonts w:hint="eastAsia"/>
          <w:sz w:val="24"/>
          <w:lang w:val="en-US" w:eastAsia="zh-CN"/>
        </w:rPr>
        <w:t>使用牌照法来对左转车流进行固定计算。</w:t>
      </w:r>
    </w:p>
    <w:p>
      <w:pPr>
        <w:pStyle w:val="11"/>
        <w:numPr>
          <w:ilvl w:val="0"/>
          <w:numId w:val="5"/>
        </w:numPr>
        <w:spacing w:line="276" w:lineRule="auto"/>
        <w:ind w:firstLineChars="0"/>
        <w:rPr>
          <w:sz w:val="24"/>
        </w:rPr>
      </w:pPr>
      <w:r>
        <w:rPr>
          <w:rFonts w:hint="eastAsia"/>
          <w:sz w:val="24"/>
        </w:rPr>
        <w:t>将会进行三到五次的调查，其主要内容包括早晚高峰时段的交通量调查，周末以及平时交通量的调查与对比分析，各个方向不同交叉口交通量的差异，并试着分析原因的来源。</w:t>
      </w:r>
    </w:p>
    <w:p>
      <w:pPr>
        <w:pStyle w:val="11"/>
        <w:numPr>
          <w:ilvl w:val="0"/>
          <w:numId w:val="5"/>
        </w:numPr>
        <w:spacing w:line="276" w:lineRule="auto"/>
        <w:ind w:firstLineChars="0"/>
        <w:rPr>
          <w:rFonts w:hint="eastAsia"/>
          <w:sz w:val="24"/>
        </w:rPr>
      </w:pPr>
      <w:r>
        <w:rPr>
          <w:rFonts w:hint="eastAsia"/>
          <w:sz w:val="24"/>
        </w:rPr>
        <w:t>具体人员分工名单及相应的时间</w:t>
      </w:r>
      <w:r>
        <w:rPr>
          <w:rFonts w:hint="eastAsia"/>
          <w:sz w:val="24"/>
          <w:lang w:val="en-US" w:eastAsia="zh-CN"/>
        </w:rPr>
        <w:t>规划</w:t>
      </w:r>
      <w:r>
        <w:rPr>
          <w:rFonts w:hint="eastAsia"/>
          <w:sz w:val="24"/>
          <w:lang w:eastAsia="zh-CN"/>
        </w:rPr>
        <w:t>：</w:t>
      </w:r>
    </w:p>
    <w:p>
      <w:pPr>
        <w:pStyle w:val="11"/>
        <w:numPr>
          <w:numId w:val="0"/>
        </w:numPr>
        <w:spacing w:line="276" w:lineRule="auto"/>
        <w:ind w:leftChars="0" w:firstLine="480" w:firstLineChars="200"/>
        <w:rPr>
          <w:sz w:val="24"/>
        </w:rPr>
      </w:pPr>
      <w:r>
        <w:rPr>
          <w:rFonts w:hint="eastAsia"/>
          <w:sz w:val="24"/>
        </w:rPr>
        <w:t>调查人员分工（含</w:t>
      </w:r>
      <w:r>
        <w:rPr>
          <w:rFonts w:hint="eastAsia"/>
          <w:sz w:val="24"/>
          <w:lang w:val="en-US" w:eastAsia="zh-CN"/>
        </w:rPr>
        <w:t>调头车道</w:t>
      </w:r>
      <w:r>
        <w:rPr>
          <w:rFonts w:hint="eastAsia"/>
          <w:sz w:val="24"/>
        </w:rPr>
        <w:t>）：</w:t>
      </w:r>
    </w:p>
    <w:tbl>
      <w:tblPr>
        <w:tblStyle w:val="7"/>
        <w:tblW w:w="8617" w:type="dxa"/>
        <w:jc w:val="center"/>
        <w:tblLayout w:type="fixed"/>
        <w:tblCellMar>
          <w:top w:w="0" w:type="dxa"/>
          <w:left w:w="0" w:type="dxa"/>
          <w:bottom w:w="0" w:type="dxa"/>
          <w:right w:w="0" w:type="dxa"/>
        </w:tblCellMar>
      </w:tblPr>
      <w:tblGrid>
        <w:gridCol w:w="2067"/>
        <w:gridCol w:w="2519"/>
        <w:gridCol w:w="1926"/>
        <w:gridCol w:w="2105"/>
      </w:tblGrid>
      <w:tr>
        <w:tblPrEx>
          <w:tblCellMar>
            <w:top w:w="0" w:type="dxa"/>
            <w:left w:w="0" w:type="dxa"/>
            <w:bottom w:w="0" w:type="dxa"/>
            <w:right w:w="0" w:type="dxa"/>
          </w:tblCellMar>
        </w:tblPrEx>
        <w:trPr>
          <w:trHeight w:val="392" w:hRule="atLeast"/>
          <w:jc w:val="center"/>
        </w:trPr>
        <w:tc>
          <w:tcPr>
            <w:tcW w:w="2067" w:type="dxa"/>
            <w:tcBorders>
              <w:top w:val="nil"/>
              <w:left w:val="nil"/>
              <w:bottom w:val="nil"/>
              <w:right w:val="nil"/>
            </w:tcBorders>
            <w:shd w:val="clear" w:color="auto" w:fill="auto"/>
            <w:noWrap/>
            <w:tcMar>
              <w:top w:w="10" w:type="dxa"/>
              <w:left w:w="10" w:type="dxa"/>
              <w:right w:w="10" w:type="dxa"/>
            </w:tcMar>
            <w:vAlign w:val="center"/>
          </w:tcPr>
          <w:p>
            <w:pPr>
              <w:jc w:val="center"/>
              <w:rPr>
                <w:rFonts w:ascii="宋体" w:hAnsi="宋体" w:eastAsia="宋体" w:cs="宋体"/>
                <w:color w:val="000000"/>
                <w:sz w:val="22"/>
                <w:szCs w:val="22"/>
              </w:rPr>
            </w:pPr>
          </w:p>
        </w:tc>
        <w:tc>
          <w:tcPr>
            <w:tcW w:w="2519" w:type="dxa"/>
            <w:tcBorders>
              <w:top w:val="nil"/>
              <w:left w:val="nil"/>
              <w:bottom w:val="nil"/>
              <w:right w:val="nil"/>
            </w:tcBorders>
            <w:shd w:val="clear" w:color="auto" w:fill="auto"/>
            <w:noWrap/>
            <w:tcMar>
              <w:top w:w="10" w:type="dxa"/>
              <w:left w:w="10" w:type="dxa"/>
              <w:right w:w="10"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直行</w:t>
            </w:r>
          </w:p>
        </w:tc>
        <w:tc>
          <w:tcPr>
            <w:tcW w:w="1926" w:type="dxa"/>
            <w:tcBorders>
              <w:top w:val="nil"/>
              <w:left w:val="nil"/>
              <w:bottom w:val="nil"/>
              <w:right w:val="nil"/>
            </w:tcBorders>
            <w:shd w:val="clear" w:color="auto" w:fill="auto"/>
            <w:noWrap/>
            <w:tcMar>
              <w:top w:w="10" w:type="dxa"/>
              <w:left w:w="10" w:type="dxa"/>
              <w:right w:w="10" w:type="dxa"/>
            </w:tcMar>
            <w:vAlign w:val="center"/>
          </w:tcPr>
          <w:p>
            <w:pPr>
              <w:widowControl/>
              <w:jc w:val="center"/>
              <w:textAlignment w:val="center"/>
              <w:rPr>
                <w:rFonts w:hint="eastAsia" w:ascii="宋体" w:hAnsi="宋体" w:eastAsia="宋体" w:cs="宋体"/>
                <w:color w:val="000000"/>
                <w:sz w:val="22"/>
                <w:szCs w:val="22"/>
                <w:lang w:eastAsia="zh-CN"/>
              </w:rPr>
            </w:pPr>
            <w:r>
              <w:rPr>
                <w:rFonts w:hint="eastAsia" w:ascii="宋体" w:hAnsi="宋体" w:eastAsia="宋体" w:cs="宋体"/>
                <w:color w:val="000000"/>
                <w:kern w:val="0"/>
                <w:sz w:val="22"/>
                <w:szCs w:val="22"/>
                <w:lang w:bidi="ar"/>
              </w:rPr>
              <w:t>右转</w:t>
            </w:r>
            <w:r>
              <w:rPr>
                <w:rFonts w:hint="eastAsia" w:ascii="宋体" w:hAnsi="宋体" w:eastAsia="宋体" w:cs="宋体"/>
                <w:color w:val="000000"/>
                <w:kern w:val="0"/>
                <w:sz w:val="22"/>
                <w:szCs w:val="22"/>
                <w:lang w:eastAsia="zh-CN" w:bidi="ar"/>
              </w:rPr>
              <w:t>（</w:t>
            </w:r>
            <w:r>
              <w:rPr>
                <w:rFonts w:hint="eastAsia" w:ascii="宋体" w:hAnsi="宋体" w:eastAsia="宋体" w:cs="宋体"/>
                <w:color w:val="000000"/>
                <w:kern w:val="0"/>
                <w:sz w:val="22"/>
                <w:szCs w:val="22"/>
                <w:lang w:val="en-US" w:eastAsia="zh-CN" w:bidi="ar"/>
              </w:rPr>
              <w:t>需记车牌</w:t>
            </w:r>
            <w:r>
              <w:rPr>
                <w:rFonts w:hint="eastAsia" w:ascii="宋体" w:hAnsi="宋体" w:eastAsia="宋体" w:cs="宋体"/>
                <w:color w:val="000000"/>
                <w:kern w:val="0"/>
                <w:sz w:val="22"/>
                <w:szCs w:val="22"/>
                <w:lang w:eastAsia="zh-CN" w:bidi="ar"/>
              </w:rPr>
              <w:t>）</w:t>
            </w:r>
          </w:p>
        </w:tc>
        <w:tc>
          <w:tcPr>
            <w:tcW w:w="2105" w:type="dxa"/>
            <w:tcBorders>
              <w:top w:val="nil"/>
              <w:left w:val="nil"/>
              <w:bottom w:val="nil"/>
              <w:right w:val="nil"/>
            </w:tcBorders>
            <w:shd w:val="clear" w:color="auto" w:fill="auto"/>
            <w:noWrap/>
            <w:tcMar>
              <w:top w:w="10" w:type="dxa"/>
              <w:left w:w="10" w:type="dxa"/>
              <w:right w:w="10" w:type="dxa"/>
            </w:tcMar>
            <w:vAlign w:val="center"/>
          </w:tcPr>
          <w:p>
            <w:pPr>
              <w:widowControl/>
              <w:jc w:val="center"/>
              <w:textAlignment w:val="center"/>
              <w:rPr>
                <w:rFonts w:hint="eastAsia" w:ascii="宋体" w:hAnsi="宋体" w:eastAsia="宋体" w:cs="宋体"/>
                <w:color w:val="000000"/>
                <w:sz w:val="22"/>
                <w:szCs w:val="22"/>
                <w:lang w:eastAsia="zh-CN"/>
              </w:rPr>
            </w:pPr>
            <w:r>
              <w:rPr>
                <w:rFonts w:hint="eastAsia" w:ascii="宋体" w:hAnsi="宋体" w:eastAsia="宋体" w:cs="宋体"/>
                <w:color w:val="000000"/>
                <w:kern w:val="0"/>
                <w:sz w:val="22"/>
                <w:szCs w:val="22"/>
                <w:lang w:val="en-US" w:eastAsia="zh-CN" w:bidi="ar"/>
              </w:rPr>
              <w:t>调头车道（需记车牌）</w:t>
            </w:r>
          </w:p>
        </w:tc>
      </w:tr>
      <w:tr>
        <w:tblPrEx>
          <w:tblCellMar>
            <w:top w:w="0" w:type="dxa"/>
            <w:left w:w="0" w:type="dxa"/>
            <w:bottom w:w="0" w:type="dxa"/>
            <w:right w:w="0" w:type="dxa"/>
          </w:tblCellMar>
        </w:tblPrEx>
        <w:trPr>
          <w:trHeight w:val="392" w:hRule="atLeast"/>
          <w:jc w:val="center"/>
        </w:trPr>
        <w:tc>
          <w:tcPr>
            <w:tcW w:w="2067" w:type="dxa"/>
            <w:tcBorders>
              <w:top w:val="nil"/>
              <w:left w:val="nil"/>
              <w:bottom w:val="nil"/>
              <w:right w:val="nil"/>
            </w:tcBorders>
            <w:shd w:val="clear" w:color="auto" w:fill="auto"/>
            <w:noWrap/>
            <w:tcMar>
              <w:top w:w="10" w:type="dxa"/>
              <w:left w:w="10" w:type="dxa"/>
              <w:right w:w="10"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东进道口</w:t>
            </w:r>
          </w:p>
        </w:tc>
        <w:tc>
          <w:tcPr>
            <w:tcW w:w="2519" w:type="dxa"/>
            <w:tcBorders>
              <w:top w:val="nil"/>
              <w:left w:val="nil"/>
              <w:bottom w:val="nil"/>
              <w:right w:val="nil"/>
            </w:tcBorders>
            <w:shd w:val="clear" w:color="auto" w:fill="auto"/>
            <w:noWrap/>
            <w:tcMar>
              <w:top w:w="10" w:type="dxa"/>
              <w:left w:w="10" w:type="dxa"/>
              <w:right w:w="10" w:type="dxa"/>
            </w:tcMar>
            <w:vAlign w:val="center"/>
          </w:tcPr>
          <w:p>
            <w:pPr>
              <w:widowControl/>
              <w:jc w:val="center"/>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kern w:val="0"/>
                <w:sz w:val="22"/>
                <w:szCs w:val="22"/>
                <w:lang w:bidi="ar"/>
              </w:rPr>
              <w:t>赖雨梦</w:t>
            </w:r>
            <w:r>
              <w:rPr>
                <w:rFonts w:hint="eastAsia" w:ascii="宋体" w:hAnsi="宋体" w:eastAsia="宋体" w:cs="宋体"/>
                <w:color w:val="000000"/>
                <w:kern w:val="0"/>
                <w:sz w:val="22"/>
                <w:szCs w:val="22"/>
                <w:lang w:eastAsia="zh-CN" w:bidi="ar"/>
              </w:rPr>
              <w:t>、</w:t>
            </w:r>
            <w:r>
              <w:rPr>
                <w:rFonts w:hint="eastAsia" w:ascii="宋体" w:hAnsi="宋体" w:eastAsia="宋体" w:cs="宋体"/>
                <w:color w:val="000000"/>
                <w:kern w:val="0"/>
                <w:sz w:val="22"/>
                <w:szCs w:val="22"/>
                <w:lang w:val="en-US" w:eastAsia="zh-CN" w:bidi="ar"/>
              </w:rPr>
              <w:t>黄孜颖</w:t>
            </w:r>
          </w:p>
        </w:tc>
        <w:tc>
          <w:tcPr>
            <w:tcW w:w="1926" w:type="dxa"/>
            <w:tcBorders>
              <w:top w:val="nil"/>
              <w:left w:val="nil"/>
              <w:bottom w:val="nil"/>
              <w:right w:val="nil"/>
            </w:tcBorders>
            <w:shd w:val="clear" w:color="auto" w:fill="auto"/>
            <w:noWrap/>
            <w:tcMar>
              <w:top w:w="10" w:type="dxa"/>
              <w:left w:w="10" w:type="dxa"/>
              <w:right w:w="10" w:type="dxa"/>
            </w:tcMar>
            <w:vAlign w:val="center"/>
          </w:tcPr>
          <w:p>
            <w:pPr>
              <w:widowControl/>
              <w:jc w:val="center"/>
              <w:textAlignment w:val="center"/>
              <w:rPr>
                <w:rFonts w:hint="eastAsia" w:ascii="宋体" w:hAnsi="宋体" w:eastAsia="宋体" w:cs="宋体"/>
                <w:color w:val="000000"/>
                <w:sz w:val="22"/>
                <w:szCs w:val="22"/>
                <w:lang w:eastAsia="zh-CN"/>
              </w:rPr>
            </w:pPr>
            <w:r>
              <w:rPr>
                <w:rFonts w:hint="eastAsia" w:ascii="宋体" w:hAnsi="宋体" w:eastAsia="宋体" w:cs="宋体"/>
                <w:color w:val="000000"/>
                <w:kern w:val="0"/>
                <w:sz w:val="22"/>
                <w:szCs w:val="22"/>
                <w:lang w:val="en-US" w:eastAsia="zh-CN" w:bidi="ar"/>
              </w:rPr>
              <w:t>张雨田</w:t>
            </w:r>
          </w:p>
        </w:tc>
        <w:tc>
          <w:tcPr>
            <w:tcW w:w="2105" w:type="dxa"/>
            <w:tcBorders>
              <w:top w:val="nil"/>
              <w:left w:val="nil"/>
              <w:bottom w:val="nil"/>
              <w:right w:val="nil"/>
            </w:tcBorders>
            <w:shd w:val="clear" w:color="auto" w:fill="auto"/>
            <w:noWrap/>
            <w:tcMar>
              <w:top w:w="10" w:type="dxa"/>
              <w:left w:w="10" w:type="dxa"/>
              <w:right w:w="10" w:type="dxa"/>
            </w:tcMar>
            <w:vAlign w:val="center"/>
          </w:tcPr>
          <w:p>
            <w:pPr>
              <w:widowControl/>
              <w:jc w:val="both"/>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 xml:space="preserve">       /////</w:t>
            </w:r>
          </w:p>
        </w:tc>
      </w:tr>
      <w:tr>
        <w:tblPrEx>
          <w:tblCellMar>
            <w:top w:w="0" w:type="dxa"/>
            <w:left w:w="0" w:type="dxa"/>
            <w:bottom w:w="0" w:type="dxa"/>
            <w:right w:w="0" w:type="dxa"/>
          </w:tblCellMar>
        </w:tblPrEx>
        <w:trPr>
          <w:trHeight w:val="392" w:hRule="atLeast"/>
          <w:jc w:val="center"/>
        </w:trPr>
        <w:tc>
          <w:tcPr>
            <w:tcW w:w="2067" w:type="dxa"/>
            <w:tcBorders>
              <w:top w:val="nil"/>
              <w:left w:val="nil"/>
              <w:bottom w:val="nil"/>
              <w:right w:val="nil"/>
            </w:tcBorders>
            <w:shd w:val="clear" w:color="auto" w:fill="auto"/>
            <w:noWrap/>
            <w:tcMar>
              <w:top w:w="10" w:type="dxa"/>
              <w:left w:w="10" w:type="dxa"/>
              <w:right w:w="10"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南进道口</w:t>
            </w:r>
          </w:p>
        </w:tc>
        <w:tc>
          <w:tcPr>
            <w:tcW w:w="2519" w:type="dxa"/>
            <w:tcBorders>
              <w:top w:val="nil"/>
              <w:left w:val="nil"/>
              <w:bottom w:val="nil"/>
              <w:right w:val="nil"/>
            </w:tcBorders>
            <w:shd w:val="clear" w:color="auto" w:fill="auto"/>
            <w:noWrap/>
            <w:tcMar>
              <w:top w:w="10" w:type="dxa"/>
              <w:left w:w="10" w:type="dxa"/>
              <w:right w:w="10" w:type="dxa"/>
            </w:tcMar>
            <w:vAlign w:val="center"/>
          </w:tcPr>
          <w:p>
            <w:pPr>
              <w:widowControl/>
              <w:jc w:val="center"/>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kern w:val="0"/>
                <w:sz w:val="22"/>
                <w:szCs w:val="22"/>
                <w:lang w:bidi="ar"/>
              </w:rPr>
              <w:t>陈梦琪</w:t>
            </w:r>
            <w:r>
              <w:rPr>
                <w:rFonts w:hint="eastAsia" w:ascii="宋体" w:hAnsi="宋体" w:eastAsia="宋体" w:cs="宋体"/>
                <w:color w:val="000000"/>
                <w:kern w:val="0"/>
                <w:sz w:val="22"/>
                <w:szCs w:val="22"/>
                <w:lang w:eastAsia="zh-CN" w:bidi="ar"/>
              </w:rPr>
              <w:t>、</w:t>
            </w:r>
            <w:r>
              <w:rPr>
                <w:rFonts w:hint="eastAsia" w:ascii="宋体" w:hAnsi="宋体" w:eastAsia="宋体" w:cs="宋体"/>
                <w:color w:val="000000"/>
                <w:kern w:val="0"/>
                <w:sz w:val="22"/>
                <w:szCs w:val="22"/>
                <w:lang w:val="en-US" w:eastAsia="zh-CN" w:bidi="ar"/>
              </w:rPr>
              <w:t>陈彦蓉</w:t>
            </w:r>
          </w:p>
        </w:tc>
        <w:tc>
          <w:tcPr>
            <w:tcW w:w="1926" w:type="dxa"/>
            <w:tcBorders>
              <w:top w:val="nil"/>
              <w:left w:val="nil"/>
              <w:bottom w:val="nil"/>
              <w:right w:val="nil"/>
            </w:tcBorders>
            <w:shd w:val="clear" w:color="auto" w:fill="auto"/>
            <w:noWrap/>
            <w:tcMar>
              <w:top w:w="10" w:type="dxa"/>
              <w:left w:w="10" w:type="dxa"/>
              <w:right w:w="10" w:type="dxa"/>
            </w:tcMar>
            <w:vAlign w:val="center"/>
          </w:tcPr>
          <w:p>
            <w:pPr>
              <w:widowControl/>
              <w:jc w:val="center"/>
              <w:textAlignment w:val="center"/>
              <w:rPr>
                <w:rFonts w:hint="eastAsia" w:ascii="宋体" w:hAnsi="宋体" w:eastAsia="宋体" w:cs="宋体"/>
                <w:color w:val="000000"/>
                <w:sz w:val="22"/>
                <w:szCs w:val="22"/>
                <w:lang w:eastAsia="zh-CN"/>
              </w:rPr>
            </w:pPr>
            <w:r>
              <w:rPr>
                <w:rFonts w:hint="eastAsia" w:ascii="宋体" w:hAnsi="宋体" w:eastAsia="宋体" w:cs="宋体"/>
                <w:color w:val="000000"/>
                <w:kern w:val="0"/>
                <w:sz w:val="22"/>
                <w:szCs w:val="22"/>
                <w:lang w:val="en-US" w:eastAsia="zh-CN" w:bidi="ar"/>
              </w:rPr>
              <w:t>陈心怡</w:t>
            </w:r>
          </w:p>
        </w:tc>
        <w:tc>
          <w:tcPr>
            <w:tcW w:w="2105" w:type="dxa"/>
            <w:tcBorders>
              <w:top w:val="nil"/>
              <w:left w:val="nil"/>
              <w:bottom w:val="nil"/>
              <w:right w:val="nil"/>
            </w:tcBorders>
            <w:shd w:val="clear" w:color="auto" w:fill="auto"/>
            <w:noWrap/>
            <w:tcMar>
              <w:top w:w="10" w:type="dxa"/>
              <w:left w:w="10" w:type="dxa"/>
              <w:right w:w="10" w:type="dxa"/>
            </w:tcMar>
            <w:vAlign w:val="center"/>
          </w:tcPr>
          <w:p>
            <w:pPr>
              <w:widowControl/>
              <w:jc w:val="center"/>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kern w:val="0"/>
                <w:sz w:val="22"/>
                <w:szCs w:val="22"/>
                <w:lang w:val="en-US" w:eastAsia="zh-CN" w:bidi="ar"/>
              </w:rPr>
              <w:t>张麒</w:t>
            </w:r>
          </w:p>
        </w:tc>
      </w:tr>
      <w:tr>
        <w:tblPrEx>
          <w:tblCellMar>
            <w:top w:w="0" w:type="dxa"/>
            <w:left w:w="0" w:type="dxa"/>
            <w:bottom w:w="0" w:type="dxa"/>
            <w:right w:w="0" w:type="dxa"/>
          </w:tblCellMar>
        </w:tblPrEx>
        <w:trPr>
          <w:trHeight w:val="392" w:hRule="atLeast"/>
          <w:jc w:val="center"/>
        </w:trPr>
        <w:tc>
          <w:tcPr>
            <w:tcW w:w="2067" w:type="dxa"/>
            <w:tcBorders>
              <w:top w:val="nil"/>
              <w:left w:val="nil"/>
              <w:bottom w:val="nil"/>
              <w:right w:val="nil"/>
            </w:tcBorders>
            <w:shd w:val="clear" w:color="auto" w:fill="auto"/>
            <w:noWrap/>
            <w:tcMar>
              <w:top w:w="10" w:type="dxa"/>
              <w:left w:w="10" w:type="dxa"/>
              <w:right w:w="10"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西进道口</w:t>
            </w:r>
          </w:p>
        </w:tc>
        <w:tc>
          <w:tcPr>
            <w:tcW w:w="2519" w:type="dxa"/>
            <w:tcBorders>
              <w:top w:val="nil"/>
              <w:left w:val="nil"/>
              <w:bottom w:val="nil"/>
              <w:right w:val="nil"/>
            </w:tcBorders>
            <w:shd w:val="clear" w:color="auto" w:fill="auto"/>
            <w:noWrap/>
            <w:tcMar>
              <w:top w:w="10" w:type="dxa"/>
              <w:left w:w="10" w:type="dxa"/>
              <w:right w:w="10" w:type="dxa"/>
            </w:tcMar>
            <w:vAlign w:val="center"/>
          </w:tcPr>
          <w:p>
            <w:pPr>
              <w:widowControl/>
              <w:jc w:val="center"/>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kern w:val="0"/>
                <w:sz w:val="22"/>
                <w:szCs w:val="22"/>
                <w:lang w:bidi="ar"/>
              </w:rPr>
              <w:t>李浩彬</w:t>
            </w:r>
            <w:r>
              <w:rPr>
                <w:rFonts w:hint="eastAsia" w:ascii="宋体" w:hAnsi="宋体" w:eastAsia="宋体" w:cs="宋体"/>
                <w:color w:val="000000"/>
                <w:kern w:val="0"/>
                <w:sz w:val="22"/>
                <w:szCs w:val="22"/>
                <w:lang w:eastAsia="zh-CN" w:bidi="ar"/>
              </w:rPr>
              <w:t>、</w:t>
            </w:r>
            <w:r>
              <w:rPr>
                <w:rFonts w:hint="eastAsia" w:ascii="宋体" w:hAnsi="宋体" w:eastAsia="宋体" w:cs="宋体"/>
                <w:color w:val="000000"/>
                <w:kern w:val="0"/>
                <w:sz w:val="22"/>
                <w:szCs w:val="22"/>
                <w:lang w:val="en-US" w:eastAsia="zh-CN" w:bidi="ar"/>
              </w:rPr>
              <w:t>张丽涛</w:t>
            </w:r>
          </w:p>
        </w:tc>
        <w:tc>
          <w:tcPr>
            <w:tcW w:w="1926" w:type="dxa"/>
            <w:tcBorders>
              <w:top w:val="nil"/>
              <w:left w:val="nil"/>
              <w:bottom w:val="nil"/>
              <w:right w:val="nil"/>
            </w:tcBorders>
            <w:shd w:val="clear" w:color="auto" w:fill="auto"/>
            <w:noWrap/>
            <w:tcMar>
              <w:top w:w="10" w:type="dxa"/>
              <w:left w:w="10" w:type="dxa"/>
              <w:right w:w="10" w:type="dxa"/>
            </w:tcMar>
            <w:vAlign w:val="center"/>
          </w:tcPr>
          <w:p>
            <w:pPr>
              <w:widowControl/>
              <w:jc w:val="center"/>
              <w:textAlignment w:val="center"/>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吴玉冰</w:t>
            </w:r>
          </w:p>
        </w:tc>
        <w:tc>
          <w:tcPr>
            <w:tcW w:w="2105" w:type="dxa"/>
            <w:tcBorders>
              <w:top w:val="nil"/>
              <w:left w:val="nil"/>
              <w:bottom w:val="nil"/>
              <w:right w:val="nil"/>
            </w:tcBorders>
            <w:shd w:val="clear" w:color="auto" w:fill="auto"/>
            <w:noWrap/>
            <w:tcMar>
              <w:top w:w="10" w:type="dxa"/>
              <w:left w:w="10" w:type="dxa"/>
              <w:right w:w="10" w:type="dxa"/>
            </w:tcMar>
            <w:vAlign w:val="center"/>
          </w:tcPr>
          <w:p>
            <w:pPr>
              <w:widowControl/>
              <w:jc w:val="center"/>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杨翔宇</w:t>
            </w:r>
          </w:p>
        </w:tc>
      </w:tr>
      <w:tr>
        <w:tblPrEx>
          <w:tblCellMar>
            <w:top w:w="0" w:type="dxa"/>
            <w:left w:w="0" w:type="dxa"/>
            <w:bottom w:w="0" w:type="dxa"/>
            <w:right w:w="0" w:type="dxa"/>
          </w:tblCellMar>
        </w:tblPrEx>
        <w:trPr>
          <w:trHeight w:val="392" w:hRule="atLeast"/>
          <w:jc w:val="center"/>
        </w:trPr>
        <w:tc>
          <w:tcPr>
            <w:tcW w:w="2067" w:type="dxa"/>
            <w:tcBorders>
              <w:top w:val="nil"/>
              <w:left w:val="nil"/>
              <w:bottom w:val="nil"/>
              <w:right w:val="nil"/>
            </w:tcBorders>
            <w:shd w:val="clear" w:color="auto" w:fill="auto"/>
            <w:noWrap/>
            <w:tcMar>
              <w:top w:w="10" w:type="dxa"/>
              <w:left w:w="10" w:type="dxa"/>
              <w:right w:w="10"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北进道口</w:t>
            </w:r>
          </w:p>
        </w:tc>
        <w:tc>
          <w:tcPr>
            <w:tcW w:w="2519" w:type="dxa"/>
            <w:tcBorders>
              <w:top w:val="nil"/>
              <w:left w:val="nil"/>
              <w:bottom w:val="nil"/>
              <w:right w:val="nil"/>
            </w:tcBorders>
            <w:shd w:val="clear" w:color="auto" w:fill="auto"/>
            <w:noWrap/>
            <w:tcMar>
              <w:top w:w="10" w:type="dxa"/>
              <w:left w:w="10" w:type="dxa"/>
              <w:right w:w="10" w:type="dxa"/>
            </w:tcMar>
            <w:vAlign w:val="center"/>
          </w:tcPr>
          <w:p>
            <w:pPr>
              <w:widowControl/>
              <w:jc w:val="center"/>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kern w:val="0"/>
                <w:sz w:val="22"/>
                <w:szCs w:val="22"/>
                <w:lang w:val="en-US" w:eastAsia="zh-CN" w:bidi="ar"/>
              </w:rPr>
              <w:t>黄思娴、李曼妮、陈洁颖</w:t>
            </w:r>
          </w:p>
        </w:tc>
        <w:tc>
          <w:tcPr>
            <w:tcW w:w="1926" w:type="dxa"/>
            <w:tcBorders>
              <w:top w:val="nil"/>
              <w:left w:val="nil"/>
              <w:bottom w:val="nil"/>
              <w:right w:val="nil"/>
            </w:tcBorders>
            <w:shd w:val="clear" w:color="auto" w:fill="auto"/>
            <w:noWrap/>
            <w:tcMar>
              <w:top w:w="10" w:type="dxa"/>
              <w:left w:w="10" w:type="dxa"/>
              <w:right w:w="10" w:type="dxa"/>
            </w:tcMar>
            <w:vAlign w:val="center"/>
          </w:tcPr>
          <w:p>
            <w:pPr>
              <w:widowControl/>
              <w:jc w:val="center"/>
              <w:textAlignment w:val="center"/>
              <w:rPr>
                <w:rFonts w:hint="eastAsia" w:ascii="宋体" w:hAnsi="宋体" w:eastAsia="宋体" w:cs="宋体"/>
                <w:color w:val="000000"/>
                <w:sz w:val="22"/>
                <w:szCs w:val="22"/>
                <w:lang w:eastAsia="zh-CN"/>
              </w:rPr>
            </w:pPr>
            <w:r>
              <w:rPr>
                <w:rFonts w:hint="eastAsia" w:ascii="宋体" w:hAnsi="宋体" w:eastAsia="宋体" w:cs="宋体"/>
                <w:color w:val="000000"/>
                <w:kern w:val="0"/>
                <w:sz w:val="22"/>
                <w:szCs w:val="22"/>
                <w:lang w:val="en-US" w:eastAsia="zh-CN" w:bidi="ar"/>
              </w:rPr>
              <w:t>王其超</w:t>
            </w:r>
          </w:p>
        </w:tc>
        <w:tc>
          <w:tcPr>
            <w:tcW w:w="2105" w:type="dxa"/>
            <w:tcBorders>
              <w:top w:val="nil"/>
              <w:left w:val="nil"/>
              <w:bottom w:val="nil"/>
              <w:right w:val="nil"/>
            </w:tcBorders>
            <w:shd w:val="clear" w:color="auto" w:fill="auto"/>
            <w:noWrap/>
            <w:tcMar>
              <w:top w:w="10" w:type="dxa"/>
              <w:left w:w="10" w:type="dxa"/>
              <w:right w:w="10" w:type="dxa"/>
            </w:tcMar>
            <w:vAlign w:val="center"/>
          </w:tcPr>
          <w:p>
            <w:pPr>
              <w:widowControl/>
              <w:jc w:val="center"/>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kern w:val="0"/>
                <w:sz w:val="22"/>
                <w:szCs w:val="22"/>
                <w:lang w:val="en-US" w:eastAsia="zh-CN" w:bidi="ar"/>
              </w:rPr>
              <w:t>张洲</w:t>
            </w:r>
          </w:p>
        </w:tc>
      </w:tr>
    </w:tbl>
    <w:p>
      <w:pPr>
        <w:rPr>
          <w:rFonts w:hint="eastAsia" w:eastAsiaTheme="minorEastAsia"/>
          <w:sz w:val="24"/>
          <w:lang w:eastAsia="zh-CN"/>
        </w:rPr>
      </w:pPr>
      <w:r>
        <w:rPr>
          <w:rFonts w:hint="eastAsia" w:eastAsiaTheme="minorEastAsia"/>
          <w:sz w:val="24"/>
          <w:lang w:eastAsia="zh-CN"/>
        </w:rPr>
        <w:drawing>
          <wp:inline distT="0" distB="0" distL="114300" distR="114300">
            <wp:extent cx="4999990" cy="6304280"/>
            <wp:effectExtent l="0" t="0" r="3810" b="7620"/>
            <wp:docPr id="10" name="图片 10" descr="微信图片_201911242248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微信图片_20191124224807"/>
                    <pic:cNvPicPr>
                      <a:picLocks noChangeAspect="1"/>
                    </pic:cNvPicPr>
                  </pic:nvPicPr>
                  <pic:blipFill>
                    <a:blip r:embed="rId8"/>
                    <a:stretch>
                      <a:fillRect/>
                    </a:stretch>
                  </pic:blipFill>
                  <pic:spPr>
                    <a:xfrm>
                      <a:off x="0" y="0"/>
                      <a:ext cx="4999990" cy="6304280"/>
                    </a:xfrm>
                    <a:prstGeom prst="rect">
                      <a:avLst/>
                    </a:prstGeom>
                  </pic:spPr>
                </pic:pic>
              </a:graphicData>
            </a:graphic>
          </wp:inline>
        </w:drawing>
      </w:r>
    </w:p>
    <w:p>
      <w:pPr>
        <w:pStyle w:val="11"/>
        <w:numPr>
          <w:ilvl w:val="0"/>
          <w:numId w:val="6"/>
        </w:numPr>
        <w:spacing w:line="276" w:lineRule="auto"/>
        <w:ind w:firstLineChars="0"/>
        <w:rPr>
          <w:sz w:val="24"/>
        </w:rPr>
      </w:pPr>
      <w:r>
        <w:rPr>
          <w:rFonts w:hint="eastAsia"/>
          <w:sz w:val="24"/>
        </w:rPr>
        <w:t>具体时间安排：</w:t>
      </w:r>
    </w:p>
    <w:p>
      <w:pPr>
        <w:pStyle w:val="11"/>
        <w:spacing w:line="276" w:lineRule="auto"/>
        <w:ind w:left="420" w:firstLine="0" w:firstLineChars="0"/>
        <w:rPr>
          <w:sz w:val="24"/>
        </w:rPr>
      </w:pPr>
      <w:r>
        <w:rPr>
          <w:rFonts w:hint="eastAsia"/>
          <w:sz w:val="24"/>
        </w:rPr>
        <w:t>第十三周到第十四周：调查早晚高峰数据；</w:t>
      </w:r>
    </w:p>
    <w:p>
      <w:pPr>
        <w:pStyle w:val="11"/>
        <w:spacing w:line="276" w:lineRule="auto"/>
        <w:ind w:left="420" w:firstLine="0" w:firstLineChars="0"/>
        <w:rPr>
          <w:sz w:val="24"/>
        </w:rPr>
      </w:pPr>
      <w:r>
        <w:rPr>
          <w:rFonts w:hint="eastAsia"/>
          <w:sz w:val="24"/>
        </w:rPr>
        <w:t>第十四周到第十五周：调查周末以及平时的数据；</w:t>
      </w:r>
    </w:p>
    <w:p>
      <w:pPr>
        <w:pStyle w:val="11"/>
        <w:spacing w:line="276" w:lineRule="auto"/>
        <w:ind w:left="420" w:firstLine="0" w:firstLineChars="0"/>
        <w:rPr>
          <w:rFonts w:hint="eastAsia"/>
          <w:sz w:val="24"/>
        </w:rPr>
      </w:pPr>
      <w:r>
        <w:rPr>
          <w:rFonts w:hint="eastAsia"/>
          <w:sz w:val="24"/>
        </w:rPr>
        <w:t>第十五周到第十六周：进行数据分析以及撰写相应的调查报告。</w:t>
      </w:r>
    </w:p>
    <w:p>
      <w:pPr>
        <w:pStyle w:val="11"/>
        <w:spacing w:line="276" w:lineRule="auto"/>
        <w:ind w:left="420" w:firstLine="0" w:firstLineChars="0"/>
        <w:rPr>
          <w:rFonts w:hint="eastAsia"/>
          <w:sz w:val="24"/>
        </w:rPr>
      </w:pPr>
    </w:p>
    <w:p>
      <w:pPr>
        <w:pStyle w:val="11"/>
        <w:numPr>
          <w:ilvl w:val="0"/>
          <w:numId w:val="6"/>
        </w:numPr>
        <w:spacing w:line="276" w:lineRule="auto"/>
        <w:ind w:firstLineChars="0"/>
        <w:rPr>
          <w:sz w:val="24"/>
        </w:rPr>
      </w:pPr>
      <w:r>
        <w:rPr>
          <w:rFonts w:hint="eastAsia"/>
          <w:sz w:val="24"/>
        </w:rPr>
        <w:t>具体工作分工：</w:t>
      </w:r>
    </w:p>
    <w:p>
      <w:pPr>
        <w:pStyle w:val="11"/>
        <w:spacing w:line="276" w:lineRule="auto"/>
        <w:ind w:left="420" w:firstLine="0" w:firstLineChars="0"/>
        <w:rPr>
          <w:rFonts w:hint="eastAsia" w:eastAsiaTheme="minorEastAsia"/>
          <w:sz w:val="24"/>
          <w:lang w:eastAsia="zh-CN"/>
        </w:rPr>
      </w:pPr>
      <w:r>
        <w:rPr>
          <w:rFonts w:hint="eastAsia"/>
          <w:sz w:val="24"/>
        </w:rPr>
        <w:t>（1）数据分析和处理：第十四组（组长杨翔宇）主要负责，第十一组（</w:t>
      </w:r>
      <w:r>
        <w:rPr>
          <w:rFonts w:hint="eastAsia"/>
          <w:sz w:val="24"/>
          <w:lang w:val="en-US" w:eastAsia="zh-CN"/>
        </w:rPr>
        <w:t>组</w:t>
      </w:r>
      <w:r>
        <w:rPr>
          <w:rFonts w:hint="eastAsia"/>
          <w:sz w:val="24"/>
        </w:rPr>
        <w:t>长陈心怡）</w:t>
      </w:r>
      <w:r>
        <w:rPr>
          <w:rFonts w:hint="eastAsia"/>
          <w:sz w:val="24"/>
          <w:lang w:eastAsia="zh-CN"/>
        </w:rPr>
        <w:t>，</w:t>
      </w:r>
      <w:r>
        <w:rPr>
          <w:rFonts w:hint="eastAsia"/>
          <w:sz w:val="24"/>
        </w:rPr>
        <w:t>第五组（组长张麒）</w:t>
      </w:r>
      <w:r>
        <w:rPr>
          <w:rFonts w:hint="eastAsia"/>
          <w:sz w:val="24"/>
          <w:lang w:eastAsia="zh-CN"/>
        </w:rPr>
        <w:t>；</w:t>
      </w:r>
    </w:p>
    <w:p>
      <w:pPr>
        <w:pStyle w:val="11"/>
        <w:spacing w:line="276" w:lineRule="auto"/>
        <w:ind w:left="420" w:firstLine="0" w:firstLineChars="0"/>
        <w:rPr>
          <w:rFonts w:hint="eastAsia" w:eastAsiaTheme="minorEastAsia"/>
          <w:sz w:val="24"/>
          <w:lang w:eastAsia="zh-CN"/>
        </w:rPr>
      </w:pPr>
      <w:r>
        <w:rPr>
          <w:rFonts w:hint="eastAsia"/>
          <w:sz w:val="24"/>
        </w:rPr>
        <w:t>（3）问题总结与分析：第十九组（组长张洲）</w:t>
      </w:r>
      <w:r>
        <w:rPr>
          <w:rFonts w:hint="eastAsia"/>
          <w:sz w:val="24"/>
          <w:lang w:eastAsia="zh-CN"/>
        </w:rPr>
        <w:t>；</w:t>
      </w:r>
    </w:p>
    <w:p>
      <w:pPr>
        <w:pStyle w:val="11"/>
        <w:spacing w:line="276" w:lineRule="auto"/>
        <w:ind w:left="420" w:firstLine="0" w:firstLineChars="0"/>
        <w:rPr>
          <w:rFonts w:hint="eastAsia"/>
          <w:sz w:val="24"/>
        </w:rPr>
      </w:pPr>
    </w:p>
    <w:p>
      <w:pPr>
        <w:spacing w:line="276" w:lineRule="auto"/>
        <w:rPr>
          <w:rFonts w:hint="eastAsia"/>
          <w:b/>
          <w:bCs/>
          <w:sz w:val="24"/>
          <w:lang w:val="en-US" w:eastAsia="zh-CN"/>
        </w:rPr>
      </w:pPr>
    </w:p>
    <w:p>
      <w:pPr>
        <w:pStyle w:val="4"/>
        <w:bidi w:val="0"/>
        <w:outlineLvl w:val="0"/>
        <w:rPr>
          <w:rFonts w:hint="eastAsia"/>
          <w:sz w:val="24"/>
          <w:szCs w:val="22"/>
        </w:rPr>
      </w:pPr>
      <w:bookmarkStart w:id="8" w:name="_Toc9112"/>
      <w:r>
        <w:rPr>
          <w:rFonts w:hint="eastAsia"/>
          <w:sz w:val="24"/>
          <w:szCs w:val="22"/>
          <w:lang w:val="en-US" w:eastAsia="zh-CN"/>
        </w:rPr>
        <w:t>九</w:t>
      </w:r>
      <w:r>
        <w:rPr>
          <w:rFonts w:hint="eastAsia"/>
          <w:sz w:val="24"/>
          <w:szCs w:val="22"/>
        </w:rPr>
        <w:t>、注意事项</w:t>
      </w:r>
      <w:bookmarkEnd w:id="8"/>
    </w:p>
    <w:p>
      <w:pPr>
        <w:pStyle w:val="11"/>
        <w:numPr>
          <w:ilvl w:val="0"/>
          <w:numId w:val="7"/>
        </w:numPr>
        <w:spacing w:line="276" w:lineRule="auto"/>
        <w:ind w:firstLineChars="0"/>
        <w:rPr>
          <w:sz w:val="24"/>
        </w:rPr>
      </w:pPr>
      <w:r>
        <w:rPr>
          <w:rFonts w:hint="eastAsia"/>
          <w:sz w:val="24"/>
        </w:rPr>
        <w:t>调查过程中，安全第一，并切记一定要拍照记录调查过程，用于后期总结；调查期间必须穿上反光衣，佩戴一次性口罩，并挂上交通调查证；</w:t>
      </w:r>
    </w:p>
    <w:p>
      <w:pPr>
        <w:pStyle w:val="11"/>
        <w:numPr>
          <w:ilvl w:val="0"/>
          <w:numId w:val="7"/>
        </w:numPr>
        <w:spacing w:line="276" w:lineRule="auto"/>
        <w:ind w:firstLineChars="0"/>
        <w:rPr>
          <w:sz w:val="24"/>
        </w:rPr>
      </w:pPr>
      <w:r>
        <w:rPr>
          <w:rFonts w:hint="eastAsia"/>
          <w:sz w:val="24"/>
        </w:rPr>
        <w:t>一切行动听从组长安排，切勿擅自行动，有问题需及时汇报，以便早点解决。如遇突发事件需请假，需提前向组长说明，不得擅自缺席。</w:t>
      </w:r>
    </w:p>
    <w:p>
      <w:pPr>
        <w:pStyle w:val="11"/>
        <w:numPr>
          <w:ilvl w:val="0"/>
          <w:numId w:val="7"/>
        </w:numPr>
        <w:spacing w:line="276" w:lineRule="auto"/>
        <w:ind w:firstLineChars="0"/>
        <w:rPr>
          <w:sz w:val="24"/>
        </w:rPr>
      </w:pPr>
      <w:r>
        <w:rPr>
          <w:rFonts w:hint="eastAsia"/>
          <w:sz w:val="24"/>
          <w:lang w:val="en-US" w:eastAsia="zh-CN"/>
        </w:rPr>
        <w:t>计算车牌的同学只要求记录后三位，动作迅速准确</w:t>
      </w:r>
      <w:bookmarkStart w:id="9" w:name="_GoBack"/>
      <w:bookmarkEnd w:id="9"/>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Impact">
    <w:panose1 w:val="020B0806030902050204"/>
    <w:charset w:val="00"/>
    <w:family w:val="auto"/>
    <w:pitch w:val="default"/>
    <w:sig w:usb0="00000287" w:usb1="00000000" w:usb2="00000000" w:usb3="00000000" w:csb0="2000009F" w:csb1="DFD70000"/>
  </w:font>
  <w:font w:name="Calibri Light">
    <w:panose1 w:val="020F0302020204030204"/>
    <w:charset w:val="00"/>
    <w:family w:val="auto"/>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 w:name="华文中宋">
    <w:panose1 w:val="02010600040101010101"/>
    <w:charset w:val="86"/>
    <w:family w:val="auto"/>
    <w:pitch w:val="default"/>
    <w:sig w:usb0="00000287" w:usb1="080F0000" w:usb2="00000000" w:usb3="00000000" w:csb0="0004009F" w:csb1="DFD7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183C1A1"/>
    <w:multiLevelType w:val="singleLevel"/>
    <w:tmpl w:val="9183C1A1"/>
    <w:lvl w:ilvl="0" w:tentative="0">
      <w:start w:val="1"/>
      <w:numFmt w:val="decimal"/>
      <w:suff w:val="nothing"/>
      <w:lvlText w:val="%1、"/>
      <w:lvlJc w:val="left"/>
    </w:lvl>
  </w:abstractNum>
  <w:abstractNum w:abstractNumId="1">
    <w:nsid w:val="AA569A3A"/>
    <w:multiLevelType w:val="singleLevel"/>
    <w:tmpl w:val="AA569A3A"/>
    <w:lvl w:ilvl="0" w:tentative="0">
      <w:start w:val="1"/>
      <w:numFmt w:val="decimal"/>
      <w:suff w:val="nothing"/>
      <w:lvlText w:val="%1、"/>
      <w:lvlJc w:val="left"/>
    </w:lvl>
  </w:abstractNum>
  <w:abstractNum w:abstractNumId="2">
    <w:nsid w:val="F50BAC67"/>
    <w:multiLevelType w:val="singleLevel"/>
    <w:tmpl w:val="F50BAC67"/>
    <w:lvl w:ilvl="0" w:tentative="0">
      <w:start w:val="1"/>
      <w:numFmt w:val="decimal"/>
      <w:suff w:val="nothing"/>
      <w:lvlText w:val="%1、"/>
      <w:lvlJc w:val="left"/>
    </w:lvl>
  </w:abstractNum>
  <w:abstractNum w:abstractNumId="3">
    <w:nsid w:val="11157D7B"/>
    <w:multiLevelType w:val="multilevel"/>
    <w:tmpl w:val="11157D7B"/>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1B0F5572"/>
    <w:multiLevelType w:val="multilevel"/>
    <w:tmpl w:val="1B0F5572"/>
    <w:lvl w:ilvl="0" w:tentative="0">
      <w:start w:val="1"/>
      <w:numFmt w:val="decimal"/>
      <w:lvlText w:val="%1."/>
      <w:lvlJc w:val="left"/>
      <w:pPr>
        <w:ind w:left="420" w:hanging="420"/>
      </w:pPr>
      <w:rPr>
        <w:rFonts w:hint="eastAsia"/>
      </w:rPr>
    </w:lvl>
    <w:lvl w:ilvl="1" w:tentative="0">
      <w:start w:val="1"/>
      <w:numFmt w:val="decimal"/>
      <w:lvlText w:val="%2."/>
      <w:lvlJc w:val="left"/>
      <w:pPr>
        <w:ind w:left="780" w:hanging="36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2E035B2C"/>
    <w:multiLevelType w:val="multilevel"/>
    <w:tmpl w:val="2E035B2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65511099"/>
    <w:multiLevelType w:val="multilevel"/>
    <w:tmpl w:val="65511099"/>
    <w:lvl w:ilvl="0" w:tentative="0">
      <w:start w:val="1"/>
      <w:numFmt w:val="decimal"/>
      <w:pStyle w:val="2"/>
      <w:lvlText w:val="%1"/>
      <w:lvlJc w:val="left"/>
      <w:pPr>
        <w:ind w:left="432" w:hanging="432"/>
      </w:pPr>
    </w:lvl>
    <w:lvl w:ilvl="1" w:tentative="0">
      <w:start w:val="1"/>
      <w:numFmt w:val="decimal"/>
      <w:lvlText w:val="%1.%2"/>
      <w:lvlJc w:val="left"/>
      <w:pPr>
        <w:ind w:left="576" w:hanging="576"/>
      </w:pPr>
    </w:lvl>
    <w:lvl w:ilvl="2" w:tentative="0">
      <w:start w:val="1"/>
      <w:numFmt w:val="decimal"/>
      <w:lvlText w:val="%1.%2.%3"/>
      <w:lvlJc w:val="left"/>
      <w:pPr>
        <w:ind w:left="720" w:hanging="720"/>
      </w:pPr>
    </w:lvl>
    <w:lvl w:ilvl="3" w:tentative="0">
      <w:start w:val="1"/>
      <w:numFmt w:val="decimal"/>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num w:numId="1">
    <w:abstractNumId w:val="6"/>
  </w:num>
  <w:num w:numId="2">
    <w:abstractNumId w:val="2"/>
  </w:num>
  <w:num w:numId="3">
    <w:abstractNumId w:val="0"/>
  </w:num>
  <w:num w:numId="4">
    <w:abstractNumId w:val="1"/>
  </w:num>
  <w:num w:numId="5">
    <w:abstractNumId w:val="4"/>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3949F1"/>
    <w:rsid w:val="0030086B"/>
    <w:rsid w:val="0082005E"/>
    <w:rsid w:val="008A44D5"/>
    <w:rsid w:val="008D0F4F"/>
    <w:rsid w:val="00A25B95"/>
    <w:rsid w:val="00B969E2"/>
    <w:rsid w:val="00D54E28"/>
    <w:rsid w:val="037F73B3"/>
    <w:rsid w:val="133949F1"/>
    <w:rsid w:val="346A42ED"/>
    <w:rsid w:val="66B43EA5"/>
    <w:rsid w:val="7F300C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keepNext/>
      <w:keepLines/>
      <w:numPr>
        <w:ilvl w:val="0"/>
        <w:numId w:val="1"/>
      </w:numPr>
      <w:spacing w:before="340" w:after="330" w:line="578" w:lineRule="auto"/>
      <w:outlineLvl w:val="0"/>
    </w:pPr>
    <w:rPr>
      <w:rFonts w:ascii="Calibri" w:hAnsi="Calibri" w:eastAsia="宋体" w:cs="Times New Roman"/>
      <w:b/>
      <w:bCs/>
      <w:kern w:val="44"/>
      <w:sz w:val="44"/>
      <w:szCs w:val="44"/>
    </w:rPr>
  </w:style>
  <w:style w:type="paragraph" w:styleId="3">
    <w:name w:val="heading 3"/>
    <w:basedOn w:val="1"/>
    <w:next w:val="1"/>
    <w:unhideWhenUsed/>
    <w:qFormat/>
    <w:uiPriority w:val="0"/>
    <w:pPr>
      <w:keepNext/>
      <w:keepLines/>
      <w:spacing w:before="260" w:after="260" w:line="413" w:lineRule="auto"/>
      <w:outlineLvl w:val="2"/>
    </w:pPr>
    <w:rPr>
      <w:b/>
      <w:sz w:val="32"/>
    </w:rPr>
  </w:style>
  <w:style w:type="paragraph" w:styleId="4">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5">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9">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6">
    <w:name w:val="toc 1"/>
    <w:basedOn w:val="1"/>
    <w:next w:val="1"/>
    <w:unhideWhenUsed/>
    <w:uiPriority w:val="39"/>
    <w:rPr>
      <w:rFonts w:ascii="Calibri" w:hAnsi="Calibri" w:eastAsia="宋体" w:cs="Times New Roman"/>
    </w:rPr>
  </w:style>
  <w:style w:type="table" w:styleId="8">
    <w:name w:val="Table Grid"/>
    <w:basedOn w:val="7"/>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unhideWhenUsed/>
    <w:qFormat/>
    <w:uiPriority w:val="99"/>
    <w:rPr>
      <w:color w:val="0000FF"/>
      <w:u w:val="single"/>
    </w:rPr>
  </w:style>
  <w:style w:type="paragraph" w:styleId="11">
    <w:name w:val="List Paragraph"/>
    <w:basedOn w:val="1"/>
    <w:uiPriority w:val="99"/>
    <w:pPr>
      <w:ind w:firstLine="420" w:firstLineChars="200"/>
    </w:pPr>
  </w:style>
  <w:style w:type="character" w:customStyle="1" w:styleId="12">
    <w:name w:val="font01"/>
    <w:basedOn w:val="9"/>
    <w:uiPriority w:val="0"/>
    <w:rPr>
      <w:rFonts w:ascii="等线" w:hAnsi="等线" w:eastAsia="等线" w:cs="等线"/>
      <w:b/>
      <w:color w:val="000000"/>
      <w:sz w:val="20"/>
      <w:szCs w:val="20"/>
      <w:u w:val="none"/>
    </w:rPr>
  </w:style>
  <w:style w:type="paragraph" w:customStyle="1" w:styleId="13">
    <w:name w:val="TOC Heading"/>
    <w:basedOn w:val="2"/>
    <w:next w:val="1"/>
    <w:qFormat/>
    <w:uiPriority w:val="39"/>
    <w:pPr>
      <w:widowControl/>
      <w:numPr>
        <w:numId w:val="0"/>
      </w:numPr>
      <w:spacing w:before="480" w:after="0" w:line="276" w:lineRule="auto"/>
      <w:jc w:val="left"/>
      <w:outlineLvl w:val="9"/>
    </w:pPr>
    <w:rPr>
      <w:rFonts w:ascii="Cambria" w:hAnsi="Cambria"/>
      <w:color w:val="365F91"/>
      <w:kern w:val="0"/>
      <w:sz w:val="28"/>
      <w:szCs w:val="28"/>
    </w:rPr>
  </w:style>
  <w:style w:type="paragraph" w:customStyle="1" w:styleId="14">
    <w:name w:val="WPSOffice手动目录 1"/>
    <w:uiPriority w:val="0"/>
    <w:pPr>
      <w:ind w:leftChars="0"/>
    </w:pPr>
    <w:rPr>
      <w:sz w:val="20"/>
      <w:szCs w:val="2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380</Words>
  <Characters>2172</Characters>
  <Lines>18</Lines>
  <Paragraphs>5</Paragraphs>
  <TotalTime>6</TotalTime>
  <ScaleCrop>false</ScaleCrop>
  <LinksUpToDate>false</LinksUpToDate>
  <CharactersWithSpaces>2547</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2019-11-16T00:50:00Z</dcterms:created>
  <dc:creator>Joe Big Big</dc:creator>
  <cp:lastModifiedBy>Joe Big Big</cp:lastModifiedBy>
  <dcterms:modified xsi:type="dcterms:W3CDTF">2019-11-24T15:00:09Z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