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80" w:line="300" w:lineRule="auto"/>
      </w:pPr>
      <w:r>
        <w:rPr>
          <w:rFonts w:ascii="Calibri" w:hAnsi="Calibri"/>
          <w:b/>
          <w:i w:val="0"/>
          <w:color w:val="2E74B5"/>
          <w:sz w:val="20"/>
        </w:rPr>
        <w:t>AI LITERACY · RESEARCH SKILLS</w:t>
      </w:r>
    </w:p>
    <w:p>
      <w:pPr>
        <w:keepNext w:val="0"/>
        <w:spacing w:before="0" w:after="100" w:line="300" w:lineRule="auto"/>
      </w:pPr>
      <w:r>
        <w:rPr>
          <w:rFonts w:ascii="Calibri" w:hAnsi="Calibri"/>
          <w:b/>
          <w:i w:val="0"/>
          <w:color w:val="172033"/>
          <w:sz w:val="50"/>
        </w:rPr>
        <w:t>Test an AI Research Assistant for Repeatable Results</w:t>
      </w:r>
    </w:p>
    <w:p>
      <w:pPr>
        <w:keepNext w:val="0"/>
        <w:spacing w:before="0" w:after="280" w:line="300" w:lineRule="auto"/>
      </w:pPr>
      <w:r>
        <w:rPr>
          <w:rFonts w:ascii="Calibri" w:hAnsi="Calibri"/>
          <w:b w:val="0"/>
          <w:i w:val="0"/>
          <w:color w:val="596579"/>
          <w:sz w:val="28"/>
        </w:rPr>
        <w:t>A reusable higher-education learning activity</w:t>
      </w:r>
    </w:p>
    <w:tbl>
      <w:tblPr>
        <w:tblW w:type="dxa" w:w="9360"/>
        <w:jc w:val="left"/>
        <w:tblLayout w:type="fixed"/>
        <w:tblLook w:firstColumn="1" w:firstRow="1" w:lastColumn="0" w:lastRow="0" w:noHBand="0" w:noVBand="1" w:val="04A0"/>
        <w:tblInd w:w="120" w:type="dxa"/>
      </w:tblPr>
      <w:tblGrid>
        <w:gridCol w:w="3120"/>
        <w:gridCol w:w="3120"/>
        <w:gridCol w:w="3120"/>
      </w:tblGrid>
      <w:tr>
        <w:trPr>
          <w:tblHeader w:val="true"/>
        </w:trPr>
        <w:tc>
          <w:tcPr>
            <w:tcW w:type="dxa" w:w="3120"/>
            <w:vAlign w:val="center"/>
            <w:tcMar>
              <w:top w:w="80" w:type="dxa"/>
              <w:start w:w="120" w:type="dxa"/>
              <w:bottom w:w="80" w:type="dxa"/>
              <w:end w:w="120" w:type="dxa"/>
            </w:tcMar>
            <w:shd w:fill="2E74B5"/>
          </w:tcPr>
          <w:p>
            <w:pPr>
              <w:spacing w:before="0" w:after="0"/>
              <w:jc w:val="center"/>
            </w:pPr>
            <w:r>
              <w:rPr>
                <w:rFonts w:ascii="Calibri" w:hAnsi="Calibri"/>
                <w:b/>
                <w:i w:val="0"/>
                <w:color w:val="FFFFFF"/>
                <w:sz w:val="17"/>
              </w:rPr>
              <w:t>DURATION</w:t>
            </w:r>
          </w:p>
        </w:tc>
        <w:tc>
          <w:tcPr>
            <w:tcW w:type="dxa" w:w="3120"/>
            <w:vAlign w:val="center"/>
            <w:tcMar>
              <w:top w:w="80" w:type="dxa"/>
              <w:start w:w="120" w:type="dxa"/>
              <w:bottom w:w="80" w:type="dxa"/>
              <w:end w:w="120" w:type="dxa"/>
            </w:tcMar>
            <w:shd w:fill="2E74B5"/>
          </w:tcPr>
          <w:p>
            <w:pPr>
              <w:spacing w:before="0" w:after="0"/>
              <w:jc w:val="center"/>
            </w:pPr>
            <w:r>
              <w:rPr>
                <w:rFonts w:ascii="Calibri" w:hAnsi="Calibri"/>
                <w:b/>
                <w:i w:val="0"/>
                <w:color w:val="FFFFFF"/>
                <w:sz w:val="17"/>
              </w:rPr>
              <w:t>FORMAT</w:t>
            </w:r>
          </w:p>
        </w:tc>
        <w:tc>
          <w:tcPr>
            <w:tcW w:type="dxa" w:w="3120"/>
            <w:vAlign w:val="center"/>
            <w:tcMar>
              <w:top w:w="80" w:type="dxa"/>
              <w:start w:w="120" w:type="dxa"/>
              <w:bottom w:w="80" w:type="dxa"/>
              <w:end w:w="120" w:type="dxa"/>
            </w:tcMar>
            <w:shd w:fill="2E74B5"/>
          </w:tcPr>
          <w:p>
            <w:pPr>
              <w:spacing w:before="0" w:after="0"/>
              <w:jc w:val="center"/>
            </w:pPr>
            <w:r>
              <w:rPr>
                <w:rFonts w:ascii="Calibri" w:hAnsi="Calibri"/>
                <w:b/>
                <w:i w:val="0"/>
                <w:color w:val="FFFFFF"/>
                <w:sz w:val="17"/>
              </w:rPr>
              <w:t>OUTPUT</w:t>
            </w:r>
          </w:p>
        </w:tc>
      </w:tr>
      <w:tr>
        <w:tc>
          <w:tcPr>
            <w:tcW w:type="dxa" w:w="3120"/>
            <w:vAlign w:val="center"/>
            <w:tcMar>
              <w:top w:w="80" w:type="dxa"/>
              <w:start w:w="120" w:type="dxa"/>
              <w:bottom w:w="80" w:type="dxa"/>
              <w:end w:w="120" w:type="dxa"/>
            </w:tcMar>
            <w:shd w:fill="E8EEF5"/>
          </w:tcPr>
          <w:p>
            <w:pPr>
              <w:spacing w:before="0" w:after="0"/>
              <w:jc w:val="center"/>
            </w:pPr>
            <w:r>
              <w:rPr>
                <w:rFonts w:ascii="Calibri" w:hAnsi="Calibri"/>
                <w:b/>
                <w:i w:val="0"/>
                <w:color w:val="172033"/>
                <w:sz w:val="20"/>
              </w:rPr>
              <w:t>45–60 minutes</w:t>
            </w:r>
          </w:p>
        </w:tc>
        <w:tc>
          <w:tcPr>
            <w:tcW w:type="dxa" w:w="3120"/>
            <w:vAlign w:val="center"/>
            <w:tcMar>
              <w:top w:w="80" w:type="dxa"/>
              <w:start w:w="120" w:type="dxa"/>
              <w:bottom w:w="80" w:type="dxa"/>
              <w:end w:w="120" w:type="dxa"/>
            </w:tcMar>
            <w:shd w:fill="E8EEF5"/>
          </w:tcPr>
          <w:p>
            <w:pPr>
              <w:spacing w:before="0" w:after="0"/>
              <w:jc w:val="center"/>
            </w:pPr>
            <w:r>
              <w:rPr>
                <w:rFonts w:ascii="Calibri" w:hAnsi="Calibri"/>
                <w:b/>
                <w:i w:val="0"/>
                <w:color w:val="172033"/>
                <w:sz w:val="20"/>
              </w:rPr>
              <w:t>Individual or small group</w:t>
            </w:r>
          </w:p>
        </w:tc>
        <w:tc>
          <w:tcPr>
            <w:tcW w:type="dxa" w:w="3120"/>
            <w:vAlign w:val="center"/>
            <w:tcMar>
              <w:top w:w="80" w:type="dxa"/>
              <w:start w:w="120" w:type="dxa"/>
              <w:bottom w:w="80" w:type="dxa"/>
              <w:end w:w="120" w:type="dxa"/>
            </w:tcMar>
            <w:shd w:fill="E8EEF5"/>
          </w:tcPr>
          <w:p>
            <w:pPr>
              <w:spacing w:before="0" w:after="0"/>
              <w:jc w:val="center"/>
            </w:pPr>
            <w:r>
              <w:rPr>
                <w:rFonts w:ascii="Calibri" w:hAnsi="Calibri"/>
                <w:b/>
                <w:i w:val="0"/>
                <w:color w:val="172033"/>
                <w:sz w:val="20"/>
              </w:rPr>
              <w:t>Three-run evidence log</w:t>
            </w:r>
          </w:p>
        </w:tc>
      </w:tr>
    </w:tbl>
    <w:p>
      <w:pPr>
        <w:pStyle w:val="Heading1"/>
        <w:keepNext/>
      </w:pPr>
      <w:r>
        <w:rPr>
          <w:rFonts w:ascii="Calibri" w:hAnsi="Calibri"/>
          <w:b/>
          <w:i w:val="0"/>
          <w:color w:val="2E74B5"/>
          <w:sz w:val="32"/>
        </w:rPr>
        <w:t>Purpose</w:t>
      </w:r>
    </w:p>
    <w:p>
      <w:pPr>
        <w:keepNext w:val="0"/>
        <w:spacing w:before="0" w:after="120" w:line="300" w:lineRule="auto"/>
      </w:pPr>
      <w:r>
        <w:rPr>
          <w:rFonts w:ascii="Calibri" w:hAnsi="Calibri"/>
          <w:b w:val="0"/>
          <w:i w:val="0"/>
          <w:color w:val="172033"/>
          <w:sz w:val="22"/>
        </w:rPr>
        <w:t>AI research assistants can return different results when the same question is repeated. This activity helps learners test variability, trace claims to sources and decide how much confidence to place in one output.</w:t>
      </w:r>
    </w:p>
    <w:p>
      <w:pPr>
        <w:pStyle w:val="Heading1"/>
        <w:keepNext/>
      </w:pPr>
      <w:r>
        <w:rPr>
          <w:rFonts w:ascii="Calibri" w:hAnsi="Calibri"/>
          <w:b/>
          <w:i w:val="0"/>
          <w:color w:val="2E74B5"/>
          <w:sz w:val="32"/>
        </w:rPr>
        <w:t>Learning outcomes</w:t>
      </w:r>
    </w:p>
    <w:p>
      <w:pPr>
        <w:pStyle w:val="ListBullet"/>
        <w:spacing w:before="0" w:after="80" w:line="300" w:lineRule="auto"/>
        <w:ind w:left="540" w:hanging="271"/>
      </w:pPr>
      <w:r>
        <w:rPr>
          <w:rFonts w:ascii="Calibri" w:hAnsi="Calibri"/>
          <w:b w:val="0"/>
          <w:i w:val="0"/>
          <w:color w:val="172033"/>
          <w:sz w:val="22"/>
        </w:rPr>
        <w:t>Run a controlled three-attempt comparison using the same research question and settings.</w:t>
      </w:r>
    </w:p>
    <w:p>
      <w:pPr>
        <w:pStyle w:val="ListBullet"/>
        <w:spacing w:before="0" w:after="80" w:line="300" w:lineRule="auto"/>
        <w:ind w:left="540" w:hanging="271"/>
      </w:pPr>
      <w:r>
        <w:rPr>
          <w:rFonts w:ascii="Calibri" w:hAnsi="Calibri"/>
          <w:b w:val="0"/>
          <w:i w:val="0"/>
          <w:color w:val="172033"/>
          <w:sz w:val="22"/>
        </w:rPr>
        <w:t>Record result variability, access barriers and evidence that another person could inspect.</w:t>
      </w:r>
    </w:p>
    <w:p>
      <w:pPr>
        <w:pStyle w:val="ListBullet"/>
        <w:spacing w:before="0" w:after="80" w:line="300" w:lineRule="auto"/>
        <w:ind w:left="540" w:hanging="271"/>
      </w:pPr>
      <w:r>
        <w:rPr>
          <w:rFonts w:ascii="Calibri" w:hAnsi="Calibri"/>
          <w:b w:val="0"/>
          <w:i w:val="0"/>
          <w:color w:val="172033"/>
          <w:sz w:val="22"/>
        </w:rPr>
        <w:t>Verify sampled citations and explain whether the tool is suitable for exploration, formal searching or neither.</w:t>
      </w:r>
    </w:p>
    <w:p>
      <w:pPr>
        <w:keepNext w:val="0"/>
        <w:spacing w:before="80" w:after="160" w:line="300" w:lineRule="auto"/>
        <w:ind w:left="173" w:right="173"/>
        <w:shd w:fill="F4F6F9"/>
        <w:pBdr>
          <w:left w:val="single" w:sz="18" w:space="8" w:color="2E74B5"/>
        </w:pBdr>
      </w:pPr>
      <w:r>
        <w:rPr>
          <w:rFonts w:ascii="Calibri" w:hAnsi="Calibri"/>
          <w:b/>
          <w:i w:val="0"/>
          <w:color w:val="7A5A00"/>
          <w:sz w:val="22"/>
        </w:rPr>
        <w:t xml:space="preserve">Important: </w:t>
      </w:r>
      <w:r>
        <w:rPr>
          <w:rFonts w:ascii="Calibri" w:hAnsi="Calibri"/>
          <w:b w:val="0"/>
          <w:i w:val="0"/>
          <w:color w:val="172033"/>
          <w:sz w:val="20"/>
        </w:rPr>
        <w:t>Do not upload private, confidential, paywalled or personally identifying material. Follow your institution’s AI and assessment rules.</w:t>
      </w:r>
    </w:p>
    <w:p>
      <w:pPr>
        <w:pStyle w:val="Heading1"/>
        <w:keepNext/>
      </w:pPr>
      <w:r>
        <w:rPr>
          <w:rFonts w:ascii="Calibri" w:hAnsi="Calibri"/>
          <w:b/>
          <w:i w:val="0"/>
          <w:color w:val="2E74B5"/>
          <w:sz w:val="32"/>
        </w:rPr>
        <w:t>1. Define the test</w:t>
      </w:r>
    </w:p>
    <w:p>
      <w:pPr>
        <w:keepNext w:val="0"/>
        <w:spacing w:before="0" w:after="100" w:line="300" w:lineRule="auto"/>
      </w:pPr>
      <w:r>
        <w:rPr>
          <w:rFonts w:ascii="Calibri" w:hAnsi="Calibri"/>
          <w:b/>
          <w:i w:val="0"/>
          <w:color w:val="1F4D78"/>
          <w:sz w:val="22"/>
        </w:rPr>
        <w:t xml:space="preserve">Tool and version (if shown): </w:t>
      </w:r>
      <w:r>
        <w:rPr>
          <w:rFonts w:ascii="Calibri" w:hAnsi="Calibri"/>
          <w:b w:val="0"/>
          <w:i w:val="0"/>
          <w:color w:val="172033"/>
          <w:sz w:val="22"/>
        </w:rPr>
        <w:t>________________________________________________________________</w:t>
      </w:r>
    </w:p>
    <w:p>
      <w:pPr>
        <w:keepNext w:val="0"/>
        <w:spacing w:before="0" w:after="100" w:line="300" w:lineRule="auto"/>
      </w:pPr>
      <w:r>
        <w:rPr>
          <w:rFonts w:ascii="Calibri" w:hAnsi="Calibri"/>
          <w:b/>
          <w:i w:val="0"/>
          <w:color w:val="1F4D78"/>
          <w:sz w:val="22"/>
        </w:rPr>
        <w:t xml:space="preserve">Account tier or access mode: </w:t>
      </w:r>
      <w:r>
        <w:rPr>
          <w:rFonts w:ascii="Calibri" w:hAnsi="Calibri"/>
          <w:b w:val="0"/>
          <w:i w:val="0"/>
          <w:color w:val="172033"/>
          <w:sz w:val="22"/>
        </w:rPr>
        <w:t>________________________________________________________________</w:t>
      </w:r>
    </w:p>
    <w:p>
      <w:pPr>
        <w:keepNext w:val="0"/>
        <w:spacing w:before="0" w:after="100" w:line="300" w:lineRule="auto"/>
      </w:pPr>
      <w:r>
        <w:rPr>
          <w:rFonts w:ascii="Calibri" w:hAnsi="Calibri"/>
          <w:b/>
          <w:i w:val="0"/>
          <w:color w:val="1F4D78"/>
          <w:sz w:val="22"/>
        </w:rPr>
        <w:t xml:space="preserve">Date and time: </w:t>
      </w:r>
      <w:r>
        <w:rPr>
          <w:rFonts w:ascii="Calibri" w:hAnsi="Calibri"/>
          <w:b w:val="0"/>
          <w:i w:val="0"/>
          <w:color w:val="172033"/>
          <w:sz w:val="22"/>
        </w:rPr>
        <w:t>________________________________________________________________</w:t>
      </w:r>
    </w:p>
    <w:p>
      <w:pPr>
        <w:keepNext w:val="0"/>
        <w:spacing w:before="0" w:after="100" w:line="300" w:lineRule="auto"/>
      </w:pPr>
      <w:r>
        <w:rPr>
          <w:rFonts w:ascii="Calibri" w:hAnsi="Calibri"/>
          <w:b/>
          <w:i w:val="0"/>
          <w:color w:val="1F4D78"/>
          <w:sz w:val="22"/>
        </w:rPr>
        <w:t xml:space="preserve">Exact research question: </w:t>
      </w:r>
      <w:r>
        <w:rPr>
          <w:rFonts w:ascii="Calibri" w:hAnsi="Calibri"/>
          <w:b w:val="0"/>
          <w:i w:val="0"/>
          <w:color w:val="172033"/>
          <w:sz w:val="22"/>
        </w:rPr>
        <w:t>________________________________________________________________</w:t>
      </w:r>
    </w:p>
    <w:p>
      <w:pPr>
        <w:keepNext w:val="0"/>
        <w:spacing w:before="0" w:after="100" w:line="300" w:lineRule="auto"/>
      </w:pPr>
      <w:r>
        <w:rPr>
          <w:rFonts w:ascii="Calibri" w:hAnsi="Calibri"/>
          <w:b w:val="0"/>
          <w:i w:val="0"/>
          <w:color w:val="172033"/>
          <w:sz w:val="22"/>
        </w:rPr>
        <w:t>________________________________________________________________________</w:t>
      </w:r>
    </w:p>
    <w:p>
      <w:pPr>
        <w:keepNext w:val="0"/>
        <w:spacing w:before="0" w:after="100" w:line="300" w:lineRule="auto"/>
      </w:pPr>
      <w:r>
        <w:rPr>
          <w:rFonts w:ascii="Calibri" w:hAnsi="Calibri"/>
          <w:b/>
          <w:i w:val="0"/>
          <w:color w:val="1F4D78"/>
          <w:sz w:val="22"/>
        </w:rPr>
        <w:t xml:space="preserve">Filters, corpus or settings held constant: </w:t>
      </w:r>
      <w:r>
        <w:rPr>
          <w:rFonts w:ascii="Calibri" w:hAnsi="Calibri"/>
          <w:b w:val="0"/>
          <w:i w:val="0"/>
          <w:color w:val="172033"/>
          <w:sz w:val="22"/>
        </w:rPr>
        <w:t>________________________________________________________________</w:t>
      </w:r>
    </w:p>
    <w:p>
      <w:pPr>
        <w:keepNext w:val="0"/>
        <w:spacing w:before="0" w:after="100" w:line="300" w:lineRule="auto"/>
      </w:pPr>
      <w:r>
        <w:rPr>
          <w:rFonts w:ascii="Calibri" w:hAnsi="Calibri"/>
          <w:b w:val="0"/>
          <w:i w:val="0"/>
          <w:color w:val="172033"/>
          <w:sz w:val="22"/>
        </w:rPr>
        <w:t>________________________________________________________________________</w:t>
      </w:r>
    </w:p>
    <w:p>
      <w:pPr>
        <w:pStyle w:val="Heading1"/>
        <w:keepNext/>
      </w:pPr>
      <w:r>
        <w:rPr>
          <w:rFonts w:ascii="Calibri" w:hAnsi="Calibri"/>
          <w:b/>
          <w:i w:val="0"/>
          <w:color w:val="2E74B5"/>
          <w:sz w:val="32"/>
        </w:rPr>
        <w:t>2. Set the comparison rules</w:t>
      </w:r>
    </w:p>
    <w:p>
      <w:pPr>
        <w:pStyle w:val="ListBullet"/>
        <w:spacing w:before="0" w:after="80" w:line="300" w:lineRule="auto"/>
        <w:ind w:left="540" w:hanging="271"/>
      </w:pPr>
      <w:r>
        <w:rPr>
          <w:rFonts w:ascii="Calibri" w:hAnsi="Calibri"/>
          <w:b w:val="0"/>
          <w:i w:val="0"/>
          <w:color w:val="172033"/>
          <w:sz w:val="22"/>
        </w:rPr>
        <w:t>Use the exact same question, account, filters and device context for all three attempts.</w:t>
      </w:r>
    </w:p>
    <w:p>
      <w:pPr>
        <w:pStyle w:val="ListBullet"/>
        <w:spacing w:before="0" w:after="80" w:line="300" w:lineRule="auto"/>
        <w:ind w:left="540" w:hanging="271"/>
      </w:pPr>
      <w:r>
        <w:rPr>
          <w:rFonts w:ascii="Calibri" w:hAnsi="Calibri"/>
          <w:b w:val="0"/>
          <w:i w:val="0"/>
          <w:color w:val="172033"/>
          <w:sz w:val="22"/>
        </w:rPr>
        <w:t>Start a fresh search or session each time unless the tool makes that impossible; record any limitation.</w:t>
      </w:r>
    </w:p>
    <w:p>
      <w:pPr>
        <w:pStyle w:val="ListBullet"/>
        <w:spacing w:before="0" w:after="80" w:line="300" w:lineRule="auto"/>
        <w:ind w:left="540" w:hanging="271"/>
      </w:pPr>
      <w:r>
        <w:rPr>
          <w:rFonts w:ascii="Calibri" w:hAnsi="Calibri"/>
          <w:b w:val="0"/>
          <w:i w:val="0"/>
          <w:color w:val="172033"/>
          <w:sz w:val="22"/>
        </w:rPr>
        <w:t>Preserve screenshots, exports or public result URLs where permitted.</w:t>
      </w:r>
    </w:p>
    <w:p>
      <w:pPr>
        <w:pStyle w:val="ListBullet"/>
        <w:spacing w:before="0" w:after="80" w:line="300" w:lineRule="auto"/>
        <w:ind w:left="540" w:hanging="271"/>
      </w:pPr>
      <w:r>
        <w:rPr>
          <w:rFonts w:ascii="Calibri" w:hAnsi="Calibri"/>
          <w:b w:val="0"/>
          <w:i w:val="0"/>
          <w:color w:val="172033"/>
          <w:sz w:val="22"/>
        </w:rPr>
        <w:t>Choose the same source-check sample rule before looking at the results (for example, the first three cited papers).</w:t>
      </w:r>
    </w:p>
    <w:p>
      <w:pPr>
        <w:pStyle w:val="Heading1"/>
        <w:keepNext/>
      </w:pPr>
      <w:r>
        <w:rPr>
          <w:rFonts w:ascii="Calibri" w:hAnsi="Calibri"/>
          <w:b/>
          <w:i w:val="0"/>
          <w:color w:val="2E74B5"/>
          <w:sz w:val="32"/>
        </w:rPr>
        <w:t>3. Record three matched runs</w:t>
      </w:r>
    </w:p>
    <w:p>
      <w:pPr>
        <w:keepNext w:val="0"/>
        <w:spacing w:before="0" w:after="140" w:line="300" w:lineRule="auto"/>
      </w:pPr>
      <w:r>
        <w:rPr>
          <w:rFonts w:ascii="Calibri" w:hAnsi="Calibri"/>
          <w:b w:val="0"/>
          <w:i w:val="0"/>
          <w:color w:val="172033"/>
          <w:sz w:val="22"/>
        </w:rPr>
        <w:t>Use short factual notes. A blank value means the interface did not expose the information—not zero.</w:t>
      </w:r>
    </w:p>
    <w:tbl>
      <w:tblPr>
        <w:tblStyle w:val="TableGrid"/>
        <w:tblW w:type="dxa" w:w="9360"/>
        <w:jc w:val="left"/>
        <w:tblLayout w:type="fixed"/>
        <w:tblLook w:firstColumn="1" w:firstRow="1" w:lastColumn="0" w:lastRow="0" w:noHBand="0" w:noVBand="1" w:val="04A0"/>
        <w:tblInd w:w="120" w:type="dxa"/>
      </w:tblPr>
      <w:tblGrid>
        <w:gridCol w:w="2160"/>
        <w:gridCol w:w="2400"/>
        <w:gridCol w:w="2400"/>
        <w:gridCol w:w="2400"/>
      </w:tblGrid>
      <w:tr>
        <w:trPr>
          <w:tblHeader w:val="true"/>
        </w:trPr>
        <w:tc>
          <w:tcPr>
            <w:tcW w:type="dxa" w:w="2160"/>
            <w:vAlign w:val="center"/>
            <w:tcMar>
              <w:top w:w="80" w:type="dxa"/>
              <w:start w:w="120" w:type="dxa"/>
              <w:bottom w:w="80" w:type="dxa"/>
              <w:end w:w="120" w:type="dxa"/>
            </w:tcMar>
            <w:shd w:fill="E8EEF5"/>
          </w:tcPr>
          <w:p>
            <w:pPr>
              <w:spacing w:before="0" w:after="40" w:line="264" w:lineRule="auto"/>
            </w:pPr>
            <w:r>
              <w:rPr>
                <w:rFonts w:ascii="Calibri" w:hAnsi="Calibri"/>
                <w:b/>
                <w:i w:val="0"/>
                <w:color w:val="172033"/>
                <w:sz w:val="18"/>
              </w:rPr>
              <w:t>Measure</w:t>
            </w:r>
          </w:p>
        </w:tc>
        <w:tc>
          <w:tcPr>
            <w:tcW w:type="dxa" w:w="2400"/>
            <w:vAlign w:val="center"/>
            <w:tcMar>
              <w:top w:w="80" w:type="dxa"/>
              <w:start w:w="120" w:type="dxa"/>
              <w:bottom w:w="80" w:type="dxa"/>
              <w:end w:w="120" w:type="dxa"/>
            </w:tcMar>
            <w:shd w:fill="E8EEF5"/>
          </w:tcPr>
          <w:p>
            <w:pPr>
              <w:spacing w:before="0" w:after="40" w:line="264" w:lineRule="auto"/>
            </w:pPr>
            <w:r>
              <w:rPr>
                <w:rFonts w:ascii="Calibri" w:hAnsi="Calibri"/>
                <w:b/>
                <w:i w:val="0"/>
                <w:color w:val="172033"/>
                <w:sz w:val="18"/>
              </w:rPr>
              <w:t>Run 1</w:t>
            </w:r>
          </w:p>
        </w:tc>
        <w:tc>
          <w:tcPr>
            <w:tcW w:type="dxa" w:w="2400"/>
            <w:vAlign w:val="center"/>
            <w:tcMar>
              <w:top w:w="80" w:type="dxa"/>
              <w:start w:w="120" w:type="dxa"/>
              <w:bottom w:w="80" w:type="dxa"/>
              <w:end w:w="120" w:type="dxa"/>
            </w:tcMar>
            <w:shd w:fill="E8EEF5"/>
          </w:tcPr>
          <w:p>
            <w:pPr>
              <w:spacing w:before="0" w:after="40" w:line="264" w:lineRule="auto"/>
            </w:pPr>
            <w:r>
              <w:rPr>
                <w:rFonts w:ascii="Calibri" w:hAnsi="Calibri"/>
                <w:b/>
                <w:i w:val="0"/>
                <w:color w:val="172033"/>
                <w:sz w:val="18"/>
              </w:rPr>
              <w:t>Run 2</w:t>
            </w:r>
          </w:p>
        </w:tc>
        <w:tc>
          <w:tcPr>
            <w:tcW w:type="dxa" w:w="2400"/>
            <w:vAlign w:val="center"/>
            <w:tcMar>
              <w:top w:w="80" w:type="dxa"/>
              <w:start w:w="120" w:type="dxa"/>
              <w:bottom w:w="80" w:type="dxa"/>
              <w:end w:w="120" w:type="dxa"/>
            </w:tcMar>
            <w:shd w:fill="E8EEF5"/>
          </w:tcPr>
          <w:p>
            <w:pPr>
              <w:spacing w:before="0" w:after="40" w:line="264" w:lineRule="auto"/>
            </w:pPr>
            <w:r>
              <w:rPr>
                <w:rFonts w:ascii="Calibri" w:hAnsi="Calibri"/>
                <w:b/>
                <w:i w:val="0"/>
                <w:color w:val="172033"/>
                <w:sz w:val="18"/>
              </w:rPr>
              <w:t>Run 3</w:t>
            </w:r>
          </w:p>
        </w:tc>
      </w:tr>
      <w:tr>
        <w:tc>
          <w:tcPr>
            <w:tcW w:type="dxa" w:w="2160"/>
            <w:vAlign w:val="center"/>
            <w:tcMar>
              <w:top w:w="80" w:type="dxa"/>
              <w:start w:w="120" w:type="dxa"/>
              <w:bottom w:w="80" w:type="dxa"/>
              <w:end w:w="120" w:type="dxa"/>
            </w:tcMar>
            <w:shd w:fill="F4F6F9"/>
          </w:tcPr>
          <w:p>
            <w:pPr>
              <w:spacing w:before="0" w:after="40" w:line="264" w:lineRule="auto"/>
            </w:pPr>
            <w:r>
              <w:rPr>
                <w:rFonts w:ascii="Calibri" w:hAnsi="Calibri"/>
                <w:b/>
                <w:i w:val="0"/>
                <w:color w:val="1F4D78"/>
                <w:sz w:val="18"/>
              </w:rPr>
              <w:t>Completion status</w:t>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r>
      <w:tr>
        <w:tc>
          <w:tcPr>
            <w:tcW w:type="dxa" w:w="2160"/>
            <w:vAlign w:val="center"/>
            <w:tcMar>
              <w:top w:w="80" w:type="dxa"/>
              <w:start w:w="120" w:type="dxa"/>
              <w:bottom w:w="80" w:type="dxa"/>
              <w:end w:w="120" w:type="dxa"/>
            </w:tcMar>
            <w:shd w:fill="F4F6F9"/>
          </w:tcPr>
          <w:p>
            <w:pPr>
              <w:spacing w:before="0" w:after="40" w:line="264" w:lineRule="auto"/>
            </w:pPr>
            <w:r>
              <w:rPr>
                <w:rFonts w:ascii="Calibri" w:hAnsi="Calibri"/>
                <w:b/>
                <w:i w:val="0"/>
                <w:color w:val="1F4D78"/>
                <w:sz w:val="18"/>
              </w:rPr>
              <w:t>Reported result count</w:t>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r>
      <w:tr>
        <w:tc>
          <w:tcPr>
            <w:tcW w:type="dxa" w:w="2160"/>
            <w:vAlign w:val="center"/>
            <w:tcMar>
              <w:top w:w="80" w:type="dxa"/>
              <w:start w:w="120" w:type="dxa"/>
              <w:bottom w:w="80" w:type="dxa"/>
              <w:end w:w="120" w:type="dxa"/>
            </w:tcMar>
            <w:shd w:fill="F4F6F9"/>
          </w:tcPr>
          <w:p>
            <w:pPr>
              <w:spacing w:before="0" w:after="40" w:line="264" w:lineRule="auto"/>
            </w:pPr>
            <w:r>
              <w:rPr>
                <w:rFonts w:ascii="Calibri" w:hAnsi="Calibri"/>
                <w:b/>
                <w:i w:val="0"/>
                <w:color w:val="1F4D78"/>
                <w:sz w:val="18"/>
              </w:rPr>
              <w:t>Accessible result count</w:t>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r>
      <w:tr>
        <w:tc>
          <w:tcPr>
            <w:tcW w:type="dxa" w:w="2160"/>
            <w:vAlign w:val="center"/>
            <w:tcMar>
              <w:top w:w="80" w:type="dxa"/>
              <w:start w:w="120" w:type="dxa"/>
              <w:bottom w:w="80" w:type="dxa"/>
              <w:end w:w="120" w:type="dxa"/>
            </w:tcMar>
            <w:shd w:fill="F4F6F9"/>
          </w:tcPr>
          <w:p>
            <w:pPr>
              <w:spacing w:before="0" w:after="40" w:line="264" w:lineRule="auto"/>
            </w:pPr>
            <w:r>
              <w:rPr>
                <w:rFonts w:ascii="Calibri" w:hAnsi="Calibri"/>
                <w:b/>
                <w:i w:val="0"/>
                <w:color w:val="1F4D78"/>
                <w:sz w:val="18"/>
              </w:rPr>
              <w:t>First 3–5 sources or IDs</w:t>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r>
      <w:tr>
        <w:tc>
          <w:tcPr>
            <w:tcW w:type="dxa" w:w="2160"/>
            <w:vAlign w:val="center"/>
            <w:tcMar>
              <w:top w:w="80" w:type="dxa"/>
              <w:start w:w="120" w:type="dxa"/>
              <w:bottom w:w="80" w:type="dxa"/>
              <w:end w:w="120" w:type="dxa"/>
            </w:tcMar>
            <w:shd w:fill="F4F6F9"/>
          </w:tcPr>
          <w:p>
            <w:pPr>
              <w:spacing w:before="0" w:after="40" w:line="264" w:lineRule="auto"/>
            </w:pPr>
            <w:r>
              <w:rPr>
                <w:rFonts w:ascii="Calibri" w:hAnsi="Calibri"/>
                <w:b/>
                <w:i w:val="0"/>
                <w:color w:val="1F4D78"/>
                <w:sz w:val="18"/>
              </w:rPr>
              <w:t>Access barrier or failure</w:t>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r>
      <w:tr>
        <w:tc>
          <w:tcPr>
            <w:tcW w:type="dxa" w:w="2160"/>
            <w:vAlign w:val="center"/>
            <w:tcMar>
              <w:top w:w="80" w:type="dxa"/>
              <w:start w:w="120" w:type="dxa"/>
              <w:bottom w:w="80" w:type="dxa"/>
              <w:end w:w="120" w:type="dxa"/>
            </w:tcMar>
            <w:shd w:fill="F4F6F9"/>
          </w:tcPr>
          <w:p>
            <w:pPr>
              <w:spacing w:before="0" w:after="40" w:line="264" w:lineRule="auto"/>
            </w:pPr>
            <w:r>
              <w:rPr>
                <w:rFonts w:ascii="Calibri" w:hAnsi="Calibri"/>
                <w:b/>
                <w:i w:val="0"/>
                <w:color w:val="1F4D78"/>
                <w:sz w:val="18"/>
              </w:rPr>
              <w:t>Evidence URL / file name</w:t>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24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r>
    </w:tbl>
    <w:p>
      <w:r>
        <w:br w:type="page"/>
      </w:r>
    </w:p>
    <w:p>
      <w:pPr>
        <w:pStyle w:val="Heading1"/>
        <w:keepNext/>
      </w:pPr>
      <w:r>
        <w:rPr>
          <w:rFonts w:ascii="Calibri" w:hAnsi="Calibri"/>
          <w:b/>
          <w:i w:val="0"/>
          <w:color w:val="2E74B5"/>
          <w:sz w:val="32"/>
        </w:rPr>
        <w:t>4. Check sampled sources</w:t>
      </w:r>
    </w:p>
    <w:p>
      <w:pPr>
        <w:keepNext w:val="0"/>
        <w:spacing w:before="0" w:after="120" w:line="300" w:lineRule="auto"/>
      </w:pPr>
      <w:r>
        <w:rPr>
          <w:rFonts w:ascii="Calibri" w:hAnsi="Calibri"/>
          <w:b w:val="0"/>
          <w:i w:val="0"/>
          <w:color w:val="172033"/>
          <w:sz w:val="22"/>
        </w:rPr>
        <w:t>Open the original record—not just the AI summary. Check whether the source exists and whether it supports the claim attributed to it.</w:t>
      </w:r>
    </w:p>
    <w:tbl>
      <w:tblPr>
        <w:tblStyle w:val="TableGrid"/>
        <w:tblW w:type="dxa" w:w="9360"/>
        <w:jc w:val="left"/>
        <w:tblLayout w:type="fixed"/>
        <w:tblLook w:firstColumn="1" w:firstRow="1" w:lastColumn="0" w:lastRow="0" w:noHBand="0" w:noVBand="1" w:val="04A0"/>
        <w:tblInd w:w="120" w:type="dxa"/>
      </w:tblPr>
      <w:tblGrid>
        <w:gridCol w:w="900"/>
        <w:gridCol w:w="3300"/>
        <w:gridCol w:w="1680"/>
        <w:gridCol w:w="3480"/>
      </w:tblGrid>
      <w:tr>
        <w:trPr>
          <w:tblHeader w:val="true"/>
        </w:trPr>
        <w:tc>
          <w:tcPr>
            <w:tcW w:type="dxa" w:w="900"/>
            <w:vAlign w:val="center"/>
            <w:tcMar>
              <w:top w:w="80" w:type="dxa"/>
              <w:start w:w="120" w:type="dxa"/>
              <w:bottom w:w="80" w:type="dxa"/>
              <w:end w:w="120" w:type="dxa"/>
            </w:tcMar>
            <w:shd w:fill="E8EEF5"/>
          </w:tcPr>
          <w:p>
            <w:pPr>
              <w:spacing w:before="0" w:after="40" w:line="264" w:lineRule="auto"/>
            </w:pPr>
            <w:r>
              <w:rPr>
                <w:rFonts w:ascii="Calibri" w:hAnsi="Calibri"/>
                <w:b/>
                <w:i w:val="0"/>
                <w:color w:val="172033"/>
                <w:sz w:val="18"/>
              </w:rPr>
              <w:t>Sample</w:t>
            </w:r>
          </w:p>
        </w:tc>
        <w:tc>
          <w:tcPr>
            <w:tcW w:type="dxa" w:w="3300"/>
            <w:vAlign w:val="center"/>
            <w:tcMar>
              <w:top w:w="80" w:type="dxa"/>
              <w:start w:w="120" w:type="dxa"/>
              <w:bottom w:w="80" w:type="dxa"/>
              <w:end w:w="120" w:type="dxa"/>
            </w:tcMar>
            <w:shd w:fill="E8EEF5"/>
          </w:tcPr>
          <w:p>
            <w:pPr>
              <w:spacing w:before="0" w:after="40" w:line="264" w:lineRule="auto"/>
            </w:pPr>
            <w:r>
              <w:rPr>
                <w:rFonts w:ascii="Calibri" w:hAnsi="Calibri"/>
                <w:b/>
                <w:i w:val="0"/>
                <w:color w:val="172033"/>
                <w:sz w:val="18"/>
              </w:rPr>
              <w:t>Source title or identifier</w:t>
            </w:r>
          </w:p>
        </w:tc>
        <w:tc>
          <w:tcPr>
            <w:tcW w:type="dxa" w:w="1680"/>
            <w:vAlign w:val="center"/>
            <w:tcMar>
              <w:top w:w="80" w:type="dxa"/>
              <w:start w:w="120" w:type="dxa"/>
              <w:bottom w:w="80" w:type="dxa"/>
              <w:end w:w="120" w:type="dxa"/>
            </w:tcMar>
            <w:shd w:fill="E8EEF5"/>
          </w:tcPr>
          <w:p>
            <w:pPr>
              <w:spacing w:before="0" w:after="40" w:line="264" w:lineRule="auto"/>
            </w:pPr>
            <w:r>
              <w:rPr>
                <w:rFonts w:ascii="Calibri" w:hAnsi="Calibri"/>
                <w:b/>
                <w:i w:val="0"/>
                <w:color w:val="172033"/>
                <w:sz w:val="18"/>
              </w:rPr>
              <w:t>Real and accessible?</w:t>
            </w:r>
          </w:p>
        </w:tc>
        <w:tc>
          <w:tcPr>
            <w:tcW w:type="dxa" w:w="3480"/>
            <w:vAlign w:val="center"/>
            <w:tcMar>
              <w:top w:w="80" w:type="dxa"/>
              <w:start w:w="120" w:type="dxa"/>
              <w:bottom w:w="80" w:type="dxa"/>
              <w:end w:w="120" w:type="dxa"/>
            </w:tcMar>
            <w:shd w:fill="E8EEF5"/>
          </w:tcPr>
          <w:p>
            <w:pPr>
              <w:spacing w:before="0" w:after="40" w:line="264" w:lineRule="auto"/>
            </w:pPr>
            <w:r>
              <w:rPr>
                <w:rFonts w:ascii="Calibri" w:hAnsi="Calibri"/>
                <w:b/>
                <w:i w:val="0"/>
                <w:color w:val="172033"/>
                <w:sz w:val="18"/>
              </w:rPr>
              <w:t>Does it support the claim? Notes</w:t>
            </w:r>
          </w:p>
        </w:tc>
      </w:tr>
      <w:tr>
        <w:tc>
          <w:tcPr>
            <w:tcW w:type="dxa" w:w="900"/>
            <w:vAlign w:val="center"/>
            <w:tcMar>
              <w:top w:w="80" w:type="dxa"/>
              <w:start w:w="120" w:type="dxa"/>
              <w:bottom w:w="80" w:type="dxa"/>
              <w:end w:w="120" w:type="dxa"/>
            </w:tcMar>
          </w:tcPr>
          <w:p>
            <w:pPr>
              <w:spacing w:before="0" w:after="40" w:line="264" w:lineRule="auto"/>
              <w:jc w:val="center"/>
            </w:pPr>
            <w:r>
              <w:rPr>
                <w:rFonts w:ascii="Calibri" w:hAnsi="Calibri"/>
                <w:b w:val="0"/>
                <w:i w:val="0"/>
                <w:color w:val="172033"/>
                <w:sz w:val="18"/>
              </w:rPr>
              <w:t>1</w:t>
            </w:r>
          </w:p>
        </w:tc>
        <w:tc>
          <w:tcPr>
            <w:tcW w:type="dxa" w:w="33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168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348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r>
      <w:tr>
        <w:tc>
          <w:tcPr>
            <w:tcW w:type="dxa" w:w="900"/>
            <w:vAlign w:val="center"/>
            <w:tcMar>
              <w:top w:w="80" w:type="dxa"/>
              <w:start w:w="120" w:type="dxa"/>
              <w:bottom w:w="80" w:type="dxa"/>
              <w:end w:w="120" w:type="dxa"/>
            </w:tcMar>
          </w:tcPr>
          <w:p>
            <w:pPr>
              <w:spacing w:before="0" w:after="40" w:line="264" w:lineRule="auto"/>
              <w:jc w:val="center"/>
            </w:pPr>
            <w:r>
              <w:rPr>
                <w:rFonts w:ascii="Calibri" w:hAnsi="Calibri"/>
                <w:b w:val="0"/>
                <w:i w:val="0"/>
                <w:color w:val="172033"/>
                <w:sz w:val="18"/>
              </w:rPr>
              <w:t>2</w:t>
            </w:r>
          </w:p>
        </w:tc>
        <w:tc>
          <w:tcPr>
            <w:tcW w:type="dxa" w:w="33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168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348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r>
      <w:tr>
        <w:tc>
          <w:tcPr>
            <w:tcW w:type="dxa" w:w="900"/>
            <w:vAlign w:val="center"/>
            <w:tcMar>
              <w:top w:w="80" w:type="dxa"/>
              <w:start w:w="120" w:type="dxa"/>
              <w:bottom w:w="80" w:type="dxa"/>
              <w:end w:w="120" w:type="dxa"/>
            </w:tcMar>
          </w:tcPr>
          <w:p>
            <w:pPr>
              <w:spacing w:before="0" w:after="40" w:line="264" w:lineRule="auto"/>
              <w:jc w:val="center"/>
            </w:pPr>
            <w:r>
              <w:rPr>
                <w:rFonts w:ascii="Calibri" w:hAnsi="Calibri"/>
                <w:b w:val="0"/>
                <w:i w:val="0"/>
                <w:color w:val="172033"/>
                <w:sz w:val="18"/>
              </w:rPr>
              <w:t>3</w:t>
            </w:r>
          </w:p>
        </w:tc>
        <w:tc>
          <w:tcPr>
            <w:tcW w:type="dxa" w:w="330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168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c>
          <w:tcPr>
            <w:tcW w:type="dxa" w:w="348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r>
          </w:p>
        </w:tc>
      </w:tr>
    </w:tbl>
    <w:p>
      <w:pPr>
        <w:pStyle w:val="Heading2"/>
        <w:keepNext/>
      </w:pPr>
      <w:r>
        <w:rPr>
          <w:rFonts w:ascii="Calibri" w:hAnsi="Calibri"/>
          <w:b/>
          <w:i w:val="0"/>
          <w:color w:val="2E74B5"/>
          <w:sz w:val="26"/>
        </w:rPr>
        <w:t>Quick calculations</w:t>
      </w:r>
    </w:p>
    <w:p>
      <w:pPr>
        <w:keepNext w:val="0"/>
        <w:spacing w:before="0" w:after="100" w:line="300" w:lineRule="auto"/>
      </w:pPr>
      <w:r>
        <w:rPr>
          <w:rFonts w:ascii="Calibri" w:hAnsi="Calibri"/>
          <w:b/>
          <w:i w:val="0"/>
          <w:color w:val="1F4D78"/>
          <w:sz w:val="22"/>
        </w:rPr>
        <w:t xml:space="preserve">Sources appearing in all three runs: </w:t>
      </w:r>
      <w:r>
        <w:rPr>
          <w:rFonts w:ascii="Calibri" w:hAnsi="Calibri"/>
          <w:b w:val="0"/>
          <w:i w:val="0"/>
          <w:color w:val="172033"/>
          <w:sz w:val="22"/>
        </w:rPr>
        <w:t>________________________________________________________________</w:t>
      </w:r>
    </w:p>
    <w:p>
      <w:pPr>
        <w:keepNext w:val="0"/>
        <w:spacing w:before="0" w:after="100" w:line="300" w:lineRule="auto"/>
      </w:pPr>
      <w:r>
        <w:rPr>
          <w:rFonts w:ascii="Calibri" w:hAnsi="Calibri"/>
          <w:b/>
          <w:i w:val="0"/>
          <w:color w:val="1F4D78"/>
          <w:sz w:val="22"/>
        </w:rPr>
        <w:t xml:space="preserve">Sources appearing in only one run: </w:t>
      </w:r>
      <w:r>
        <w:rPr>
          <w:rFonts w:ascii="Calibri" w:hAnsi="Calibri"/>
          <w:b w:val="0"/>
          <w:i w:val="0"/>
          <w:color w:val="172033"/>
          <w:sz w:val="22"/>
        </w:rPr>
        <w:t>________________________________________________________________</w:t>
      </w:r>
    </w:p>
    <w:p>
      <w:pPr>
        <w:keepNext w:val="0"/>
        <w:spacing w:before="0" w:after="100" w:line="300" w:lineRule="auto"/>
      </w:pPr>
      <w:r>
        <w:rPr>
          <w:rFonts w:ascii="Calibri" w:hAnsi="Calibri"/>
          <w:b/>
          <w:i w:val="0"/>
          <w:color w:val="1F4D78"/>
          <w:sz w:val="22"/>
        </w:rPr>
        <w:t xml:space="preserve">Verified claims / claims checked: </w:t>
      </w:r>
      <w:r>
        <w:rPr>
          <w:rFonts w:ascii="Calibri" w:hAnsi="Calibri"/>
          <w:b w:val="0"/>
          <w:i w:val="0"/>
          <w:color w:val="172033"/>
          <w:sz w:val="22"/>
        </w:rPr>
        <w:t>________________________________________________________________</w:t>
      </w:r>
    </w:p>
    <w:p>
      <w:pPr>
        <w:pStyle w:val="Heading1"/>
        <w:keepNext/>
      </w:pPr>
      <w:r>
        <w:rPr>
          <w:rFonts w:ascii="Calibri" w:hAnsi="Calibri"/>
          <w:b/>
          <w:i w:val="0"/>
          <w:color w:val="2E74B5"/>
          <w:sz w:val="32"/>
        </w:rPr>
        <w:t>5. Compare what changed</w:t>
      </w:r>
    </w:p>
    <w:p>
      <w:pPr>
        <w:keepNext w:val="0"/>
        <w:spacing w:before="0" w:after="100" w:line="300" w:lineRule="auto"/>
      </w:pPr>
      <w:r>
        <w:rPr>
          <w:rFonts w:ascii="Calibri" w:hAnsi="Calibri"/>
          <w:b/>
          <w:i w:val="0"/>
          <w:color w:val="1F4D78"/>
          <w:sz w:val="22"/>
        </w:rPr>
        <w:t xml:space="preserve">Which results, rankings or summaries changed most across the three runs? </w:t>
      </w:r>
      <w:r>
        <w:rPr>
          <w:rFonts w:ascii="Calibri" w:hAnsi="Calibri"/>
          <w:b w:val="0"/>
          <w:i w:val="0"/>
          <w:color w:val="172033"/>
          <w:sz w:val="22"/>
        </w:rPr>
        <w:t>________________________________________________________________</w:t>
      </w:r>
    </w:p>
    <w:p>
      <w:pPr>
        <w:keepNext w:val="0"/>
        <w:spacing w:before="0" w:after="100" w:line="300" w:lineRule="auto"/>
      </w:pPr>
      <w:r>
        <w:rPr>
          <w:rFonts w:ascii="Calibri" w:hAnsi="Calibri"/>
          <w:b w:val="0"/>
          <w:i w:val="0"/>
          <w:color w:val="172033"/>
          <w:sz w:val="22"/>
        </w:rPr>
        <w:t>________________________________________________________________________</w:t>
      </w:r>
    </w:p>
    <w:p>
      <w:pPr>
        <w:keepNext w:val="0"/>
        <w:spacing w:before="0" w:after="100" w:line="300" w:lineRule="auto"/>
      </w:pPr>
      <w:r>
        <w:rPr>
          <w:rFonts w:ascii="Calibri" w:hAnsi="Calibri"/>
          <w:b/>
          <w:i w:val="0"/>
          <w:color w:val="1F4D78"/>
          <w:sz w:val="22"/>
        </w:rPr>
        <w:t xml:space="preserve">Did access limits, trial prompts or blocked features affect the comparison? </w:t>
      </w:r>
      <w:r>
        <w:rPr>
          <w:rFonts w:ascii="Calibri" w:hAnsi="Calibri"/>
          <w:b w:val="0"/>
          <w:i w:val="0"/>
          <w:color w:val="172033"/>
          <w:sz w:val="22"/>
        </w:rPr>
        <w:t>________________________________________________________________</w:t>
      </w:r>
    </w:p>
    <w:p>
      <w:pPr>
        <w:keepNext w:val="0"/>
        <w:spacing w:before="0" w:after="100" w:line="300" w:lineRule="auto"/>
      </w:pPr>
      <w:r>
        <w:rPr>
          <w:rFonts w:ascii="Calibri" w:hAnsi="Calibri"/>
          <w:b w:val="0"/>
          <w:i w:val="0"/>
          <w:color w:val="172033"/>
          <w:sz w:val="22"/>
        </w:rPr>
        <w:t>________________________________________________________________________</w:t>
      </w:r>
    </w:p>
    <w:p>
      <w:pPr>
        <w:keepNext w:val="0"/>
        <w:spacing w:before="0" w:after="100" w:line="300" w:lineRule="auto"/>
      </w:pPr>
      <w:r>
        <w:rPr>
          <w:rFonts w:ascii="Calibri" w:hAnsi="Calibri"/>
          <w:b/>
          <w:i w:val="0"/>
          <w:color w:val="1F4D78"/>
          <w:sz w:val="22"/>
        </w:rPr>
        <w:t xml:space="preserve">Could another learner reconstruct what you did from the evidence you preserved? </w:t>
      </w:r>
      <w:r>
        <w:rPr>
          <w:rFonts w:ascii="Calibri" w:hAnsi="Calibri"/>
          <w:b w:val="0"/>
          <w:i w:val="0"/>
          <w:color w:val="172033"/>
          <w:sz w:val="22"/>
        </w:rPr>
        <w:t>________________________________________________________________</w:t>
      </w:r>
    </w:p>
    <w:p>
      <w:pPr>
        <w:keepNext w:val="0"/>
        <w:spacing w:before="0" w:after="100" w:line="300" w:lineRule="auto"/>
      </w:pPr>
      <w:r>
        <w:rPr>
          <w:rFonts w:ascii="Calibri" w:hAnsi="Calibri"/>
          <w:b w:val="0"/>
          <w:i w:val="0"/>
          <w:color w:val="172033"/>
          <w:sz w:val="22"/>
        </w:rPr>
        <w:t>________________________________________________________________________</w:t>
      </w:r>
    </w:p>
    <w:p>
      <w:pPr>
        <w:keepNext w:val="0"/>
        <w:spacing w:before="0" w:after="100" w:line="300" w:lineRule="auto"/>
      </w:pPr>
      <w:r>
        <w:rPr>
          <w:rFonts w:ascii="Calibri" w:hAnsi="Calibri"/>
          <w:b/>
          <w:i w:val="0"/>
          <w:color w:val="1F4D78"/>
          <w:sz w:val="22"/>
        </w:rPr>
        <w:t xml:space="preserve">What additional database or library search would you use to check coverage? </w:t>
      </w:r>
      <w:r>
        <w:rPr>
          <w:rFonts w:ascii="Calibri" w:hAnsi="Calibri"/>
          <w:b w:val="0"/>
          <w:i w:val="0"/>
          <w:color w:val="172033"/>
          <w:sz w:val="22"/>
        </w:rPr>
        <w:t>________________________________________________________________</w:t>
      </w:r>
    </w:p>
    <w:p>
      <w:pPr>
        <w:keepNext w:val="0"/>
        <w:spacing w:before="0" w:after="100" w:line="300" w:lineRule="auto"/>
      </w:pPr>
      <w:r>
        <w:rPr>
          <w:rFonts w:ascii="Calibri" w:hAnsi="Calibri"/>
          <w:b w:val="0"/>
          <w:i w:val="0"/>
          <w:color w:val="172033"/>
          <w:sz w:val="22"/>
        </w:rPr>
        <w:t>________________________________________________________________________</w:t>
      </w:r>
    </w:p>
    <w:p>
      <w:pPr>
        <w:pStyle w:val="Heading1"/>
        <w:keepNext/>
      </w:pPr>
      <w:r>
        <w:rPr>
          <w:rFonts w:ascii="Calibri" w:hAnsi="Calibri"/>
          <w:b/>
          <w:i w:val="0"/>
          <w:color w:val="2E74B5"/>
          <w:sz w:val="32"/>
        </w:rPr>
        <w:t>6. Reach a proportionate conclusion</w:t>
      </w:r>
    </w:p>
    <w:p>
      <w:pPr>
        <w:keepNext w:val="0"/>
        <w:spacing w:before="0" w:after="120" w:line="300" w:lineRule="auto"/>
      </w:pPr>
      <w:r>
        <w:rPr>
          <w:rFonts w:ascii="Calibri" w:hAnsi="Calibri"/>
          <w:b w:val="0"/>
          <w:i w:val="0"/>
          <w:color w:val="172033"/>
          <w:sz w:val="22"/>
        </w:rPr>
        <w:t>Choose one label and support it with the evidence above:</w:t>
      </w:r>
    </w:p>
    <w:tbl>
      <w:tblPr>
        <w:tblStyle w:val="TableGrid"/>
        <w:tblW w:type="dxa" w:w="9360"/>
        <w:jc w:val="left"/>
        <w:tblLayout w:type="fixed"/>
        <w:tblLook w:firstColumn="1" w:firstRow="1" w:lastColumn="0" w:lastRow="0" w:noHBand="0" w:noVBand="1" w:val="04A0"/>
        <w:tblInd w:w="120" w:type="dxa"/>
      </w:tblPr>
      <w:tblGrid>
        <w:gridCol w:w="2400"/>
        <w:gridCol w:w="6960"/>
      </w:tblGrid>
      <w:tr>
        <w:trPr>
          <w:tblHeader w:val="true"/>
        </w:trPr>
        <w:tc>
          <w:tcPr>
            <w:tcW w:type="dxa" w:w="2400"/>
            <w:vAlign w:val="center"/>
            <w:tcMar>
              <w:top w:w="80" w:type="dxa"/>
              <w:start w:w="120" w:type="dxa"/>
              <w:bottom w:w="80" w:type="dxa"/>
              <w:end w:w="120" w:type="dxa"/>
            </w:tcMar>
            <w:shd w:fill="E8EEF5"/>
          </w:tcPr>
          <w:p>
            <w:pPr>
              <w:spacing w:before="0" w:after="40" w:line="264" w:lineRule="auto"/>
            </w:pPr>
            <w:r>
              <w:rPr>
                <w:rFonts w:ascii="Calibri" w:hAnsi="Calibri"/>
                <w:b/>
                <w:i w:val="0"/>
                <w:color w:val="172033"/>
                <w:sz w:val="18"/>
              </w:rPr>
              <w:t>Conclusion label</w:t>
            </w:r>
          </w:p>
        </w:tc>
        <w:tc>
          <w:tcPr>
            <w:tcW w:type="dxa" w:w="6960"/>
            <w:vAlign w:val="center"/>
            <w:tcMar>
              <w:top w:w="80" w:type="dxa"/>
              <w:start w:w="120" w:type="dxa"/>
              <w:bottom w:w="80" w:type="dxa"/>
              <w:end w:w="120" w:type="dxa"/>
            </w:tcMar>
            <w:shd w:fill="E8EEF5"/>
          </w:tcPr>
          <w:p>
            <w:pPr>
              <w:spacing w:before="0" w:after="40" w:line="264" w:lineRule="auto"/>
            </w:pPr>
            <w:r>
              <w:rPr>
                <w:rFonts w:ascii="Calibri" w:hAnsi="Calibri"/>
                <w:b/>
                <w:i w:val="0"/>
                <w:color w:val="172033"/>
                <w:sz w:val="18"/>
              </w:rPr>
              <w:t>Meaning</w:t>
            </w:r>
          </w:p>
        </w:tc>
      </w:tr>
      <w:tr>
        <w:tc>
          <w:tcPr>
            <w:tcW w:type="dxa" w:w="2400"/>
            <w:vAlign w:val="center"/>
            <w:tcMar>
              <w:top w:w="80" w:type="dxa"/>
              <w:start w:w="120" w:type="dxa"/>
              <w:bottom w:w="80" w:type="dxa"/>
              <w:end w:w="120" w:type="dxa"/>
            </w:tcMar>
            <w:shd w:fill="E8EEF5"/>
          </w:tcPr>
          <w:p>
            <w:pPr>
              <w:spacing w:before="0" w:after="40" w:line="264" w:lineRule="auto"/>
            </w:pPr>
            <w:r>
              <w:rPr>
                <w:rFonts w:ascii="Calibri" w:hAnsi="Calibri"/>
                <w:b/>
                <w:i w:val="0"/>
                <w:color w:val="1F4D78"/>
                <w:sz w:val="18"/>
              </w:rPr>
              <w:t>☐ Repeatable</w:t>
            </w:r>
          </w:p>
        </w:tc>
        <w:tc>
          <w:tcPr>
            <w:tcW w:type="dxa" w:w="696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t>The main results and traceable sources remained materially consistent across three attempts.</w:t>
            </w:r>
          </w:p>
        </w:tc>
      </w:tr>
      <w:tr>
        <w:tc>
          <w:tcPr>
            <w:tcW w:type="dxa" w:w="2400"/>
            <w:vAlign w:val="center"/>
            <w:tcMar>
              <w:top w:w="80" w:type="dxa"/>
              <w:start w:w="120" w:type="dxa"/>
              <w:bottom w:w="80" w:type="dxa"/>
              <w:end w:w="120" w:type="dxa"/>
            </w:tcMar>
            <w:shd w:fill="E8EEF5"/>
          </w:tcPr>
          <w:p>
            <w:pPr>
              <w:spacing w:before="0" w:after="40" w:line="264" w:lineRule="auto"/>
            </w:pPr>
            <w:r>
              <w:rPr>
                <w:rFonts w:ascii="Calibri" w:hAnsi="Calibri"/>
                <w:b/>
                <w:i w:val="0"/>
                <w:color w:val="1F4D78"/>
                <w:sz w:val="18"/>
              </w:rPr>
              <w:t>☐ Partly repeatable</w:t>
            </w:r>
          </w:p>
        </w:tc>
        <w:tc>
          <w:tcPr>
            <w:tcW w:type="dxa" w:w="696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t>Some useful evidence remained stable, but important results, rankings or access conditions changed.</w:t>
            </w:r>
          </w:p>
        </w:tc>
      </w:tr>
      <w:tr>
        <w:tc>
          <w:tcPr>
            <w:tcW w:type="dxa" w:w="2400"/>
            <w:vAlign w:val="center"/>
            <w:tcMar>
              <w:top w:w="80" w:type="dxa"/>
              <w:start w:w="120" w:type="dxa"/>
              <w:bottom w:w="80" w:type="dxa"/>
              <w:end w:w="120" w:type="dxa"/>
            </w:tcMar>
            <w:shd w:fill="E8EEF5"/>
          </w:tcPr>
          <w:p>
            <w:pPr>
              <w:spacing w:before="0" w:after="40" w:line="264" w:lineRule="auto"/>
            </w:pPr>
            <w:r>
              <w:rPr>
                <w:rFonts w:ascii="Calibri" w:hAnsi="Calibri"/>
                <w:b/>
                <w:i w:val="0"/>
                <w:color w:val="1F4D78"/>
                <w:sz w:val="18"/>
              </w:rPr>
              <w:t>☐ Not repeatable</w:t>
            </w:r>
          </w:p>
        </w:tc>
        <w:tc>
          <w:tcPr>
            <w:tcW w:type="dxa" w:w="696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t>The output varied enough that one run would give a materially different research picture.</w:t>
            </w:r>
          </w:p>
        </w:tc>
      </w:tr>
      <w:tr>
        <w:tc>
          <w:tcPr>
            <w:tcW w:type="dxa" w:w="2400"/>
            <w:vAlign w:val="center"/>
            <w:tcMar>
              <w:top w:w="80" w:type="dxa"/>
              <w:start w:w="120" w:type="dxa"/>
              <w:bottom w:w="80" w:type="dxa"/>
              <w:end w:w="120" w:type="dxa"/>
            </w:tcMar>
            <w:shd w:fill="E8EEF5"/>
          </w:tcPr>
          <w:p>
            <w:pPr>
              <w:spacing w:before="0" w:after="40" w:line="264" w:lineRule="auto"/>
            </w:pPr>
            <w:r>
              <w:rPr>
                <w:rFonts w:ascii="Calibri" w:hAnsi="Calibri"/>
                <w:b/>
                <w:i w:val="0"/>
                <w:color w:val="1F4D78"/>
                <w:sz w:val="18"/>
              </w:rPr>
              <w:t>☐ Unable to judge</w:t>
            </w:r>
          </w:p>
        </w:tc>
        <w:tc>
          <w:tcPr>
            <w:tcW w:type="dxa" w:w="6960"/>
            <w:vAlign w:val="center"/>
            <w:tcMar>
              <w:top w:w="80" w:type="dxa"/>
              <w:start w:w="120" w:type="dxa"/>
              <w:bottom w:w="80" w:type="dxa"/>
              <w:end w:w="120" w:type="dxa"/>
            </w:tcMar>
          </w:tcPr>
          <w:p>
            <w:pPr>
              <w:spacing w:before="0" w:after="40" w:line="264" w:lineRule="auto"/>
            </w:pPr>
            <w:r>
              <w:rPr>
                <w:rFonts w:ascii="Calibri" w:hAnsi="Calibri"/>
                <w:b w:val="0"/>
                <w:i w:val="0"/>
                <w:color w:val="172033"/>
                <w:sz w:val="18"/>
              </w:rPr>
              <w:t>The interface, access tier or evidence limits prevented a fair conclusion.</w:t>
            </w:r>
          </w:p>
        </w:tc>
      </w:tr>
    </w:tbl>
    <w:p>
      <w:pPr>
        <w:keepNext w:val="0"/>
        <w:spacing w:before="160" w:after="100" w:line="300" w:lineRule="auto"/>
      </w:pPr>
      <w:r>
        <w:rPr>
          <w:rFonts w:ascii="Calibri" w:hAnsi="Calibri"/>
          <w:b/>
          <w:i w:val="0"/>
          <w:color w:val="1F4D78"/>
          <w:sz w:val="22"/>
        </w:rPr>
        <w:t xml:space="preserve">Evidence-based conclusion: </w:t>
      </w:r>
      <w:r>
        <w:rPr>
          <w:rFonts w:ascii="Calibri" w:hAnsi="Calibri"/>
          <w:b w:val="0"/>
          <w:i w:val="0"/>
          <w:color w:val="172033"/>
          <w:sz w:val="22"/>
        </w:rPr>
        <w:t>________________________________________________________________</w:t>
      </w:r>
    </w:p>
    <w:p>
      <w:pPr>
        <w:keepNext w:val="0"/>
        <w:spacing w:before="0" w:after="100" w:line="300" w:lineRule="auto"/>
      </w:pPr>
      <w:r>
        <w:rPr>
          <w:rFonts w:ascii="Calibri" w:hAnsi="Calibri"/>
          <w:b w:val="0"/>
          <w:i w:val="0"/>
          <w:color w:val="172033"/>
          <w:sz w:val="22"/>
        </w:rPr>
        <w:t>________________________________________________________________________</w:t>
      </w:r>
    </w:p>
    <w:p>
      <w:pPr>
        <w:keepNext w:val="0"/>
        <w:spacing w:before="0" w:after="100" w:line="300" w:lineRule="auto"/>
      </w:pPr>
      <w:r>
        <w:rPr>
          <w:rFonts w:ascii="Calibri" w:hAnsi="Calibri"/>
          <w:b w:val="0"/>
          <w:i w:val="0"/>
          <w:color w:val="172033"/>
          <w:sz w:val="22"/>
        </w:rPr>
        <w:t>________________________________________________________________________</w:t>
      </w:r>
    </w:p>
    <w:p>
      <w:r>
        <w:br w:type="page"/>
      </w:r>
    </w:p>
    <w:p>
      <w:pPr>
        <w:pStyle w:val="Heading1"/>
        <w:keepNext/>
      </w:pPr>
      <w:r>
        <w:rPr>
          <w:rFonts w:ascii="Calibri" w:hAnsi="Calibri"/>
          <w:b/>
          <w:i w:val="0"/>
          <w:color w:val="2E74B5"/>
          <w:sz w:val="32"/>
        </w:rPr>
        <w:t>7. Decide how the tool should be used</w:t>
      </w:r>
    </w:p>
    <w:p>
      <w:pPr>
        <w:pStyle w:val="ListBullet"/>
        <w:spacing w:before="0" w:after="80" w:line="300" w:lineRule="auto"/>
        <w:ind w:left="540" w:hanging="271"/>
      </w:pPr>
      <w:r>
        <w:rPr>
          <w:rFonts w:ascii="Calibri" w:hAnsi="Calibri"/>
          <w:b w:val="0"/>
          <w:i w:val="0"/>
          <w:color w:val="172033"/>
          <w:sz w:val="22"/>
        </w:rPr>
        <w:t>Exploration only: useful for keywords, related concepts or initial orientation.</w:t>
      </w:r>
    </w:p>
    <w:p>
      <w:pPr>
        <w:pStyle w:val="ListBullet"/>
        <w:spacing w:before="0" w:after="80" w:line="300" w:lineRule="auto"/>
        <w:ind w:left="540" w:hanging="271"/>
      </w:pPr>
      <w:r>
        <w:rPr>
          <w:rFonts w:ascii="Calibri" w:hAnsi="Calibri"/>
          <w:b w:val="0"/>
          <w:i w:val="0"/>
          <w:color w:val="172033"/>
          <w:sz w:val="22"/>
        </w:rPr>
        <w:t>Supplementary discovery: useful alongside library databases and documented search methods.</w:t>
      </w:r>
    </w:p>
    <w:p>
      <w:pPr>
        <w:pStyle w:val="ListBullet"/>
        <w:spacing w:before="0" w:after="80" w:line="300" w:lineRule="auto"/>
        <w:ind w:left="540" w:hanging="271"/>
      </w:pPr>
      <w:r>
        <w:rPr>
          <w:rFonts w:ascii="Calibri" w:hAnsi="Calibri"/>
          <w:b w:val="0"/>
          <w:i w:val="0"/>
          <w:color w:val="172033"/>
          <w:sz w:val="22"/>
        </w:rPr>
        <w:t>Formal review support: only with a reproducible protocol, preserved records and human verification.</w:t>
      </w:r>
    </w:p>
    <w:p>
      <w:pPr>
        <w:pStyle w:val="ListBullet"/>
        <w:spacing w:before="0" w:after="80" w:line="300" w:lineRule="auto"/>
        <w:ind w:left="540" w:hanging="271"/>
      </w:pPr>
      <w:r>
        <w:rPr>
          <w:rFonts w:ascii="Calibri" w:hAnsi="Calibri"/>
          <w:b w:val="0"/>
          <w:i w:val="0"/>
          <w:color w:val="172033"/>
          <w:sz w:val="22"/>
        </w:rPr>
        <w:t>Do not use for this task: the access, coverage or traceability limits are too substantial.</w:t>
      </w:r>
    </w:p>
    <w:p>
      <w:pPr>
        <w:pStyle w:val="Heading1"/>
        <w:keepNext/>
      </w:pPr>
      <w:r>
        <w:rPr>
          <w:rFonts w:ascii="Calibri" w:hAnsi="Calibri"/>
          <w:b/>
          <w:i w:val="0"/>
          <w:color w:val="2E74B5"/>
          <w:sz w:val="32"/>
        </w:rPr>
        <w:t>Instructor facilitation notes</w:t>
      </w:r>
    </w:p>
    <w:p>
      <w:pPr>
        <w:pStyle w:val="ListBullet"/>
        <w:spacing w:before="0" w:after="80" w:line="300" w:lineRule="auto"/>
        <w:ind w:left="540" w:hanging="271"/>
      </w:pPr>
      <w:r>
        <w:rPr>
          <w:rFonts w:ascii="Calibri" w:hAnsi="Calibri"/>
          <w:b w:val="0"/>
          <w:i w:val="0"/>
          <w:color w:val="172033"/>
          <w:sz w:val="22"/>
        </w:rPr>
        <w:t>Ask different groups to test the same question in different tools, then compare what each corpus makes visible or invisible.</w:t>
      </w:r>
    </w:p>
    <w:p>
      <w:pPr>
        <w:pStyle w:val="ListBullet"/>
        <w:spacing w:before="0" w:after="80" w:line="300" w:lineRule="auto"/>
        <w:ind w:left="540" w:hanging="271"/>
      </w:pPr>
      <w:r>
        <w:rPr>
          <w:rFonts w:ascii="Calibri" w:hAnsi="Calibri"/>
          <w:b w:val="0"/>
          <w:i w:val="0"/>
          <w:color w:val="172033"/>
          <w:sz w:val="22"/>
        </w:rPr>
        <w:t>Treat variability as evidence to discuss, not as a competition to declare a permanent winner.</w:t>
      </w:r>
    </w:p>
    <w:p>
      <w:pPr>
        <w:pStyle w:val="ListBullet"/>
        <w:spacing w:before="0" w:after="80" w:line="300" w:lineRule="auto"/>
        <w:ind w:left="540" w:hanging="271"/>
      </w:pPr>
      <w:r>
        <w:rPr>
          <w:rFonts w:ascii="Calibri" w:hAnsi="Calibri"/>
          <w:b w:val="0"/>
          <w:i w:val="0"/>
          <w:color w:val="172033"/>
          <w:sz w:val="22"/>
        </w:rPr>
        <w:t>Require learners to distinguish reported result counts from records they could actually inspect.</w:t>
      </w:r>
    </w:p>
    <w:p>
      <w:pPr>
        <w:pStyle w:val="ListBullet"/>
        <w:spacing w:before="0" w:after="80" w:line="300" w:lineRule="auto"/>
        <w:ind w:left="540" w:hanging="271"/>
      </w:pPr>
      <w:r>
        <w:rPr>
          <w:rFonts w:ascii="Calibri" w:hAnsi="Calibri"/>
          <w:b w:val="0"/>
          <w:i w:val="0"/>
          <w:color w:val="172033"/>
          <w:sz w:val="22"/>
        </w:rPr>
        <w:t>Use institutional databases to demonstrate the difference between exploratory AI retrieval and documented scholarly searching.</w:t>
      </w:r>
    </w:p>
    <w:p>
      <w:pPr>
        <w:pStyle w:val="Heading1"/>
        <w:keepNext/>
      </w:pPr>
      <w:r>
        <w:rPr>
          <w:rFonts w:ascii="Calibri" w:hAnsi="Calibri"/>
          <w:b/>
          <w:i w:val="0"/>
          <w:color w:val="2E74B5"/>
          <w:sz w:val="32"/>
        </w:rPr>
        <w:t>Source, reuse and corrections</w:t>
      </w:r>
    </w:p>
    <w:p>
      <w:pPr>
        <w:keepNext w:val="0"/>
        <w:spacing w:before="0" w:after="100" w:line="300" w:lineRule="auto"/>
      </w:pPr>
      <w:r>
        <w:rPr>
          <w:rFonts w:ascii="Calibri" w:hAnsi="Calibri"/>
          <w:b w:val="0"/>
          <w:i w:val="0"/>
          <w:color w:val="172033"/>
          <w:sz w:val="22"/>
        </w:rPr>
        <w:t xml:space="preserve">This worksheet accompanies the open benchmark and full worked example: </w:t>
      </w:r>
      <w:hyperlink r:id="rId11">
        <w:r>
          <w:rPr>
            <w:rFonts w:ascii="Calibri" w:hAnsi="Calibri"/>
            <w:color w:val="2E74B5"/>
            <w:u w:val="single"/>
            <w:sz w:val="22"/>
          </w:rPr>
          <w:t>How to Test AI Research Tools for Repeatable Results</w:t>
        </w:r>
      </w:hyperlink>
      <w:r>
        <w:rPr>
          <w:rFonts w:ascii="Calibri" w:hAnsi="Calibri"/>
          <w:b w:val="0"/>
          <w:i w:val="0"/>
          <w:color w:val="172033"/>
          <w:sz w:val="22"/>
        </w:rPr>
        <w:t>.</w:t>
      </w:r>
    </w:p>
    <w:p>
      <w:pPr>
        <w:keepNext w:val="0"/>
        <w:spacing w:before="0" w:after="120" w:line="300" w:lineRule="auto"/>
      </w:pPr>
      <w:r>
        <w:rPr>
          <w:rFonts w:ascii="Calibri" w:hAnsi="Calibri"/>
          <w:b w:val="0"/>
          <w:i w:val="0"/>
          <w:color w:val="172033"/>
          <w:sz w:val="22"/>
        </w:rPr>
        <w:t>Suggested citation: AI News &amp; Updates Editorial Team (2026). AI Research Assistant Repeatability Worksheet, version 1.0.0.</w:t>
      </w:r>
    </w:p>
    <w:p>
      <w:pPr>
        <w:keepNext w:val="0"/>
        <w:spacing w:before="0" w:after="0" w:line="300" w:lineRule="auto"/>
      </w:pPr>
      <w:r>
        <w:rPr>
          <w:rFonts w:ascii="Calibri" w:hAnsi="Calibri"/>
          <w:b w:val="0"/>
          <w:i w:val="0"/>
          <w:color w:val="172033"/>
          <w:sz w:val="22"/>
        </w:rPr>
        <w:t xml:space="preserve">Reuse is permitted with attribution. Corrections: </w:t>
      </w:r>
      <w:hyperlink r:id="rId12">
        <w:r>
          <w:rPr>
            <w:rFonts w:ascii="Calibri" w:hAnsi="Calibri"/>
            <w:color w:val="2E74B5"/>
            <w:u w:val="single"/>
            <w:sz w:val="22"/>
          </w:rPr>
          <w:t>hello@ainewsandupdates.com</w:t>
        </w:r>
      </w:hyperlink>
      <w:r>
        <w:rPr>
          <w:rFonts w:ascii="Calibri" w:hAnsi="Calibri"/>
          <w:b w:val="0"/>
          <w:i w:val="0"/>
          <w:color w:val="172033"/>
          <w:sz w:val="22"/>
        </w:rPr>
        <w:t>.</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b w:val="0"/>
        <w:i w:val="0"/>
        <w:color w:val="596579"/>
        <w:sz w:val="18"/>
      </w:rPr>
      <w:t xml:space="preserve">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spacing w:before="0" w:after="0" w:line="300" w:lineRule="auto"/>
      <w:jc w:val="left"/>
    </w:pPr>
    <w:r>
      <w:rPr>
        <w:rFonts w:ascii="Calibri" w:hAnsi="Calibri"/>
        <w:b/>
        <w:i w:val="0"/>
        <w:color w:val="596579"/>
        <w:sz w:val="18"/>
      </w:rPr>
      <w:t>AI NEWS &amp; UPDATES  |  OPEN TEACHING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720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ainewsandupdates.com/how-to-test-ai-research-tools/" TargetMode="External"/><Relationship Id="rId12" Type="http://schemas.openxmlformats.org/officeDocument/2006/relationships/hyperlink" Target="mailto:hello@ainewsandupdat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Research Assistant Repeatability Worksheet</dc:title>
  <dc:subject>Open higher-education learning activity for evaluating repeatability and source traceability</dc:subject>
  <dc:creator>AI News &amp; Updates Editorial Team</dc:creator>
  <cp:keywords>AI literacy, research skills, repeatability, information literacy, literature search</cp:keywords>
  <dc:description>generated by python-docx</dc:description>
  <cp:lastModifiedBy>AI News &amp; Updates Editorial Team</cp:lastModifiedBy>
  <cp:revision>1</cp:revision>
  <dcterms:created xsi:type="dcterms:W3CDTF">2013-12-23T23:15:00Z</dcterms:created>
  <dcterms:modified xsi:type="dcterms:W3CDTF">2013-12-23T23:15:00Z</dcterms:modified>
  <cp:category/>
</cp:coreProperties>
</file>