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 xml:space="preserve">Decoupling Total Barometric Pressure from Oxygen Partial Pressure in the </w:t>
      </w:r>
      <w:r>
        <w:rPr>
          <w:i/>
        </w:rPr>
        <w:t>Arabidopsis thaliana</w:t>
      </w:r>
      <w:r>
        <w:t xml:space="preserve"> Spaceflight Exploration Atmosphere Using the TabPFN v2 Tabular Foundation Model: Molecular Hubs, Single-Nucleus Trajectories, and Physiological Rescue</w:t>
      </w:r>
    </w:p>
    <w:p>
      <w:r>
        <w:rPr>
          <w:b/>
        </w:rPr>
        <w:t>Richard J. Barker</w:t>
      </w:r>
      <w:r>
        <w:t>^{1,</w:t>
      </w:r>
      <w:r>
        <w:rPr>
          <w:i/>
        </w:rPr>
        <w:t xml:space="preserve">} and </w:t>
      </w:r>
      <w:r>
        <w:rPr>
          <w:i/>
        </w:rPr>
        <w:t>[Co-authors To Be Determined]</w:t>
      </w:r>
      <w:r>
        <w:t>*^{2}</w:t>
      </w:r>
    </w:p>
    <w:p>
      <w:r>
        <w:t>^{1}Department of Biological Sciences, University of Wisconsin-Madison, Madison, WI, USA; Center for Space Exploration (CoSE)</w:t>
      </w:r>
    </w:p>
    <w:p>
      <w:r>
        <w:t>^{2}[Affiliation To Be Determined]</w:t>
      </w:r>
    </w:p>
    <w:p>
      <w:r>
        <w:t xml:space="preserve">^{*}Corresponding author: </w:t>
      </w:r>
      <w:r>
        <w:rPr>
          <w:rFonts w:ascii="Courier New" w:hAnsi="Courier New"/>
          <w:sz w:val="19"/>
        </w:rPr>
        <w:t>dr-richard-barker</w:t>
      </w:r>
      <w:r>
        <w:t xml:space="preserve"> / </w:t>
      </w:r>
      <w:r>
        <w:rPr>
          <w:rFonts w:ascii="Courier New" w:hAnsi="Courier New"/>
          <w:sz w:val="19"/>
        </w:rPr>
        <w:t>rbarker2@wisc.edu</w:t>
      </w:r>
    </w:p>
    <w:p>
      <w:pPr>
        <w:pStyle w:val="Heading1"/>
      </w:pPr>
      <w:r>
        <w:t>Abstract</w:t>
      </w:r>
    </w:p>
    <w:p>
      <w:r>
        <w:t xml:space="preserve">Future crewed lunar and Martian surface habitats, extravehicular activity (EVA) staging airlocks, and bioregenerative life-support systems will operate under NASA's reduced-pressure, oxygen-enriched </w:t>
      </w:r>
      <w:r>
        <w:rPr>
          <w:b/>
        </w:rPr>
        <w:t>Exploration Atmosphere</w:t>
      </w:r>
      <w:r>
        <w:t xml:space="preserve"> (56.54 kPa} [8.2 psia}], 34\%\ O}_2, oxygen partial pressure pO}_2 = 19.22 kPa}; pre-EVA staged decompression 70.33 kPa} [10.2 psia}], 26.5\%\ O}_2, pO}_2 = 18.64 kPa}). While enriching fractional O}_2 restores normoxic pO}_2, reducing total barometric pressure (P_{total}}) inversely accelerates binary gas and water-vapor diffusivity (D ∝ P_{total}}^{-1}; 1.72× faster at 56.54 kPa} than at 97 kPa} ISS cabin pressure), thinning the boundary layer and accelerating transpiration independently of cellular oxygen availability. However, small sample sizes (n = 9--}130 per study), high feature dimensionality (p = 22,746 probesets), and historical metadata ambiguities have prevented classical machine learning models from cleanly separating pure barosensory (P_{total}}) signaling from hypoxia (pO}_2) signaling or linking these molecular hubs to cell-type trajectories and whole-plant physiology.</w:t>
      </w:r>
    </w:p>
    <w:p>
      <w:r>
        <w:t xml:space="preserve">Here, we harmonize a 12-dataset multi-omics compendium spanning </w:t>
      </w:r>
      <w:r>
        <w:rPr>
          <w:b/>
        </w:rPr>
        <w:t>281 microarray hybridizations</w:t>
      </w:r>
      <w:r>
        <w:t xml:space="preserve">, </w:t>
      </w:r>
      <w:r>
        <w:rPr>
          <w:b/>
        </w:rPr>
        <w:t>40,860 single-nucleus root-tip transcriptomes</w:t>
      </w:r>
      <w:r>
        <w:t xml:space="preserve">, </w:t>
      </w:r>
      <w:r>
        <w:rPr>
          <w:b/>
        </w:rPr>
        <w:t>326 physiological gas-exchange and chlorophyll fluorescence records</w:t>
      </w:r>
      <w:r>
        <w:t xml:space="preserve">, </w:t>
      </w:r>
      <w:r>
        <w:rPr>
          <w:b/>
        </w:rPr>
        <w:t>LC-MS metabolomics across factorial pressure × humidity regimes</w:t>
      </w:r>
      <w:r>
        <w:t xml:space="preserve">, and </w:t>
      </w:r>
      <w:r>
        <w:rPr>
          <w:b/>
        </w:rPr>
        <w:t>5,454 iTRAQ submergence proteins</w:t>
      </w:r>
      <w:r>
        <w:t xml:space="preserve">, and apply the </w:t>
      </w:r>
      <w:r>
        <w:rPr>
          <w:b/>
        </w:rPr>
        <w:t>TabPFN v2</w:t>
      </w:r>
      <w:r>
        <w:t xml:space="preserve"> prior-data fitted tabular foundation model (Hollmann et al., </w:t>
      </w:r>
      <w:r>
        <w:rPr>
          <w:i/>
        </w:rPr>
        <w:t>Nature</w:t>
      </w:r>
      <w:r>
        <w:t xml:space="preserve"> 637, 319–326, 2025) to resolve the plant response to exploration atmospheres. First, an explicit forensic audit ledger tracking all 148 series-level GSM records (</w:t>
      </w:r>
      <w:r>
        <w:rPr>
          <w:rFonts w:ascii="Courier New" w:hAnsi="Courier New"/>
          <w:sz w:val="19"/>
        </w:rPr>
        <w:t>Table_S1_Full_148_GSM_Audit_Ledger.csv</w:t>
      </w:r>
      <w:r>
        <w:t xml:space="preserve">) deduplicates 18 shared arrays (r = 1.000000, \max|Δ| = 0.0) between </w:t>
      </w:r>
      <w:r>
        <w:rPr>
          <w:rFonts w:ascii="Courier New" w:hAnsi="Courier New"/>
          <w:sz w:val="19"/>
        </w:rPr>
        <w:t>GSE87867</w:t>
      </w:r>
      <w:r>
        <w:t xml:space="preserve"> and </w:t>
      </w:r>
      <w:r>
        <w:rPr>
          <w:rFonts w:ascii="Courier New" w:hAnsi="Courier New"/>
          <w:sz w:val="19"/>
        </w:rPr>
        <w:t>GSE87903</w:t>
      </w:r>
      <w:r>
        <w:t xml:space="preserve"> to establish </w:t>
      </w:r>
      <w:r>
        <w:rPr>
          <w:b/>
        </w:rPr>
        <w:t>130 unique hypobaric arrays</w:t>
      </w:r>
      <w:r>
        <w:t>, all of which pass standard Affymetrix array QC (NUSE medians 1.00 ± 0.25, RLE IQRs 0.79 ± 0.37, scale factors 1.00 ± 0.08, percent present 81.7 ± 10.0\%). TabPFN v2 probabilistic classification (</w:t>
      </w:r>
      <w:r>
        <w:rPr>
          <w:rFonts w:ascii="Courier New" w:hAnsi="Courier New"/>
          <w:sz w:val="19"/>
        </w:rPr>
        <w:t>ROC_AUC = 1.0000</w:t>
      </w:r>
      <w:r>
        <w:t xml:space="preserve">, </w:t>
      </w:r>
      <w:r>
        <w:rPr>
          <w:rFonts w:ascii="Courier New" w:hAnsi="Courier New"/>
          <w:sz w:val="19"/>
        </w:rPr>
        <w:t>Brier_Score = 0.000002</w:t>
      </w:r>
      <w:r>
        <w:t xml:space="preserve">, </w:t>
      </w:r>
      <w:r>
        <w:rPr>
          <w:rFonts w:ascii="Courier New" w:hAnsi="Courier New"/>
          <w:sz w:val="19"/>
        </w:rPr>
        <w:t>ECE = 0.00085</w:t>
      </w:r>
      <w:r>
        <w:t xml:space="preserve"> across n = 126 unambiguous arrays) objectively resolves four disputed </w:t>
      </w:r>
      <w:r>
        <w:rPr>
          <w:rFonts w:ascii="Courier New" w:hAnsi="Courier New"/>
          <w:sz w:val="19"/>
        </w:rPr>
        <w:t>GSE87903</w:t>
      </w:r>
      <w:r>
        <w:t xml:space="preserve"> 75 kPa} arrays (</w:t>
      </w:r>
      <w:r>
        <w:rPr>
          <w:rFonts w:ascii="Courier New" w:hAnsi="Courier New"/>
          <w:sz w:val="19"/>
        </w:rPr>
        <w:t>GSM2342806</w:t>
      </w:r>
      <w:r>
        <w:t>–</w:t>
      </w:r>
      <w:r>
        <w:rPr>
          <w:rFonts w:ascii="Courier New" w:hAnsi="Courier New"/>
          <w:sz w:val="19"/>
        </w:rPr>
        <w:t>GSM2342809</w:t>
      </w:r>
      <w:r>
        <w:t xml:space="preserve">, P(Shoot}\mid\mathbf{x}) \in [0.9908, 0.9991]) as </w:t>
      </w:r>
      <w:r>
        <w:rPr>
          <w:b/>
        </w:rPr>
        <w:t>Shoots</w:t>
      </w:r>
      <w:r>
        <w:t xml:space="preserve"> whose submission records retained a copy-pasted </w:t>
      </w:r>
      <w:r>
        <w:rPr>
          <w:rFonts w:ascii="Courier New" w:hAnsi="Courier New"/>
          <w:sz w:val="19"/>
        </w:rPr>
        <w:t>Root</w:t>
      </w:r>
      <w:r>
        <w:t xml:space="preserve"> tag, resolves two mislabeled 5 kPa} root arrays (</w:t>
      </w:r>
      <w:r>
        <w:rPr>
          <w:rFonts w:ascii="Courier New" w:hAnsi="Courier New"/>
          <w:sz w:val="19"/>
        </w:rPr>
        <w:t>GSM2342804</w:t>
      </w:r>
      <w:r>
        <w:t>–</w:t>
      </w:r>
      <w:r>
        <w:rPr>
          <w:rFonts w:ascii="Courier New" w:hAnsi="Courier New"/>
          <w:sz w:val="19"/>
        </w:rPr>
        <w:t>GSM2342805</w:t>
      </w:r>
      <w:r>
        <w:t xml:space="preserve">), and demonstrates that unbalanced replicate counts (n = 4) arose from technical re-hybridization of Replicate A across scanner batches </w:t>
      </w:r>
      <w:r>
        <w:rPr>
          <w:rFonts w:ascii="Courier New" w:hAnsi="Courier New"/>
          <w:sz w:val="19"/>
        </w:rPr>
        <w:t>54xx</w:t>
      </w:r>
      <w:r>
        <w:t xml:space="preserve"> and </w:t>
      </w:r>
      <w:r>
        <w:rPr>
          <w:rFonts w:ascii="Courier New" w:hAnsi="Courier New"/>
          <w:sz w:val="19"/>
        </w:rPr>
        <w:t>68xx</w:t>
      </w:r>
      <w:r>
        <w:t xml:space="preserve"> (r = 0.9951--}0.9964).</w:t>
      </w:r>
    </w:p>
    <w:p>
      <w:r>
        <w:t xml:space="preserve">Second, under leak-free condition-grouped cross-validation (20 discrete condition groups), </w:t>
      </w:r>
      <w:r>
        <w:rPr>
          <w:b/>
        </w:rPr>
        <w:t>TabPFN v2</w:t>
      </w:r>
      <w:r>
        <w:t xml:space="preserve"> and its post-hoc ensemble </w:t>
      </w:r>
      <w:r>
        <w:rPr>
          <w:b/>
        </w:rPr>
        <w:t>TabPFN v2 (PHE)</w:t>
      </w:r>
      <w:r>
        <w:t xml:space="preserve"> outperform </w:t>
      </w:r>
      <w:r>
        <w:rPr>
          <w:rFonts w:ascii="Courier New" w:hAnsi="Courier New"/>
          <w:sz w:val="19"/>
        </w:rPr>
        <w:t>LightGBM</w:t>
      </w:r>
      <w:r>
        <w:t xml:space="preserve">, </w:t>
      </w:r>
      <w:r>
        <w:rPr>
          <w:rFonts w:ascii="Courier New" w:hAnsi="Courier New"/>
          <w:sz w:val="19"/>
        </w:rPr>
        <w:t>RandomForest</w:t>
      </w:r>
      <w:r>
        <w:t xml:space="preserve">, </w:t>
      </w:r>
      <w:r>
        <w:rPr>
          <w:rFonts w:ascii="Courier New" w:hAnsi="Courier New"/>
          <w:sz w:val="19"/>
        </w:rPr>
        <w:t>ElasticNet</w:t>
      </w:r>
      <w:r>
        <w:t xml:space="preserve">, </w:t>
      </w:r>
      <w:r>
        <w:rPr>
          <w:rFonts w:ascii="Courier New" w:hAnsi="Courier New"/>
          <w:sz w:val="19"/>
        </w:rPr>
        <w:t>Ridge</w:t>
      </w:r>
      <w:r>
        <w:t xml:space="preserve">, and </w:t>
      </w:r>
      <w:r>
        <w:rPr>
          <w:rFonts w:ascii="Courier New" w:hAnsi="Courier New"/>
          <w:sz w:val="19"/>
        </w:rPr>
        <w:t>MLP</w:t>
      </w:r>
      <w:r>
        <w:t xml:space="preserve"> baselines across continuous Hypobaria Index regression (log2(97/P_{total}}): </w:t>
      </w:r>
      <w:r>
        <w:rPr>
          <w:rFonts w:ascii="Courier New" w:hAnsi="Courier New"/>
          <w:sz w:val="19"/>
        </w:rPr>
        <w:t>RMSE = 0.4425</w:t>
      </w:r>
      <w:r>
        <w:t xml:space="preserve">, R^2 = 0.9134, Spearman ρ = 0.9100 on n = 130, p ≤ 7.05 × 10^{-3} vs. all baselines), continuous Hypoxia Index regression (log2(20.37/pO}_2): </w:t>
      </w:r>
      <w:r>
        <w:rPr>
          <w:rFonts w:ascii="Courier New" w:hAnsi="Courier New"/>
          <w:sz w:val="19"/>
        </w:rPr>
        <w:t>RMSE = 0.2247</w:t>
      </w:r>
      <w:r>
        <w:t>, R^2 = 0.9733, ρ = 0.9121 on n = 58, p ≤ 1.30 × 10^{-3}), and 4-class atmospheric regime classification (</w:t>
      </w:r>
      <w:r>
        <w:rPr>
          <w:rFonts w:ascii="Courier New" w:hAnsi="Courier New"/>
          <w:sz w:val="19"/>
        </w:rPr>
        <w:t>ROC_AUC = 0.9623</w:t>
      </w:r>
      <w:r>
        <w:t xml:space="preserve">, </w:t>
      </w:r>
      <w:r>
        <w:rPr>
          <w:rFonts w:ascii="Courier New" w:hAnsi="Courier New"/>
          <w:sz w:val="19"/>
        </w:rPr>
        <w:t>Accuracy = 86.21%</w:t>
      </w:r>
      <w:r>
        <w:t xml:space="preserve">, </w:t>
      </w:r>
      <w:r>
        <w:rPr>
          <w:rFonts w:ascii="Courier New" w:hAnsi="Courier New"/>
          <w:sz w:val="19"/>
        </w:rPr>
        <w:t>ECE = 0.0608</w:t>
      </w:r>
      <w:r>
        <w:t>). A comprehensive covariate ablation suite confirms that transcriptomic physical signal decoding is not driven by experimental covariates: experimental covariates alone yield negative out-of-fold generalization (R^2 = -0.3783 for Hypobaria, R^2 = -0.2419 for Hypoxia), whereas transcriptomic features provide positive predictive power (R^2 = 0.4436 and 0.9268, rising to 0.5307 and 0.9283 when combined).</w:t>
      </w:r>
    </w:p>
    <w:p>
      <w:r>
        <w:t xml:space="preserve">Third, multivariable orthogonal partial regression with empirical Bayes variance moderation across all 22,746 probesets combined with exact TabPFN v2 Shapley attributions identifies </w:t>
      </w:r>
      <w:r>
        <w:rPr>
          <w:b/>
        </w:rPr>
        <w:t>1,003 Pure Hypoxia (pO}_2) hubs</w:t>
      </w:r>
      <w:r>
        <w:t xml:space="preserve">—led by </w:t>
      </w:r>
      <w:r>
        <w:rPr>
          <w:rFonts w:ascii="Courier New" w:hAnsi="Courier New"/>
          <w:sz w:val="19"/>
        </w:rPr>
        <w:t>HRU1</w:t>
      </w:r>
      <w:r>
        <w:t xml:space="preserve"> (</w:t>
      </w:r>
      <w:r>
        <w:rPr>
          <w:rFonts w:ascii="Courier New" w:hAnsi="Courier New"/>
          <w:sz w:val="19"/>
        </w:rPr>
        <w:t>AT3G03270</w:t>
      </w:r>
      <w:r>
        <w:t xml:space="preserve">), </w:t>
      </w:r>
      <w:r>
        <w:rPr>
          <w:rFonts w:ascii="Courier New" w:hAnsi="Courier New"/>
          <w:sz w:val="19"/>
        </w:rPr>
        <w:t>WIP5</w:t>
      </w:r>
      <w:r>
        <w:t xml:space="preserve"> (</w:t>
      </w:r>
      <w:r>
        <w:rPr>
          <w:rFonts w:ascii="Courier New" w:hAnsi="Courier New"/>
          <w:sz w:val="19"/>
        </w:rPr>
        <w:t>AT4G33560</w:t>
      </w:r>
      <w:r>
        <w:t xml:space="preserve">), </w:t>
      </w:r>
      <w:r>
        <w:rPr>
          <w:rFonts w:ascii="Courier New" w:hAnsi="Courier New"/>
          <w:sz w:val="19"/>
        </w:rPr>
        <w:t>AAD6</w:t>
      </w:r>
      <w:r>
        <w:t xml:space="preserve"> (</w:t>
      </w:r>
      <w:r>
        <w:rPr>
          <w:rFonts w:ascii="Courier New" w:hAnsi="Courier New"/>
          <w:sz w:val="19"/>
        </w:rPr>
        <w:t>AT1G43800</w:t>
      </w:r>
      <w:r>
        <w:t xml:space="preserve">), </w:t>
      </w:r>
      <w:r>
        <w:rPr>
          <w:rFonts w:ascii="Courier New" w:hAnsi="Courier New"/>
          <w:sz w:val="19"/>
        </w:rPr>
        <w:t>AHB1</w:t>
      </w:r>
      <w:r>
        <w:t>/</w:t>
      </w:r>
      <w:r>
        <w:rPr>
          <w:rFonts w:ascii="Courier New" w:hAnsi="Courier New"/>
          <w:sz w:val="19"/>
        </w:rPr>
        <w:t>HB1</w:t>
      </w:r>
      <w:r>
        <w:t xml:space="preserve"> (</w:t>
      </w:r>
      <w:r>
        <w:rPr>
          <w:rFonts w:ascii="Courier New" w:hAnsi="Courier New"/>
          <w:sz w:val="19"/>
        </w:rPr>
        <w:t>AT2G16060</w:t>
      </w:r>
      <w:r>
        <w:t xml:space="preserve">), </w:t>
      </w:r>
      <w:r>
        <w:rPr>
          <w:rFonts w:ascii="Courier New" w:hAnsi="Courier New"/>
          <w:sz w:val="19"/>
        </w:rPr>
        <w:t>AtPDC1</w:t>
      </w:r>
      <w:r>
        <w:t xml:space="preserve"> (</w:t>
      </w:r>
      <w:r>
        <w:rPr>
          <w:rFonts w:ascii="Courier New" w:hAnsi="Courier New"/>
          <w:sz w:val="19"/>
        </w:rPr>
        <w:t>AT4G33070</w:t>
      </w:r>
      <w:r>
        <w:t xml:space="preserve">), </w:t>
      </w:r>
      <w:r>
        <w:rPr>
          <w:rFonts w:ascii="Courier New" w:hAnsi="Courier New"/>
          <w:sz w:val="19"/>
        </w:rPr>
        <w:t>PCO1</w:t>
      </w:r>
      <w:r>
        <w:t xml:space="preserve"> (</w:t>
      </w:r>
      <w:r>
        <w:rPr>
          <w:rFonts w:ascii="Courier New" w:hAnsi="Courier New"/>
          <w:sz w:val="19"/>
        </w:rPr>
        <w:t>AT5G15120</w:t>
      </w:r>
      <w:r>
        <w:t xml:space="preserve">), and </w:t>
      </w:r>
      <w:r>
        <w:rPr>
          <w:rFonts w:ascii="Courier New" w:hAnsi="Courier New"/>
          <w:sz w:val="19"/>
        </w:rPr>
        <w:t>ADH1</w:t>
      </w:r>
      <w:r>
        <w:t xml:space="preserve"> (</w:t>
      </w:r>
      <w:r>
        <w:rPr>
          <w:rFonts w:ascii="Courier New" w:hAnsi="Courier New"/>
          <w:sz w:val="19"/>
        </w:rPr>
        <w:t>AT1G77120</w:t>
      </w:r>
      <w:r>
        <w:t xml:space="preserve">)—and </w:t>
      </w:r>
      <w:r>
        <w:rPr>
          <w:b/>
        </w:rPr>
        <w:t>380 Pure Barosensory (P_{total}}) hubs</w:t>
      </w:r>
      <w:r>
        <w:t xml:space="preserve">, alongside </w:t>
      </w:r>
      <w:r>
        <w:rPr>
          <w:b/>
        </w:rPr>
        <w:t>21 Additive Dual Hubs</w:t>
      </w:r>
      <w:r>
        <w:t xml:space="preserve"> and </w:t>
      </w:r>
      <w:r>
        <w:rPr>
          <w:b/>
        </w:rPr>
        <w:t>12 Interaction Hubs</w:t>
      </w:r>
      <w:r>
        <w:t xml:space="preserve"> (6 synergistic, 6 antagonistic) that remain active even when O}_2 supplementation restores normoxia (50 kPa} + O}_2 and 25 kPa} + O}_2). Pure barosensory hubs are anchored by the Ca}^{2+}-dependent ROP-interactor </w:t>
      </w:r>
      <w:r>
        <w:rPr>
          <w:rFonts w:ascii="Courier New" w:hAnsi="Courier New"/>
          <w:sz w:val="19"/>
        </w:rPr>
        <w:t>CMI1</w:t>
      </w:r>
      <w:r>
        <w:t xml:space="preserve"> (</w:t>
      </w:r>
      <w:r>
        <w:rPr>
          <w:rFonts w:ascii="Courier New" w:hAnsi="Courier New"/>
          <w:sz w:val="19"/>
        </w:rPr>
        <w:t>AT4G27280</w:t>
      </w:r>
      <w:r>
        <w:t xml:space="preserve">), the stomatal/ROS zinc-finger regulator </w:t>
      </w:r>
      <w:r>
        <w:rPr>
          <w:rFonts w:ascii="Courier New" w:hAnsi="Courier New"/>
          <w:sz w:val="19"/>
        </w:rPr>
        <w:t>STZ</w:t>
      </w:r>
      <w:r>
        <w:t>/</w:t>
      </w:r>
      <w:r>
        <w:rPr>
          <w:rFonts w:ascii="Courier New" w:hAnsi="Courier New"/>
          <w:sz w:val="19"/>
        </w:rPr>
        <w:t>ZAT10</w:t>
      </w:r>
      <w:r>
        <w:t xml:space="preserve"> (</w:t>
      </w:r>
      <w:r>
        <w:rPr>
          <w:rFonts w:ascii="Courier New" w:hAnsi="Courier New"/>
          <w:sz w:val="19"/>
        </w:rPr>
        <w:t>AT1G27730</w:t>
      </w:r>
      <w:r>
        <w:t xml:space="preserve">), the mechanosensitive cell-wall xyloglucan endotransglucosylase </w:t>
      </w:r>
      <w:r>
        <w:rPr>
          <w:rFonts w:ascii="Courier New" w:hAnsi="Courier New"/>
          <w:sz w:val="19"/>
        </w:rPr>
        <w:t>TCH4</w:t>
      </w:r>
      <w:r>
        <w:t>/</w:t>
      </w:r>
      <w:r>
        <w:rPr>
          <w:rFonts w:ascii="Courier New" w:hAnsi="Courier New"/>
          <w:sz w:val="19"/>
        </w:rPr>
        <w:t>AtXTH22</w:t>
      </w:r>
      <w:r>
        <w:t xml:space="preserve"> (</w:t>
      </w:r>
      <w:r>
        <w:rPr>
          <w:rFonts w:ascii="Courier New" w:hAnsi="Courier New"/>
          <w:sz w:val="19"/>
        </w:rPr>
        <w:t>AT5G57560</w:t>
      </w:r>
      <w:r>
        <w:t xml:space="preserve">, +1.85\ log2FC} in normoxic 50 kPa} shoots), rate-limiting ethylene synthase </w:t>
      </w:r>
      <w:r>
        <w:rPr>
          <w:rFonts w:ascii="Courier New" w:hAnsi="Courier New"/>
          <w:sz w:val="19"/>
        </w:rPr>
        <w:t>ACS6</w:t>
      </w:r>
      <w:r>
        <w:t xml:space="preserve"> (</w:t>
      </w:r>
      <w:r>
        <w:rPr>
          <w:rFonts w:ascii="Courier New" w:hAnsi="Courier New"/>
          <w:sz w:val="19"/>
        </w:rPr>
        <w:t>AT4G11280</w:t>
      </w:r>
      <w:r>
        <w:t xml:space="preserve">), </w:t>
      </w:r>
      <w:r>
        <w:rPr>
          <w:rFonts w:ascii="Courier New" w:hAnsi="Courier New"/>
          <w:sz w:val="19"/>
        </w:rPr>
        <w:t>GABA-T</w:t>
      </w:r>
      <w:r>
        <w:t xml:space="preserve"> (</w:t>
      </w:r>
      <w:r>
        <w:rPr>
          <w:rFonts w:ascii="Courier New" w:hAnsi="Courier New"/>
          <w:sz w:val="19"/>
        </w:rPr>
        <w:t>AT3G22200</w:t>
      </w:r>
      <w:r>
        <w:t xml:space="preserve">), and chloroplast oxylipin lipoxygenase </w:t>
      </w:r>
      <w:r>
        <w:rPr>
          <w:rFonts w:ascii="Courier New" w:hAnsi="Courier New"/>
          <w:sz w:val="19"/>
        </w:rPr>
        <w:t>LOX2</w:t>
      </w:r>
      <w:r>
        <w:t xml:space="preserve"> (</w:t>
      </w:r>
      <w:r>
        <w:rPr>
          <w:rFonts w:ascii="Courier New" w:hAnsi="Courier New"/>
          <w:sz w:val="19"/>
        </w:rPr>
        <w:t>AT3G45140</w:t>
      </w:r>
      <w:r>
        <w:t>). Fourth, projecting these hubs onto 99 cell-type TRAP-seq arrays (</w:t>
      </w:r>
      <w:r>
        <w:rPr>
          <w:rFonts w:ascii="Courier New" w:hAnsi="Courier New"/>
          <w:sz w:val="19"/>
        </w:rPr>
        <w:t>GSE14493</w:t>
      </w:r>
      <w:r>
        <w:t xml:space="preserve">, </w:t>
      </w:r>
      <w:r>
        <w:rPr>
          <w:rFonts w:ascii="Courier New" w:hAnsi="Courier New"/>
          <w:sz w:val="19"/>
        </w:rPr>
        <w:t>GSE14502</w:t>
      </w:r>
      <w:r>
        <w:t>) and 40,860 root-tip nuclei (</w:t>
      </w:r>
      <w:r>
        <w:rPr>
          <w:rFonts w:ascii="Courier New" w:hAnsi="Courier New"/>
          <w:sz w:val="19"/>
        </w:rPr>
        <w:t>GSE308672</w:t>
      </w:r>
      <w:r>
        <w:t xml:space="preserve">) reveals strict spatial partitioning: pure normobaric hypoxia (4\%\ O}_2) strongly induces </w:t>
      </w:r>
      <w:r>
        <w:rPr>
          <w:rFonts w:ascii="Courier New" w:hAnsi="Courier New"/>
          <w:sz w:val="19"/>
        </w:rPr>
        <w:t>ERF_VII_Core_Hypoxia_Anaerobic</w:t>
      </w:r>
      <w:r>
        <w:t xml:space="preserve"> across all nine root-tip lineages (+2.65 to }+3.17\ log2CPM}) but leaves </w:t>
      </w:r>
      <w:r>
        <w:rPr>
          <w:rFonts w:ascii="Courier New" w:hAnsi="Courier New"/>
          <w:sz w:val="19"/>
        </w:rPr>
        <w:t>ABA_Desiccation_Stomatal_Closure</w:t>
      </w:r>
      <w:r>
        <w:t xml:space="preserve"> (-0.22 to }+0.06\ log2CPM}) and </w:t>
      </w:r>
      <w:r>
        <w:rPr>
          <w:rFonts w:ascii="Courier New" w:hAnsi="Courier New"/>
          <w:sz w:val="19"/>
        </w:rPr>
        <w:t>Cuticle_Epicuticular_Wax_Lipid_Transport</w:t>
      </w:r>
      <w:r>
        <w:t xml:space="preserve"> (-0.35 to }-0.03\ log2CPM}) uninduced in root-tip tissue, whereas cuticular and cell-wall barosensory hubs localize specifically to </w:t>
      </w:r>
      <w:r>
        <w:rPr>
          <w:rFonts w:ascii="Courier New" w:hAnsi="Courier New"/>
          <w:sz w:val="19"/>
        </w:rPr>
        <w:t>pCER5</w:t>
      </w:r>
      <w:r>
        <w:t xml:space="preserve"> shoot epidermis (+2.21 and }+1.21\ log2).</w:t>
      </w:r>
    </w:p>
    <w:p>
      <w:r>
        <w:t>Fifth, physiological and LC-MS metabolomic triangulation at 62 kPa} vs. 101 kPa} (</w:t>
      </w:r>
      <w:r>
        <w:rPr>
          <w:rFonts w:ascii="Courier New" w:hAnsi="Courier New"/>
          <w:sz w:val="19"/>
        </w:rPr>
        <w:t>ZENODO16536514</w:t>
      </w:r>
      <w:r>
        <w:t>) demonstrates that the 1.63× diffusivity increase elevates leaf-to-air vapor pressure ratio by +73.23\% (Hedges' g = +3.476, p = 6.84 × 10^{-16}), driving a -76.25\% collapse in stomatal conductance (g_{sw} from 36.64 to 8.70\ mmol m}^{-2} s}^{-1}, g = -1.852, p = 8.27 × 10^{-9}), a -55.93\% reduction in net CO}_2 assimilation (p = 1.51 × 10^{-4}) despite intact PSII electron transport (</w:t>
      </w:r>
      <w:r>
        <w:rPr>
          <w:rFonts w:ascii="Courier New" w:hAnsi="Courier New"/>
          <w:sz w:val="19"/>
        </w:rPr>
        <w:t>ETR(II)</w:t>
      </w:r>
      <w:r>
        <w:t>), a -11.61\% drop in relative water content (p = 0.0113), and a +1.02‰} enrichment in foliar δ13C} (p = 0.0117). Elevating relative humidity to 70\%\ RH} at 62 kPa} restores chloroplast oxylipin galactolipids (</w:t>
      </w:r>
      <w:r>
        <w:rPr>
          <w:rFonts w:ascii="Courier New" w:hAnsi="Courier New"/>
          <w:sz w:val="19"/>
        </w:rPr>
        <w:t>MGDG-OPDA</w:t>
      </w:r>
      <w:r>
        <w:t>, +1.26 to }+2.60\ log2FC}) and long-chain thioalkyl glucosinolates (</w:t>
      </w:r>
      <w:r>
        <w:rPr>
          <w:rFonts w:ascii="Courier New" w:hAnsi="Courier New"/>
          <w:sz w:val="19"/>
        </w:rPr>
        <w:t>8-methylthiooctyl glucosinolate</w:t>
      </w:r>
      <w:r>
        <w:t xml:space="preserve">, +0.68\ log2FC}), reducing the TabPFN v2 posterior probability of the unmitigated hypobaric metabolic state from 0.9822 ± 0.0055 to 0.7908 ± 0.0304. Sixth, mapping the multi-omics compendium onto the </w:t>
      </w:r>
      <w:r>
        <w:rPr>
          <w:b/>
        </w:rPr>
        <w:t>Plant PhysioSpace Stress Autodecoder</w:t>
      </w:r>
      <w:r>
        <w:t xml:space="preserve"> across the spaceflight mission profile (visualized via a continuous Blue-to-White-to-Red diverging scale) demonstrates that nominal 56.54 kPa} / 34\%\ O}_2 habitation is perceived not as hypoxia (z = -0.16), but as an isolated shoot-localized boundary-layer transpiration challenge (z = +1.86, cell-wall strain z = +1.94, aquaporin flux z = +1.72, stomatal resistance z = +1.82). Finally, Leave-One-Condition-Out validation (</w:t>
      </w:r>
      <w:r>
        <w:rPr>
          <w:rFonts w:ascii="Courier New" w:hAnsi="Courier New"/>
          <w:sz w:val="19"/>
        </w:rPr>
        <w:t>mean Pearson r = 0.7387</w:t>
      </w:r>
      <w:r>
        <w:t xml:space="preserve">, </w:t>
      </w:r>
      <w:r>
        <w:rPr>
          <w:rFonts w:ascii="Courier New" w:hAnsi="Courier New"/>
          <w:sz w:val="19"/>
        </w:rPr>
        <w:t>RMSE = 0.1502</w:t>
      </w:r>
      <w:r>
        <w:t xml:space="preserve">) and counterfactual synthesis with split-conformal uncertainty intervals (± 0.3007 90% CI, ± 0.3289 95% CI) indicate that while 34\%\ O}_2 enrichment mitigates &gt;88\% of root ERF-VII anaerobic activation, physical barosensory remodeling persists—establishing that </w:t>
      </w:r>
      <w:r>
        <w:rPr>
          <w:b/>
        </w:rPr>
        <w:t>humidity/VPD compensation (75--}80\%\ RH})</w:t>
      </w:r>
      <w:r>
        <w:t xml:space="preserve"> provides an immediate, non-genetic engineering countermeasure that substantially attenuates osmotic stress (Δ z = -1.90), relaxes stomatal closure (Δ z = -1.76), and normalizes crop physiology in lunar and Martian habitats.</w:t>
      </w:r>
    </w:p>
    <w:p>
      <w:pPr>
        <w:pStyle w:val="Heading1"/>
      </w:pPr>
      <w:r>
        <w:t>1. Introduction</w:t>
      </w:r>
    </w:p>
    <w:p>
      <w:r>
        <w:t xml:space="preserve">Long-duration crewed space exploration requires transitioning from the International Space Station (ISS) sea-level-equivalent cabin atmosphere (97--}101.3 kPa}, 21\%\ O}_2, oxygen partial pressure pO}_2 ≈ 20.37--}21.27 kPa}) to reduced-pressure, oxygen-enriched habitats designed to minimize structural mass, hull leakage, and pre-extravehicular activity (EVA) nitrogen denitrogenation time (Norcross et al., 2013; Paul &amp; Ferl, 2006; Zhou et al., 2017). Specifically, NASA's </w:t>
      </w:r>
      <w:r>
        <w:rPr>
          <w:b/>
        </w:rPr>
        <w:t>Exploration Atmosphere</w:t>
      </w:r>
      <w:r>
        <w:t xml:space="preserve"> engineering trade study established a primary lunar/Martian surface habitat setpoint of </w:t>
      </w:r>
      <w:r>
        <w:rPr>
          <w:b/>
        </w:rPr>
        <w:t>56.54 kPa} (8.2 psia}) total pressure at 34\%\ O}_2</w:t>
      </w:r>
      <w:r>
        <w:t xml:space="preserve"> (pO}_2 = 19.22 kPa}) and a staged pre-EVA decompression setpoint of </w:t>
      </w:r>
      <w:r>
        <w:rPr>
          <w:b/>
        </w:rPr>
        <w:t>70.33 kPa} (10.2 psia}) at 26.5\%\ O}_2</w:t>
      </w:r>
      <w:r>
        <w:t xml:space="preserve"> (pO}_2 = 18.64 kPa}) (Norcross et al., 2013). For mammalian crew physiology, raising fractional oxygen concentration (F_{I}}O}_2 = 0.34) restores alveolar pO}_2 to near-normoxic levels. For higher plants grown in bioregenerative life-support systems, however, the biophysics of low barometric pressure introduces a thermodynamic boundary-layer acceleration that oxygen enrichment alone cannot cancel.</w:t>
      </w:r>
    </w:p>
    <w:p>
      <w:r>
        <w:t>By the Chapman–Enskog kinetic theory of gases, the binary diffusion coefficient D_{ij} of trace gases and water vapor (H}_2O}, CO}_2, O}_2, and volatile phytohormones such as ethylene) in air scales inversely with total barometric pressure:</w:t>
      </w:r>
    </w:p>
    <w:p>
      <w:pPr>
        <w:jc w:val="center"/>
      </w:pPr>
      <w:r>
        <w:t>D_{ij}(P_{total}}, T) = D_{ij}(P_0, T) \cdot ≤ft(\frac{P_0}{P_{total}}}\right)</w:t>
      </w:r>
    </w:p>
    <w:p>
      <w:r>
        <w:t xml:space="preserve">Consequently, reducing total cabin pressure from 97 kPa} (ISS) to 56.54 kPa} (Exploration Atmosphere) increases gas-phase molecular diffusivity by </w:t>
      </w:r>
      <w:r>
        <w:rPr>
          <w:b/>
        </w:rPr>
        <w:t>D/D_0 = 1.72×</w:t>
      </w:r>
      <w:r>
        <w:t xml:space="preserve"> (and by 1.94× at 50 kPa} and 3.88× at 25 kPa}), thinning the effective diffusive resistance of the leaf boundary layer and accelerating cuticular and stomatal water-vapor efflux at any fixed relative humidity (Corey et al., 2002; Richards et al., 2006; Paul et al., 2004, 2017; Lucia et al., 2025). When plants are exposed to uncompensated hypobaric air (21\%\ O}_2 at 25--}75 kPa}), they experience a compound stress combining </w:t>
      </w:r>
      <w:r>
        <w:rPr>
          <w:b/>
        </w:rPr>
        <w:t>cellular hypoxia</w:t>
      </w:r>
      <w:r>
        <w:t xml:space="preserve"> (pO}_2 = 5.25--}15.75 kPa}, which stabilizes group VII ETHYLENE RESPONSE FACTOR [ERF-VII] transcription factors via N-degron PLANT CYSTEINE OXIDASE [PCO] inhibition; Gibbs et al., 2011; Licausi et al., 2011; Mustroph et al., 2009) with </w:t>
      </w:r>
      <w:r>
        <w:rPr>
          <w:b/>
        </w:rPr>
        <w:t>physical barosensory stress</w:t>
      </w:r>
      <w:r>
        <w:t xml:space="preserve"> (D ∝ P_{total}}^{-1}, boundary-layer evaporative acceleration, and cell-wall mechanical strain; Zhou et al., 2017; Paul et al., 2017). Pioneering transcriptomic studies by Paul, Ferl, and colleagues (</w:t>
      </w:r>
      <w:r>
        <w:rPr>
          <w:rFonts w:ascii="Courier New" w:hAnsi="Courier New"/>
          <w:sz w:val="19"/>
        </w:rPr>
        <w:t>GSE87867</w:t>
      </w:r>
      <w:r>
        <w:t xml:space="preserve">, </w:t>
      </w:r>
      <w:r>
        <w:rPr>
          <w:rFonts w:ascii="Courier New" w:hAnsi="Courier New"/>
          <w:sz w:val="19"/>
        </w:rPr>
        <w:t>GSE87868</w:t>
      </w:r>
      <w:r>
        <w:t>/</w:t>
      </w:r>
      <w:r>
        <w:rPr>
          <w:rFonts w:ascii="Courier New" w:hAnsi="Courier New"/>
          <w:sz w:val="19"/>
        </w:rPr>
        <w:t>OSD-136</w:t>
      </w:r>
      <w:r>
        <w:t xml:space="preserve">, </w:t>
      </w:r>
      <w:r>
        <w:rPr>
          <w:rFonts w:ascii="Courier New" w:hAnsi="Courier New"/>
          <w:sz w:val="19"/>
        </w:rPr>
        <w:t>GSE87903</w:t>
      </w:r>
      <w:r>
        <w:t xml:space="preserve">, </w:t>
      </w:r>
      <w:r>
        <w:rPr>
          <w:rFonts w:ascii="Courier New" w:hAnsi="Courier New"/>
          <w:sz w:val="19"/>
        </w:rPr>
        <w:t>GSE87904</w:t>
      </w:r>
      <w:r>
        <w:t xml:space="preserve">; Zhou et al., 2017) profiled </w:t>
      </w:r>
      <w:r>
        <w:rPr>
          <w:i/>
        </w:rPr>
        <w:t>Arabidopsis thaliana</w:t>
      </w:r>
      <w:r>
        <w:t xml:space="preserve"> roots and shoots across multiple total pressures (97, 75, 50, 25, 10, 5 kPa}) and O}_2-supplemented normoxic controls (50 kPa} / 42\%\ O}_2 and 25 kPa} / 84\%\ O}_2, pO}_2 = 21.0 kPa}). Yet four critical barriers have prevented a unified systems-level synthesis:</w:t>
      </w:r>
    </w:p>
    <w:p>
      <w:pPr>
        <w:pStyle w:val="ListNumber"/>
      </w:pPr>
      <w:r>
        <w:rPr>
          <w:b/>
        </w:rPr>
        <w:t>Sample Cross-Listing and Metadata Ambiguity in Public Repositories:</w:t>
      </w:r>
      <w:r>
        <w:t xml:space="preserve"> Across the four core GEO series (</w:t>
      </w:r>
      <w:r>
        <w:rPr>
          <w:rFonts w:ascii="Courier New" w:hAnsi="Courier New"/>
          <w:sz w:val="19"/>
        </w:rPr>
        <w:t>GSE87867</w:t>
      </w:r>
      <w:r>
        <w:t xml:space="preserve">, </w:t>
      </w:r>
      <w:r>
        <w:rPr>
          <w:rFonts w:ascii="Courier New" w:hAnsi="Courier New"/>
          <w:sz w:val="19"/>
        </w:rPr>
        <w:t>GSE87868</w:t>
      </w:r>
      <w:r>
        <w:t xml:space="preserve">, </w:t>
      </w:r>
      <w:r>
        <w:rPr>
          <w:rFonts w:ascii="Courier New" w:hAnsi="Courier New"/>
          <w:sz w:val="19"/>
        </w:rPr>
        <w:t>GSE87903</w:t>
      </w:r>
      <w:r>
        <w:t xml:space="preserve">, </w:t>
      </w:r>
      <w:r>
        <w:rPr>
          <w:rFonts w:ascii="Courier New" w:hAnsi="Courier New"/>
          <w:sz w:val="19"/>
        </w:rPr>
        <w:t>GSE87904</w:t>
      </w:r>
      <w:r>
        <w:t>), cross-listed GSM accessions, conflicting organ tags between sample titles (</w:t>
      </w:r>
      <w:r>
        <w:rPr>
          <w:rFonts w:ascii="Courier New" w:hAnsi="Courier New"/>
          <w:sz w:val="19"/>
        </w:rPr>
        <w:t>Shoot</w:t>
      </w:r>
      <w:r>
        <w:t xml:space="preserve">) and </w:t>
      </w:r>
      <w:r>
        <w:rPr>
          <w:rFonts w:ascii="Courier New" w:hAnsi="Courier New"/>
          <w:sz w:val="19"/>
        </w:rPr>
        <w:t>characteristics_ch1</w:t>
      </w:r>
      <w:r>
        <w:t xml:space="preserve"> (</w:t>
      </w:r>
      <w:r>
        <w:rPr>
          <w:rFonts w:ascii="Courier New" w:hAnsi="Courier New"/>
          <w:sz w:val="19"/>
        </w:rPr>
        <w:t>Root</w:t>
      </w:r>
      <w:r>
        <w:t xml:space="preserve">) in </w:t>
      </w:r>
      <w:r>
        <w:rPr>
          <w:rFonts w:ascii="Courier New" w:hAnsi="Courier New"/>
          <w:sz w:val="19"/>
        </w:rPr>
        <w:t>GSE87903</w:t>
      </w:r>
      <w:r>
        <w:t xml:space="preserve"> (</w:t>
      </w:r>
      <w:r>
        <w:rPr>
          <w:rFonts w:ascii="Courier New" w:hAnsi="Courier New"/>
          <w:sz w:val="19"/>
        </w:rPr>
        <w:t>GSM2342806</w:t>
      </w:r>
      <w:r>
        <w:t>–</w:t>
      </w:r>
      <w:r>
        <w:rPr>
          <w:rFonts w:ascii="Courier New" w:hAnsi="Courier New"/>
          <w:sz w:val="19"/>
        </w:rPr>
        <w:t>GSM2342809</w:t>
      </w:r>
      <w:r>
        <w:t>), conflicting pressure tags (</w:t>
      </w:r>
      <w:r>
        <w:rPr>
          <w:rFonts w:ascii="Courier New" w:hAnsi="Courier New"/>
          <w:sz w:val="19"/>
        </w:rPr>
        <w:t>GSM2342804</w:t>
      </w:r>
      <w:r>
        <w:t>–</w:t>
      </w:r>
      <w:r>
        <w:rPr>
          <w:rFonts w:ascii="Courier New" w:hAnsi="Courier New"/>
          <w:sz w:val="19"/>
        </w:rPr>
        <w:t>GSM2342805</w:t>
      </w:r>
      <w:r>
        <w:t>), and unexplained n=4 replicate groups have confounded automated meta-analyses.</w:t>
      </w:r>
    </w:p>
    <w:p>
      <w:pPr>
        <w:pStyle w:val="ListNumber"/>
      </w:pPr>
      <w:r>
        <w:rPr>
          <w:b/>
        </w:rPr>
        <w:t>The Small-n, High-p Regime in Space Biology:</w:t>
      </w:r>
      <w:r>
        <w:t xml:space="preserve"> Individual spaceflight and hypobaric chamber experiments typically comprise n = 58--}130 arrays across p = 22,746 transcripts. Classical gradient-boosted decision trees (</w:t>
      </w:r>
      <w:r>
        <w:rPr>
          <w:rFonts w:ascii="Courier New" w:hAnsi="Courier New"/>
          <w:sz w:val="19"/>
        </w:rPr>
        <w:t>LightGBM</w:t>
      </w:r>
      <w:r>
        <w:t xml:space="preserve">, </w:t>
      </w:r>
      <w:r>
        <w:rPr>
          <w:rFonts w:ascii="Courier New" w:hAnsi="Courier New"/>
          <w:sz w:val="19"/>
        </w:rPr>
        <w:t>XGBoost</w:t>
      </w:r>
      <w:r>
        <w:t>) and deep neural networks overfit severely in this regime, while penalized linear models (</w:t>
      </w:r>
      <w:r>
        <w:rPr>
          <w:rFonts w:ascii="Courier New" w:hAnsi="Courier New"/>
          <w:sz w:val="19"/>
        </w:rPr>
        <w:t>ElasticNet</w:t>
      </w:r>
      <w:r>
        <w:t xml:space="preserve">, </w:t>
      </w:r>
      <w:r>
        <w:rPr>
          <w:rFonts w:ascii="Courier New" w:hAnsi="Courier New"/>
          <w:sz w:val="19"/>
        </w:rPr>
        <w:t>Ridge</w:t>
      </w:r>
      <w:r>
        <w:t>) fail to capture nonlinear interactions between P_{total}}, pO}_2, organ identity, and developmental age without explicit interaction modeling.</w:t>
      </w:r>
    </w:p>
    <w:p>
      <w:pPr>
        <w:pStyle w:val="ListNumber"/>
      </w:pPr>
      <w:r>
        <w:rPr>
          <w:b/>
        </w:rPr>
        <w:t>Lack of Cellular and Single-Nucleus Spatial Resolution:</w:t>
      </w:r>
      <w:r>
        <w:t xml:space="preserve"> Bulk organ microarrays obscure whether barosensory (P_{total}}) and hypoxia (pO}_2) gene modules operate within the same cells or are spatially segregated across specialized epidermal, mesophyll, cortical, endodermal, and vascular cell lineages.</w:t>
      </w:r>
    </w:p>
    <w:p>
      <w:pPr>
        <w:pStyle w:val="ListNumber"/>
      </w:pPr>
      <w:r>
        <w:rPr>
          <w:b/>
        </w:rPr>
        <w:t>Disconnect Between Transcriptomic Hubs and Whole-Plant Physiological/Metabolomic Phenotypes:</w:t>
      </w:r>
      <w:r>
        <w:t xml:space="preserve"> Whether the transcriptomic signatures of normoxic hypobaria translate into stomatal closure, photochemical impairment, or secondary metabolite depletion—and whether they can be rescued by habitat humidity engineering—has not been quantitatively modeled.</w:t>
      </w:r>
    </w:p>
    <w:p>
      <w:pPr>
        <w:pStyle w:val="ListNumber"/>
      </w:pPr>
      <w:r>
        <w:rPr>
          <w:b/>
        </w:rPr>
        <w:t>Absence of a Unified Physiological Stress Decoding Framework:</w:t>
      </w:r>
      <w:r>
        <w:t xml:space="preserve"> Because spaceflight architectures involve dynamic multi-stage pressure and gas transitions (from Earth launch to habitat transit, pre-EVA staging, and emergency decompression), a standardized multi-dimensional stress projection tool is needed to decode how plants experience each phase of the astronautical mission profile.</w:t>
      </w:r>
    </w:p>
    <w:p>
      <w:r>
        <w:t xml:space="preserve">To overcome these barriers, we leverage </w:t>
      </w:r>
      <w:r>
        <w:rPr>
          <w:b/>
        </w:rPr>
        <w:t>TabPFN v2</w:t>
      </w:r>
      <w:r>
        <w:t xml:space="preserve"> (Hollmann et al., </w:t>
      </w:r>
      <w:r>
        <w:rPr>
          <w:i/>
        </w:rPr>
        <w:t>Nature</w:t>
      </w:r>
      <w:r>
        <w:t xml:space="preserve"> 637, 319–326, 2025), a transformer-based tabular foundation model pre-trained on synthetic structural causal models to perform Bayesian in-context learning on small-to-medium tabular datasets (n ≤ 10,000, p ≤ 500), integrated with the </w:t>
      </w:r>
      <w:r>
        <w:rPr>
          <w:b/>
        </w:rPr>
        <w:t>Plant PhysioSpace</w:t>
      </w:r>
      <w:r>
        <w:t xml:space="preserve"> stress decoding architecture (Esfahani et al., </w:t>
      </w:r>
      <w:r>
        <w:rPr>
          <w:i/>
        </w:rPr>
        <w:t>Plant Physiol.</w:t>
      </w:r>
      <w:r>
        <w:t xml:space="preserve"> 2021). By pairing leak-free biological feature compression with TabPFN v2 and its post-hoc ensembling framework (</w:t>
      </w:r>
      <w:r>
        <w:rPr>
          <w:b/>
        </w:rPr>
        <w:t>TabPFN v2 [PHE]</w:t>
      </w:r>
      <w:r>
        <w:t xml:space="preserve">), we execute an end-to-end systems investigation across 12 multi-omics datasets (Figures 1–7). We forensically audit and harmonize the 130 unique hypobaric microarrays (WP1), decouple P_{total}} from pO}_2 and identify orthogonal barosensory vs. hypoxia molecular hub networks via exact Shapley attribution (WP2), map these hubs across 19 cell-specific TRAP-seq populations and 40,860 root-tip single nuclei (WP3), bridge transcriptomic hubs to measured stomatal gas exchange, δ13C}, LC-MS lipid/glucosinolate metabolomics, and </w:t>
      </w:r>
      <w:r>
        <w:rPr>
          <w:rFonts w:ascii="Courier New" w:hAnsi="Courier New"/>
          <w:sz w:val="19"/>
        </w:rPr>
        <w:t>SnRK1.1K48M</w:t>
      </w:r>
      <w:r>
        <w:t xml:space="preserve"> proteomics (WP4), generate Leave-One-Condition-Out validated counterfactual predictions for NASA's 56.54 kPa} / 34\%\ O}_2 Exploration Atmosphere (WP5), and decode plant stress perception across the spaceflight mission profile using the Plant PhysioSpace Stress Autodecoder (WP6).</w:t>
      </w:r>
    </w:p>
    <w:p>
      <w:pPr>
        <w:pStyle w:val="Heading1"/>
      </w:pPr>
      <w:r>
        <w:t>2. Results</w:t>
      </w:r>
    </w:p>
    <w:p>
      <w:pPr>
        <w:pStyle w:val="Heading2"/>
      </w:pPr>
      <w:r>
        <w:t>2.1 Workpackage 1: Forensic Metadata Audit, Deduplication, and TabPFN v2 Probabilistic Organ Resolution</w:t>
      </w:r>
    </w:p>
    <w:p>
      <w:r>
        <w:t>A systematic audit of all four core hypobaric Affymetrix ATH1 microarray series (</w:t>
      </w:r>
      <w:r>
        <w:rPr>
          <w:rFonts w:ascii="Courier New" w:hAnsi="Courier New"/>
          <w:sz w:val="19"/>
        </w:rPr>
        <w:t>GSE87867</w:t>
      </w:r>
      <w:r>
        <w:t xml:space="preserve"> [20 GSMs}], </w:t>
      </w:r>
      <w:r>
        <w:rPr>
          <w:rFonts w:ascii="Courier New" w:hAnsi="Courier New"/>
          <w:sz w:val="19"/>
        </w:rPr>
        <w:t>GSE87868</w:t>
      </w:r>
      <w:r>
        <w:t>/</w:t>
      </w:r>
      <w:r>
        <w:rPr>
          <w:rFonts w:ascii="Courier New" w:hAnsi="Courier New"/>
          <w:sz w:val="19"/>
        </w:rPr>
        <w:t>OSD-136</w:t>
      </w:r>
      <w:r>
        <w:t xml:space="preserve"> [9 GSMs}], </w:t>
      </w:r>
      <w:r>
        <w:rPr>
          <w:rFonts w:ascii="Courier New" w:hAnsi="Courier New"/>
          <w:sz w:val="19"/>
        </w:rPr>
        <w:t>GSE87903</w:t>
      </w:r>
      <w:r>
        <w:t xml:space="preserve"> [47 GSMs}], and </w:t>
      </w:r>
      <w:r>
        <w:rPr>
          <w:rFonts w:ascii="Courier New" w:hAnsi="Courier New"/>
          <w:sz w:val="19"/>
        </w:rPr>
        <w:t>GSE87904</w:t>
      </w:r>
      <w:r>
        <w:t xml:space="preserve"> [72 GSMs}]; 148 total GEO series-level records across 22,746 biological probesets) revealed that </w:t>
      </w:r>
      <w:r>
        <w:rPr>
          <w:b/>
        </w:rPr>
        <w:t>18 GSM accessions (`GSM2342073`–`GSM2342090`)</w:t>
      </w:r>
      <w:r>
        <w:t xml:space="preserve"> are dual-listed in both </w:t>
      </w:r>
      <w:r>
        <w:rPr>
          <w:rFonts w:ascii="Courier New" w:hAnsi="Courier New"/>
          <w:sz w:val="19"/>
        </w:rPr>
        <w:t>GSE87867</w:t>
      </w:r>
      <w:r>
        <w:t xml:space="preserve"> and </w:t>
      </w:r>
      <w:r>
        <w:rPr>
          <w:rFonts w:ascii="Courier New" w:hAnsi="Courier New"/>
          <w:sz w:val="19"/>
        </w:rPr>
        <w:t>GSE87903</w:t>
      </w:r>
      <w:r>
        <w:t>. Pairwise comparison of RMA-normalized log2 expression vectors across all 22,746 biological probesets confirmed exact numerical identity (r = 1.000000, \max|Δ| = 0.0) for all 18 shared GSMs (</w:t>
      </w:r>
      <w:r>
        <w:rPr>
          <w:rFonts w:ascii="Courier New" w:hAnsi="Courier New"/>
          <w:sz w:val="19"/>
        </w:rPr>
        <w:t>Table_S1_Full_148_GSM_Audit_Ledger.csv</w:t>
      </w:r>
      <w:r>
        <w:t xml:space="preserve">). Deduplicating these 18 records established </w:t>
      </w:r>
      <w:r>
        <w:rPr>
          <w:b/>
        </w:rPr>
        <w:t>130 unique hypobaric microarrays</w:t>
      </w:r>
      <w:r>
        <w:t xml:space="preserve"> spanning 12 distinct atmospheric pressure, oxygen, and time-course regimes (</w:t>
      </w:r>
      <w:r>
        <w:rPr>
          <w:rFonts w:ascii="Courier New" w:hAnsi="Courier New"/>
          <w:sz w:val="19"/>
        </w:rPr>
        <w:t>Table_S1_Harmonized_130_Hypobaric_Arrays_Forensic_Audit.csv</w:t>
      </w:r>
      <w:r>
        <w:t>, Figure 1A).</w:t>
      </w:r>
    </w:p>
    <w:p>
      <w:pPr>
        <w:jc w:val="center"/>
      </w:pPr>
      <w:r>
        <w:drawing>
          <wp:inline xmlns:a="http://schemas.openxmlformats.org/drawingml/2006/main" xmlns:pic="http://schemas.openxmlformats.org/drawingml/2006/picture">
            <wp:extent cx="5760720" cy="4390749"/>
            <wp:docPr id="1" name="Picture 1"/>
            <wp:cNvGraphicFramePr>
              <a:graphicFrameLocks noChangeAspect="1"/>
            </wp:cNvGraphicFramePr>
            <a:graphic>
              <a:graphicData uri="http://schemas.openxmlformats.org/drawingml/2006/picture">
                <pic:pic>
                  <pic:nvPicPr>
                    <pic:cNvPr id="0" name="fig1_data_forensics_harmonization.png"/>
                    <pic:cNvPicPr/>
                  </pic:nvPicPr>
                  <pic:blipFill>
                    <a:blip r:embed="rId9"/>
                    <a:stretch>
                      <a:fillRect/>
                    </a:stretch>
                  </pic:blipFill>
                  <pic:spPr>
                    <a:xfrm>
                      <a:off x="0" y="0"/>
                      <a:ext cx="5760720" cy="4390749"/>
                    </a:xfrm>
                    <a:prstGeom prst="rect"/>
                  </pic:spPr>
                </pic:pic>
              </a:graphicData>
            </a:graphic>
          </wp:inline>
        </w:drawing>
      </w:r>
    </w:p>
    <w:p>
      <w:r>
        <w:rPr>
          <w:b/>
        </w:rPr>
        <w:t>Figure 1 | Multi-omics compendium architecture, forensic audit ledger, and TabPFN v2 resolution of disputed hypobaric metadata (`GSE87903`).</w:t>
      </w:r>
      <w:r>
        <w:t xml:space="preserve"> </w:t>
      </w:r>
      <w:r>
        <w:rPr>
          <w:b/>
        </w:rPr>
        <w:t>(A)</w:t>
      </w:r>
      <w:r>
        <w:t xml:space="preserve"> Multi-omics compendium flow diagram (top left: 148 total GSM records \to 18 exact duplicates removed \to 130 unique hypobaric arrays) and physical phase space (top right: total barometric pressure P_{total}} vs. oxygen partial pressure pO}_2) integrating datasets across Workpackages 1–5 (</w:t>
      </w:r>
      <w:r>
        <w:rPr>
          <w:rFonts w:ascii="Courier New" w:hAnsi="Courier New"/>
          <w:sz w:val="19"/>
        </w:rPr>
        <w:t>GSE87867</w:t>
      </w:r>
      <w:r>
        <w:t xml:space="preserve">, </w:t>
      </w:r>
      <w:r>
        <w:rPr>
          <w:rFonts w:ascii="Courier New" w:hAnsi="Courier New"/>
          <w:sz w:val="19"/>
        </w:rPr>
        <w:t>GSE87868</w:t>
      </w:r>
      <w:r>
        <w:t>/</w:t>
      </w:r>
      <w:r>
        <w:rPr>
          <w:rFonts w:ascii="Courier New" w:hAnsi="Courier New"/>
          <w:sz w:val="19"/>
        </w:rPr>
        <w:t>OSD-136</w:t>
      </w:r>
      <w:r>
        <w:t xml:space="preserve">, </w:t>
      </w:r>
      <w:r>
        <w:rPr>
          <w:rFonts w:ascii="Courier New" w:hAnsi="Courier New"/>
          <w:sz w:val="19"/>
        </w:rPr>
        <w:t>GSE87903</w:t>
      </w:r>
      <w:r>
        <w:t xml:space="preserve">, </w:t>
      </w:r>
      <w:r>
        <w:rPr>
          <w:rFonts w:ascii="Courier New" w:hAnsi="Courier New"/>
          <w:sz w:val="19"/>
        </w:rPr>
        <w:t>GSE87904</w:t>
      </w:r>
      <w:r>
        <w:t xml:space="preserve"> [n=130 unique hypobaric arrays]; </w:t>
      </w:r>
      <w:r>
        <w:rPr>
          <w:rFonts w:ascii="Courier New" w:hAnsi="Courier New"/>
          <w:sz w:val="19"/>
        </w:rPr>
        <w:t>GSE14493</w:t>
      </w:r>
      <w:r>
        <w:t xml:space="preserve">, </w:t>
      </w:r>
      <w:r>
        <w:rPr>
          <w:rFonts w:ascii="Courier New" w:hAnsi="Courier New"/>
          <w:sz w:val="19"/>
        </w:rPr>
        <w:t>GSE14502</w:t>
      </w:r>
      <w:r>
        <w:t xml:space="preserve"> [n=99 cell-type TRAP-seq arrays]; </w:t>
      </w:r>
      <w:r>
        <w:rPr>
          <w:rFonts w:ascii="Courier New" w:hAnsi="Courier New"/>
          <w:sz w:val="19"/>
        </w:rPr>
        <w:t>GSE38804</w:t>
      </w:r>
      <w:r>
        <w:t xml:space="preserve">, </w:t>
      </w:r>
      <w:r>
        <w:rPr>
          <w:rFonts w:ascii="Courier New" w:hAnsi="Courier New"/>
          <w:sz w:val="19"/>
        </w:rPr>
        <w:t>GSE4473</w:t>
      </w:r>
      <w:r>
        <w:t xml:space="preserve"> [n=52 reference arrays]; </w:t>
      </w:r>
      <w:r>
        <w:rPr>
          <w:rFonts w:ascii="Courier New" w:hAnsi="Courier New"/>
          <w:sz w:val="19"/>
        </w:rPr>
        <w:t>GSE308672</w:t>
      </w:r>
      <w:r>
        <w:t xml:space="preserve"> [40,860 root-tip single nuclei]; </w:t>
      </w:r>
      <w:r>
        <w:rPr>
          <w:rFonts w:ascii="Courier New" w:hAnsi="Courier New"/>
          <w:sz w:val="19"/>
        </w:rPr>
        <w:t>ZENODO16536514</w:t>
      </w:r>
      <w:r>
        <w:t xml:space="preserve"> [n=326 physiology/metabolomics records]; and </w:t>
      </w:r>
      <w:r>
        <w:rPr>
          <w:rFonts w:ascii="Courier New" w:hAnsi="Courier New"/>
          <w:sz w:val="19"/>
        </w:rPr>
        <w:t>PXD002353</w:t>
      </w:r>
      <w:r>
        <w:t xml:space="preserve"> [5,454 iTRAQ submergence proteins]). </w:t>
      </w:r>
      <w:r>
        <w:rPr>
          <w:b/>
        </w:rPr>
        <w:t>(B)</w:t>
      </w:r>
      <w:r>
        <w:t xml:space="preserve"> Forensic marker scatter plot for the four disputed 75 kPa} samples (</w:t>
      </w:r>
      <w:r>
        <w:rPr>
          <w:rFonts w:ascii="Courier New" w:hAnsi="Courier New"/>
          <w:sz w:val="19"/>
        </w:rPr>
        <w:t>GSM2342806</w:t>
      </w:r>
      <w:r>
        <w:t>–</w:t>
      </w:r>
      <w:r>
        <w:rPr>
          <w:rFonts w:ascii="Courier New" w:hAnsi="Courier New"/>
          <w:sz w:val="19"/>
        </w:rPr>
        <w:t>GSM2342809</w:t>
      </w:r>
      <w:r>
        <w:t>), plotting mean shoot photosynthetic marker expression (</w:t>
      </w:r>
      <w:r>
        <w:rPr>
          <w:rFonts w:ascii="Courier New" w:hAnsi="Courier New"/>
          <w:sz w:val="19"/>
        </w:rPr>
        <w:t>RBCS1A</w:t>
      </w:r>
      <w:r>
        <w:t xml:space="preserve"> / </w:t>
      </w:r>
      <w:r>
        <w:rPr>
          <w:rFonts w:ascii="Courier New" w:hAnsi="Courier New"/>
          <w:sz w:val="19"/>
        </w:rPr>
        <w:t>LHCB1.2</w:t>
      </w:r>
      <w:r>
        <w:t>) against root endodermal marker expression (</w:t>
      </w:r>
      <w:r>
        <w:rPr>
          <w:rFonts w:ascii="Courier New" w:hAnsi="Courier New"/>
          <w:sz w:val="19"/>
        </w:rPr>
        <w:t>AtMYB36</w:t>
      </w:r>
      <w:r>
        <w:t xml:space="preserve"> / </w:t>
      </w:r>
      <w:r>
        <w:rPr>
          <w:rFonts w:ascii="Courier New" w:hAnsi="Courier New"/>
          <w:sz w:val="19"/>
        </w:rPr>
        <w:t>CASP1</w:t>
      </w:r>
      <w:r>
        <w:t xml:space="preserve"> / </w:t>
      </w:r>
      <w:r>
        <w:rPr>
          <w:rFonts w:ascii="Courier New" w:hAnsi="Courier New"/>
          <w:sz w:val="19"/>
        </w:rPr>
        <w:t>SCR</w:t>
      </w:r>
      <w:r>
        <w:t xml:space="preserve">), confirming that all four disputed arrays cluster tightly with bona fide shoots. </w:t>
      </w:r>
      <w:r>
        <w:rPr>
          <w:b/>
        </w:rPr>
        <w:t>(C)</w:t>
      </w:r>
      <w:r>
        <w:t xml:space="preserve"> Out-of-fold 5-fold condition-grouped cross-validation (</w:t>
      </w:r>
      <w:r>
        <w:rPr>
          <w:rFonts w:ascii="Courier New" w:hAnsi="Courier New"/>
          <w:sz w:val="19"/>
        </w:rPr>
        <w:t>GroupKFold</w:t>
      </w:r>
      <w:r>
        <w:t xml:space="preserve">, n=126 unambiguous arrays) comparing </w:t>
      </w:r>
      <w:r>
        <w:rPr>
          <w:b/>
        </w:rPr>
        <w:t>TabPFN v2 (PHE)</w:t>
      </w:r>
      <w:r>
        <w:t xml:space="preserve"> and </w:t>
      </w:r>
      <w:r>
        <w:rPr>
          <w:b/>
        </w:rPr>
        <w:t>TabPFN v2</w:t>
      </w:r>
      <w:r>
        <w:t xml:space="preserve"> against classical ML baselines for binary organ classification (</w:t>
      </w:r>
      <w:r>
        <w:rPr>
          <w:rFonts w:ascii="Courier New" w:hAnsi="Courier New"/>
          <w:sz w:val="19"/>
        </w:rPr>
        <w:t>Shoot</w:t>
      </w:r>
      <w:r>
        <w:t xml:space="preserve"> vs. </w:t>
      </w:r>
      <w:r>
        <w:rPr>
          <w:rFonts w:ascii="Courier New" w:hAnsi="Courier New"/>
          <w:sz w:val="19"/>
        </w:rPr>
        <w:t>Root</w:t>
      </w:r>
      <w:r>
        <w:t xml:space="preserve">), matching metrics in Table 1. Error bars denote 1,000-iteration bootstrap 95% confidence intervals (CIs). </w:t>
      </w:r>
      <w:r>
        <w:rPr>
          <w:b/>
        </w:rPr>
        <w:t>(D)</w:t>
      </w:r>
      <w:r>
        <w:t xml:space="preserve"> Posterior shoot probability distribution on disputed arrays alongside technical re-hybridization correlation (r=0.9951--}0.9964) across scanner batches </w:t>
      </w:r>
      <w:r>
        <w:rPr>
          <w:rFonts w:ascii="Courier New" w:hAnsi="Courier New"/>
          <w:sz w:val="19"/>
        </w:rPr>
        <w:t>54xx</w:t>
      </w:r>
      <w:r>
        <w:t xml:space="preserve"> and </w:t>
      </w:r>
      <w:r>
        <w:rPr>
          <w:rFonts w:ascii="Courier New" w:hAnsi="Courier New"/>
          <w:sz w:val="19"/>
        </w:rPr>
        <w:t>68xx</w:t>
      </w:r>
      <w:r>
        <w:t>.</w:t>
      </w:r>
    </w:p>
    <w:p>
      <w:r>
        <w:t xml:space="preserve">Within </w:t>
      </w:r>
      <w:r>
        <w:rPr>
          <w:rFonts w:ascii="Courier New" w:hAnsi="Courier New"/>
          <w:sz w:val="19"/>
        </w:rPr>
        <w:t>GSE87903</w:t>
      </w:r>
      <w:r>
        <w:t>, our audit tracked four specific disposition categories in the master ledger (</w:t>
      </w:r>
      <w:r>
        <w:rPr>
          <w:rFonts w:ascii="Courier New" w:hAnsi="Courier New"/>
          <w:sz w:val="19"/>
        </w:rPr>
        <w:t>Table_S1_Full_148_GSM_Audit_Ledger.csv</w:t>
      </w:r>
      <w:r>
        <w:t>):</w:t>
      </w:r>
    </w:p>
    <w:p>
      <w:pPr>
        <w:pStyle w:val="ListNumber"/>
      </w:pPr>
      <w:r>
        <w:rPr>
          <w:b/>
        </w:rPr>
        <w:t>The 75 kPa} Organ-Label Conflict (`GSM2342806`–`GSM2342809`, n=4):</w:t>
      </w:r>
      <w:r>
        <w:t xml:space="preserve"> All four sample titles read </w:t>
      </w:r>
      <w:r>
        <w:rPr>
          <w:rFonts w:ascii="Courier New" w:hAnsi="Courier New"/>
          <w:sz w:val="19"/>
        </w:rPr>
        <w:t>Shoot grown at 75 kPa pressure Replica 1..4</w:t>
      </w:r>
      <w:r>
        <w:t xml:space="preserve">, whereas the GEO </w:t>
      </w:r>
      <w:r>
        <w:rPr>
          <w:rFonts w:ascii="Courier New" w:hAnsi="Courier New"/>
          <w:sz w:val="19"/>
        </w:rPr>
        <w:t>characteristics_ch1</w:t>
      </w:r>
      <w:r>
        <w:t xml:space="preserve"> field lists </w:t>
      </w:r>
      <w:r>
        <w:rPr>
          <w:rFonts w:ascii="Courier New" w:hAnsi="Courier New"/>
          <w:sz w:val="19"/>
        </w:rPr>
        <w:t>tissue: Roots</w:t>
      </w:r>
      <w:r>
        <w:t>.</w:t>
      </w:r>
    </w:p>
    <w:p>
      <w:pPr>
        <w:pStyle w:val="ListNumber"/>
      </w:pPr>
      <w:r>
        <w:rPr>
          <w:b/>
        </w:rPr>
        <w:t>The 5 kPa} vs. 10 kPa} Pressure-Label Conflict (`GSM2342804`–`GSM2342805`, n=2):</w:t>
      </w:r>
      <w:r>
        <w:t xml:space="preserve"> Both sample titles read </w:t>
      </w:r>
      <w:r>
        <w:rPr>
          <w:rFonts w:ascii="Courier New" w:hAnsi="Courier New"/>
          <w:sz w:val="19"/>
        </w:rPr>
        <w:t>Root grown at 5 kPa pressure Replica 2..3</w:t>
      </w:r>
      <w:r>
        <w:t xml:space="preserve">, whereas the GEO </w:t>
      </w:r>
      <w:r>
        <w:rPr>
          <w:rFonts w:ascii="Courier New" w:hAnsi="Courier New"/>
          <w:sz w:val="19"/>
        </w:rPr>
        <w:t>characteristics_ch1</w:t>
      </w:r>
      <w:r>
        <w:t xml:space="preserve"> field lists </w:t>
      </w:r>
      <w:r>
        <w:rPr>
          <w:rFonts w:ascii="Courier New" w:hAnsi="Courier New"/>
          <w:sz w:val="19"/>
        </w:rPr>
        <w:t>atmosphere: 10 kPa pressure</w:t>
      </w:r>
      <w:r>
        <w:t>.</w:t>
      </w:r>
    </w:p>
    <w:p>
      <w:pPr>
        <w:pStyle w:val="ListNumber"/>
      </w:pPr>
      <w:r>
        <w:rPr>
          <w:b/>
        </w:rPr>
        <w:t>Technical Re-hybridizations (`GSM2342091`/`GSM2342092` and `GSM2342806`/`GSM2342807`, n=2 pairs):</w:t>
      </w:r>
      <w:r>
        <w:t xml:space="preserve"> Exactly two experimental groups in the compendium—</w:t>
      </w:r>
      <w:r>
        <w:rPr>
          <w:rFonts w:ascii="Courier New" w:hAnsi="Courier New"/>
          <w:sz w:val="19"/>
        </w:rPr>
        <w:t>75 kPa Air Shoot</w:t>
      </w:r>
      <w:r>
        <w:t xml:space="preserve"> and </w:t>
      </w:r>
      <w:r>
        <w:rPr>
          <w:rFonts w:ascii="Courier New" w:hAnsi="Courier New"/>
          <w:sz w:val="19"/>
        </w:rPr>
        <w:t>50 kPa + Normoxic O2 Shoot</w:t>
      </w:r>
      <w:r>
        <w:t>—contain n=4 arrays instead of standard n=3 biological replicates (</w:t>
      </w:r>
      <w:r>
        <w:rPr>
          <w:rFonts w:ascii="Courier New" w:hAnsi="Courier New"/>
          <w:sz w:val="19"/>
        </w:rPr>
        <w:t>A</w:t>
      </w:r>
      <w:r>
        <w:t xml:space="preserve">, </w:t>
      </w:r>
      <w:r>
        <w:rPr>
          <w:rFonts w:ascii="Courier New" w:hAnsi="Courier New"/>
          <w:sz w:val="19"/>
        </w:rPr>
        <w:t>B</w:t>
      </w:r>
      <w:r>
        <w:t xml:space="preserve">, </w:t>
      </w:r>
      <w:r>
        <w:rPr>
          <w:rFonts w:ascii="Courier New" w:hAnsi="Courier New"/>
          <w:sz w:val="19"/>
        </w:rPr>
        <w:t>C</w:t>
      </w:r>
      <w:r>
        <w:t xml:space="preserve">), arising from technical re-hybridization of Replicate A across scanner batches </w:t>
      </w:r>
      <w:r>
        <w:rPr>
          <w:rFonts w:ascii="Courier New" w:hAnsi="Courier New"/>
          <w:sz w:val="19"/>
        </w:rPr>
        <w:t>54xx</w:t>
      </w:r>
      <w:r>
        <w:t xml:space="preserve"> and </w:t>
      </w:r>
      <w:r>
        <w:rPr>
          <w:rFonts w:ascii="Courier New" w:hAnsi="Courier New"/>
          <w:sz w:val="19"/>
        </w:rPr>
        <w:t>68xx</w:t>
      </w:r>
      <w:r>
        <w:t>.</w:t>
      </w:r>
    </w:p>
    <w:p>
      <w:pPr>
        <w:pStyle w:val="ListNumber"/>
      </w:pPr>
      <w:r>
        <w:rPr>
          <w:b/>
        </w:rPr>
        <w:t>Cross-Listed Duplicates (`GSM2342073`–`GSM2342090`, n=18):</w:t>
      </w:r>
      <w:r>
        <w:t xml:space="preserve"> Exact duplicates between </w:t>
      </w:r>
      <w:r>
        <w:rPr>
          <w:rFonts w:ascii="Courier New" w:hAnsi="Courier New"/>
          <w:sz w:val="19"/>
        </w:rPr>
        <w:t>GSE87867</w:t>
      </w:r>
      <w:r>
        <w:t xml:space="preserve"> and </w:t>
      </w:r>
      <w:r>
        <w:rPr>
          <w:rFonts w:ascii="Courier New" w:hAnsi="Courier New"/>
          <w:sz w:val="19"/>
        </w:rPr>
        <w:t>GSE87903</w:t>
      </w:r>
      <w:r>
        <w:t xml:space="preserve"> removed from downstream modeling.</w:t>
      </w:r>
    </w:p>
    <w:p>
      <w:r>
        <w:t>#### Standard Affymetrix Array Quality Control</w:t>
      </w:r>
    </w:p>
    <w:p>
      <w:r>
        <w:t>To ensure downstream predictive performance does not reflect array-level artifacts, we evaluated standard Affymetrix quality control metrics across all 130 retained arrays (</w:t>
      </w:r>
      <w:r>
        <w:rPr>
          <w:rFonts w:ascii="Courier New" w:hAnsi="Courier New"/>
          <w:sz w:val="19"/>
        </w:rPr>
        <w:t>Table_S1_Full_148_GSM_Audit_Ledger.csv</w:t>
      </w:r>
      <w:r>
        <w:t>). Normalized Unscaled Standard Error (NUSE) medians averaged 1.00 ± 0.25 (interquartile range within 0.98--}1.03), Relative Log Expression (RLE) interquartile ranges averaged 0.79 ± 0.37 (well below standard outlier thresholds), scale factors remained stable at 1.00 ± 0.08, and percent present calls averaged 81.7 ± 10.0\%. No array showed severe spatial artifacts, aberrant background, or excessive degradation, establishing that all 130 retained arrays passed standard quality control (</w:t>
      </w:r>
      <w:r>
        <w:rPr>
          <w:rFonts w:ascii="Courier New" w:hAnsi="Courier New"/>
          <w:sz w:val="19"/>
        </w:rPr>
        <w:t>qc_status: PASS</w:t>
      </w:r>
      <w:r>
        <w:t>).</w:t>
      </w:r>
    </w:p>
    <w:p>
      <w:r>
        <w:t xml:space="preserve">To resolve the organ-label conflict objectively, we benchmarked </w:t>
      </w:r>
      <w:r>
        <w:rPr>
          <w:b/>
        </w:rPr>
        <w:t>TabPFN v2</w:t>
      </w:r>
      <w:r>
        <w:t xml:space="preserve"> and </w:t>
      </w:r>
      <w:r>
        <w:rPr>
          <w:b/>
        </w:rPr>
        <w:t>TabPFN v2 (PHE)</w:t>
      </w:r>
      <w:r>
        <w:t xml:space="preserve"> against </w:t>
      </w:r>
      <w:r>
        <w:rPr>
          <w:rFonts w:ascii="Courier New" w:hAnsi="Courier New"/>
          <w:sz w:val="19"/>
        </w:rPr>
        <w:t>LightGBM</w:t>
      </w:r>
      <w:r>
        <w:t xml:space="preserve">, </w:t>
      </w:r>
      <w:r>
        <w:rPr>
          <w:rFonts w:ascii="Courier New" w:hAnsi="Courier New"/>
          <w:sz w:val="19"/>
        </w:rPr>
        <w:t>RandomForest</w:t>
      </w:r>
      <w:r>
        <w:t xml:space="preserve">, </w:t>
      </w:r>
      <w:r>
        <w:rPr>
          <w:rFonts w:ascii="Courier New" w:hAnsi="Courier New"/>
          <w:sz w:val="19"/>
        </w:rPr>
        <w:t>ElasticNet</w:t>
      </w:r>
      <w:r>
        <w:t xml:space="preserve">, </w:t>
      </w:r>
      <w:r>
        <w:rPr>
          <w:rFonts w:ascii="Courier New" w:hAnsi="Courier New"/>
          <w:sz w:val="19"/>
        </w:rPr>
        <w:t>Ridge</w:t>
      </w:r>
      <w:r>
        <w:t xml:space="preserve">, </w:t>
      </w:r>
      <w:r>
        <w:rPr>
          <w:rFonts w:ascii="Courier New" w:hAnsi="Courier New"/>
          <w:sz w:val="19"/>
        </w:rPr>
        <w:t>MLP</w:t>
      </w:r>
      <w:r>
        <w:t xml:space="preserve">, and </w:t>
      </w:r>
      <w:r>
        <w:rPr>
          <w:rFonts w:ascii="Courier New" w:hAnsi="Courier New"/>
          <w:sz w:val="19"/>
        </w:rPr>
        <w:t>Dummy</w:t>
      </w:r>
      <w:r>
        <w:t xml:space="preserve"> classifiers on the </w:t>
      </w:r>
      <w:r>
        <w:rPr>
          <w:b/>
        </w:rPr>
        <w:t>126 unambiguous hypobaric arrays</w:t>
      </w:r>
      <w:r>
        <w:t xml:space="preserve"> using 5-fold condition-grouped cross-validation (</w:t>
      </w:r>
      <w:r>
        <w:rPr>
          <w:rFonts w:ascii="Courier New" w:hAnsi="Courier New"/>
          <w:sz w:val="19"/>
        </w:rPr>
        <w:t>GroupKFold</w:t>
      </w:r>
      <w:r>
        <w:t xml:space="preserve">, ensuring all replicates of a treatment regime were held out together; Table 1, Figure 1C). Both </w:t>
      </w:r>
      <w:r>
        <w:rPr>
          <w:b/>
        </w:rPr>
        <w:t>TabPFN v2</w:t>
      </w:r>
      <w:r>
        <w:t xml:space="preserve"> and </w:t>
      </w:r>
      <w:r>
        <w:rPr>
          <w:b/>
        </w:rPr>
        <w:t>TabPFN v2 (PHE)</w:t>
      </w:r>
      <w:r>
        <w:t xml:space="preserve"> achieved perfect out-of-fold discrimination (</w:t>
      </w:r>
      <w:r>
        <w:rPr>
          <w:rFonts w:ascii="Courier New" w:hAnsi="Courier New"/>
          <w:sz w:val="19"/>
        </w:rPr>
        <w:t>ROC_AUC = 1.0000</w:t>
      </w:r>
      <w:r>
        <w:t xml:space="preserve">, </w:t>
      </w:r>
      <w:r>
        <w:rPr>
          <w:rFonts w:ascii="Courier New" w:hAnsi="Courier New"/>
          <w:sz w:val="19"/>
        </w:rPr>
        <w:t>PR_AUC = 1.0000</w:t>
      </w:r>
      <w:r>
        <w:t xml:space="preserve">, </w:t>
      </w:r>
      <w:r>
        <w:rPr>
          <w:rFonts w:ascii="Courier New" w:hAnsi="Courier New"/>
          <w:sz w:val="19"/>
        </w:rPr>
        <w:t>Macro_F1 = 1.0000</w:t>
      </w:r>
      <w:r>
        <w:t xml:space="preserve">, </w:t>
      </w:r>
      <w:r>
        <w:rPr>
          <w:rFonts w:ascii="Courier New" w:hAnsi="Courier New"/>
          <w:sz w:val="19"/>
        </w:rPr>
        <w:t>Accuracy = 100.0%</w:t>
      </w:r>
      <w:r>
        <w:t>) with near-zero calibration error (</w:t>
      </w:r>
      <w:r>
        <w:rPr>
          <w:rFonts w:ascii="Courier New" w:hAnsi="Courier New"/>
          <w:sz w:val="19"/>
        </w:rPr>
        <w:t>Brier_Score = 0.000002</w:t>
      </w:r>
      <w:r>
        <w:t xml:space="preserve"> and </w:t>
      </w:r>
      <w:r>
        <w:rPr>
          <w:rFonts w:ascii="Courier New" w:hAnsi="Courier New"/>
          <w:sz w:val="19"/>
        </w:rPr>
        <w:t>0.000018</w:t>
      </w:r>
      <w:r>
        <w:t xml:space="preserve">, </w:t>
      </w:r>
      <w:r>
        <w:rPr>
          <w:rFonts w:ascii="Courier New" w:hAnsi="Courier New"/>
          <w:sz w:val="19"/>
        </w:rPr>
        <w:t>ECE = 0.00085</w:t>
      </w:r>
      <w:r>
        <w:t xml:space="preserve"> and </w:t>
      </w:r>
      <w:r>
        <w:rPr>
          <w:rFonts w:ascii="Courier New" w:hAnsi="Courier New"/>
          <w:sz w:val="19"/>
        </w:rPr>
        <w:t>0.00409</w:t>
      </w:r>
      <w:r>
        <w:t xml:space="preserve">), outperforming </w:t>
      </w:r>
      <w:r>
        <w:rPr>
          <w:rFonts w:ascii="Courier New" w:hAnsi="Courier New"/>
          <w:sz w:val="19"/>
        </w:rPr>
        <w:t>LightGBM</w:t>
      </w:r>
      <w:r>
        <w:t xml:space="preserve"> (</w:t>
      </w:r>
      <w:r>
        <w:rPr>
          <w:rFonts w:ascii="Courier New" w:hAnsi="Courier New"/>
          <w:sz w:val="19"/>
        </w:rPr>
        <w:t>ROC_AUC = 0.9894</w:t>
      </w:r>
      <w:r>
        <w:t xml:space="preserve">, </w:t>
      </w:r>
      <w:r>
        <w:rPr>
          <w:rFonts w:ascii="Courier New" w:hAnsi="Courier New"/>
          <w:sz w:val="19"/>
        </w:rPr>
        <w:t>Accuracy = 95.24%</w:t>
      </w:r>
      <w:r>
        <w:t xml:space="preserve">, </w:t>
      </w:r>
      <w:r>
        <w:rPr>
          <w:rFonts w:ascii="Courier New" w:hAnsi="Courier New"/>
          <w:sz w:val="19"/>
        </w:rPr>
        <w:t>Brier_Score = 0.0237</w:t>
      </w:r>
      <w:r>
        <w:t xml:space="preserve">, </w:t>
      </w:r>
      <w:r>
        <w:rPr>
          <w:rFonts w:ascii="Courier New" w:hAnsi="Courier New"/>
          <w:sz w:val="19"/>
        </w:rPr>
        <w:t>ECE = 0.0252</w:t>
      </w:r>
      <w:r>
        <w:t xml:space="preserve">) and </w:t>
      </w:r>
      <w:r>
        <w:rPr>
          <w:rFonts w:ascii="Courier New" w:hAnsi="Courier New"/>
          <w:sz w:val="19"/>
        </w:rPr>
        <w:t>RandomForest</w:t>
      </w:r>
      <w:r>
        <w:t xml:space="preserve"> (</w:t>
      </w:r>
      <w:r>
        <w:rPr>
          <w:rFonts w:ascii="Courier New" w:hAnsi="Courier New"/>
          <w:sz w:val="19"/>
        </w:rPr>
        <w:t>Brier_Score = 0.0110</w:t>
      </w:r>
      <w:r>
        <w:t xml:space="preserve">, </w:t>
      </w:r>
      <w:r>
        <w:rPr>
          <w:rFonts w:ascii="Courier New" w:hAnsi="Courier New"/>
          <w:sz w:val="19"/>
        </w:rPr>
        <w:t>ECE = 0.0954</w:t>
      </w:r>
      <w:r>
        <w:t>).</w:t>
      </w:r>
    </w:p>
    <w:tbl>
      <w:tblPr>
        <w:tblStyle w:val="TableGrid"/>
        <w:tblW w:type="auto" w:w="0"/>
        <w:jc w:val="center"/>
        <w:tblLook w:firstColumn="1" w:firstRow="1" w:lastColumn="0" w:lastRow="0" w:noHBand="0" w:noVBand="1" w:val="04A0"/>
      </w:tblPr>
      <w:tblGrid>
        <w:gridCol w:w="1234"/>
        <w:gridCol w:w="1234"/>
        <w:gridCol w:w="1234"/>
        <w:gridCol w:w="1234"/>
        <w:gridCol w:w="1234"/>
        <w:gridCol w:w="1234"/>
        <w:gridCol w:w="1234"/>
      </w:tblGrid>
      <w:tr>
        <w:tc>
          <w:tcPr>
            <w:tcW w:type="dxa" w:w="1234"/>
          </w:tcPr>
          <w:p>
            <w:r>
              <w:rPr>
                <w:b/>
                <w:sz w:val="17"/>
              </w:rPr>
              <w:t>Model</w:t>
            </w:r>
          </w:p>
        </w:tc>
        <w:tc>
          <w:tcPr>
            <w:tcW w:type="dxa" w:w="1234"/>
          </w:tcPr>
          <w:p>
            <w:r>
              <w:rPr>
                <w:b/>
                <w:sz w:val="17"/>
              </w:rPr>
              <w:t>ROC-AUC (95% CI)</w:t>
            </w:r>
          </w:p>
        </w:tc>
        <w:tc>
          <w:tcPr>
            <w:tcW w:type="dxa" w:w="1234"/>
          </w:tcPr>
          <w:p>
            <w:r>
              <w:rPr>
                <w:b/>
                <w:sz w:val="17"/>
              </w:rPr>
              <w:t>PR-AUC (95% CI)</w:t>
            </w:r>
          </w:p>
        </w:tc>
        <w:tc>
          <w:tcPr>
            <w:tcW w:type="dxa" w:w="1234"/>
          </w:tcPr>
          <w:p>
            <w:r>
              <w:rPr>
                <w:b/>
                <w:sz w:val="17"/>
              </w:rPr>
              <w:t>Macro-F1 (95% CI)</w:t>
            </w:r>
          </w:p>
        </w:tc>
        <w:tc>
          <w:tcPr>
            <w:tcW w:type="dxa" w:w="1234"/>
          </w:tcPr>
          <w:p>
            <w:r>
              <w:rPr>
                <w:b/>
                <w:sz w:val="17"/>
              </w:rPr>
              <w:t>Accuracy</w:t>
            </w:r>
          </w:p>
        </w:tc>
        <w:tc>
          <w:tcPr>
            <w:tcW w:type="dxa" w:w="1234"/>
          </w:tcPr>
          <w:p>
            <w:r>
              <w:rPr>
                <w:b/>
                <w:sz w:val="17"/>
              </w:rPr>
              <w:t>Brier Score (95% CI)</w:t>
            </w:r>
          </w:p>
        </w:tc>
        <w:tc>
          <w:tcPr>
            <w:tcW w:type="dxa" w:w="1234"/>
          </w:tcPr>
          <w:p>
            <w:r>
              <w:rPr>
                <w:b/>
                <w:sz w:val="17"/>
              </w:rPr>
              <w:t>ECE</w:t>
            </w:r>
          </w:p>
        </w:tc>
      </w:tr>
      <w:tr>
        <w:tc>
          <w:tcPr>
            <w:tcW w:type="dxa" w:w="1234"/>
          </w:tcPr>
          <w:p>
            <w:r>
              <w:rPr>
                <w:b/>
                <w:sz w:val="17"/>
              </w:rPr>
              <w:t>TabPFN v2</w:t>
            </w:r>
          </w:p>
        </w:tc>
        <w:tc>
          <w:tcPr>
            <w:tcW w:type="dxa" w:w="1234"/>
          </w:tcPr>
          <w:p>
            <w:r>
              <w:rPr>
                <w:b/>
                <w:sz w:val="17"/>
              </w:rPr>
              <w:t>1.0000</w:t>
            </w:r>
            <w:r>
              <w:rPr>
                <w:sz w:val="17"/>
              </w:rPr>
              <w:t xml:space="preserve"> (1.0000–1.0000)</w:t>
            </w:r>
          </w:p>
        </w:tc>
        <w:tc>
          <w:tcPr>
            <w:tcW w:type="dxa" w:w="1234"/>
          </w:tcPr>
          <w:p>
            <w:r>
              <w:rPr>
                <w:b/>
                <w:sz w:val="17"/>
              </w:rPr>
              <w:t>1.0000</w:t>
            </w:r>
            <w:r>
              <w:rPr>
                <w:sz w:val="17"/>
              </w:rPr>
              <w:t xml:space="preserve"> (1.0000–1.0000)</w:t>
            </w:r>
          </w:p>
        </w:tc>
        <w:tc>
          <w:tcPr>
            <w:tcW w:type="dxa" w:w="1234"/>
          </w:tcPr>
          <w:p>
            <w:r>
              <w:rPr>
                <w:b/>
                <w:sz w:val="17"/>
              </w:rPr>
              <w:t>1.0000</w:t>
            </w:r>
            <w:r>
              <w:rPr>
                <w:sz w:val="17"/>
              </w:rPr>
              <w:t xml:space="preserve"> (1.0000–1.0000)</w:t>
            </w:r>
          </w:p>
        </w:tc>
        <w:tc>
          <w:tcPr>
            <w:tcW w:type="dxa" w:w="1234"/>
          </w:tcPr>
          <w:p>
            <w:r>
              <w:rPr>
                <w:b/>
                <w:sz w:val="17"/>
              </w:rPr>
              <w:t>100.00%</w:t>
            </w:r>
          </w:p>
        </w:tc>
        <w:tc>
          <w:tcPr>
            <w:tcW w:type="dxa" w:w="1234"/>
          </w:tcPr>
          <w:p>
            <w:r>
              <w:rPr>
                <w:b/>
                <w:sz w:val="17"/>
              </w:rPr>
              <w:t>0.000002</w:t>
            </w:r>
            <w:r>
              <w:rPr>
                <w:sz w:val="17"/>
              </w:rPr>
              <w:t xml:space="preserve"> (0.000001–0.000004)</w:t>
            </w:r>
          </w:p>
        </w:tc>
        <w:tc>
          <w:tcPr>
            <w:tcW w:type="dxa" w:w="1234"/>
          </w:tcPr>
          <w:p>
            <w:r>
              <w:rPr>
                <w:b/>
                <w:sz w:val="17"/>
              </w:rPr>
              <w:t>0.00085</w:t>
            </w:r>
          </w:p>
        </w:tc>
      </w:tr>
      <w:tr>
        <w:tc>
          <w:tcPr>
            <w:tcW w:type="dxa" w:w="1234"/>
          </w:tcPr>
          <w:p>
            <w:r>
              <w:rPr>
                <w:b/>
                <w:sz w:val="17"/>
              </w:rPr>
              <w:t>TabPFN v2 (PHE)</w:t>
            </w:r>
          </w:p>
        </w:tc>
        <w:tc>
          <w:tcPr>
            <w:tcW w:type="dxa" w:w="1234"/>
          </w:tcPr>
          <w:p>
            <w:r>
              <w:rPr>
                <w:b/>
                <w:sz w:val="17"/>
              </w:rPr>
              <w:t>1.0000</w:t>
            </w:r>
            <w:r>
              <w:rPr>
                <w:sz w:val="17"/>
              </w:rPr>
              <w:t xml:space="preserve"> (1.0000–1.0000)</w:t>
            </w:r>
          </w:p>
        </w:tc>
        <w:tc>
          <w:tcPr>
            <w:tcW w:type="dxa" w:w="1234"/>
          </w:tcPr>
          <w:p>
            <w:r>
              <w:rPr>
                <w:b/>
                <w:sz w:val="17"/>
              </w:rPr>
              <w:t>1.0000</w:t>
            </w:r>
            <w:r>
              <w:rPr>
                <w:sz w:val="17"/>
              </w:rPr>
              <w:t xml:space="preserve"> (1.0000–1.0000)</w:t>
            </w:r>
          </w:p>
        </w:tc>
        <w:tc>
          <w:tcPr>
            <w:tcW w:type="dxa" w:w="1234"/>
          </w:tcPr>
          <w:p>
            <w:r>
              <w:rPr>
                <w:b/>
                <w:sz w:val="17"/>
              </w:rPr>
              <w:t>1.0000</w:t>
            </w:r>
            <w:r>
              <w:rPr>
                <w:sz w:val="17"/>
              </w:rPr>
              <w:t xml:space="preserve"> (1.0000–1.0000)</w:t>
            </w:r>
          </w:p>
        </w:tc>
        <w:tc>
          <w:tcPr>
            <w:tcW w:type="dxa" w:w="1234"/>
          </w:tcPr>
          <w:p>
            <w:r>
              <w:rPr>
                <w:b/>
                <w:sz w:val="17"/>
              </w:rPr>
              <w:t>100.00%</w:t>
            </w:r>
          </w:p>
        </w:tc>
        <w:tc>
          <w:tcPr>
            <w:tcW w:type="dxa" w:w="1234"/>
          </w:tcPr>
          <w:p>
            <w:r>
              <w:rPr>
                <w:sz w:val="17"/>
              </w:rPr>
              <w:t>0.000018 (0.000012–0.000025)</w:t>
            </w:r>
          </w:p>
        </w:tc>
        <w:tc>
          <w:tcPr>
            <w:tcW w:type="dxa" w:w="1234"/>
          </w:tcPr>
          <w:p>
            <w:r>
              <w:rPr>
                <w:sz w:val="17"/>
              </w:rPr>
              <w:t>0.00409</w:t>
            </w:r>
          </w:p>
        </w:tc>
      </w:tr>
      <w:tr>
        <w:tc>
          <w:tcPr>
            <w:tcW w:type="dxa" w:w="1234"/>
          </w:tcPr>
          <w:p>
            <w:r>
              <w:rPr>
                <w:b/>
                <w:sz w:val="17"/>
              </w:rPr>
              <w:t>Ridge (L2 LogReg)</w:t>
            </w:r>
          </w:p>
        </w:tc>
        <w:tc>
          <w:tcPr>
            <w:tcW w:type="dxa" w:w="1234"/>
          </w:tcPr>
          <w:p>
            <w:r>
              <w:rPr>
                <w:b/>
                <w:sz w:val="17"/>
              </w:rPr>
              <w:t>1.0000</w:t>
            </w:r>
            <w:r>
              <w:rPr>
                <w:sz w:val="17"/>
              </w:rPr>
              <w:t xml:space="preserve"> (1.0000–1.0000)</w:t>
            </w:r>
          </w:p>
        </w:tc>
        <w:tc>
          <w:tcPr>
            <w:tcW w:type="dxa" w:w="1234"/>
          </w:tcPr>
          <w:p>
            <w:r>
              <w:rPr>
                <w:b/>
                <w:sz w:val="17"/>
              </w:rPr>
              <w:t>1.0000</w:t>
            </w:r>
            <w:r>
              <w:rPr>
                <w:sz w:val="17"/>
              </w:rPr>
              <w:t xml:space="preserve"> (1.0000–1.0000)</w:t>
            </w:r>
          </w:p>
        </w:tc>
        <w:tc>
          <w:tcPr>
            <w:tcW w:type="dxa" w:w="1234"/>
          </w:tcPr>
          <w:p>
            <w:r>
              <w:rPr>
                <w:b/>
                <w:sz w:val="17"/>
              </w:rPr>
              <w:t>1.0000</w:t>
            </w:r>
            <w:r>
              <w:rPr>
                <w:sz w:val="17"/>
              </w:rPr>
              <w:t xml:space="preserve"> (1.0000–1.0000)</w:t>
            </w:r>
          </w:p>
        </w:tc>
        <w:tc>
          <w:tcPr>
            <w:tcW w:type="dxa" w:w="1234"/>
          </w:tcPr>
          <w:p>
            <w:r>
              <w:rPr>
                <w:b/>
                <w:sz w:val="17"/>
              </w:rPr>
              <w:t>100.00%</w:t>
            </w:r>
          </w:p>
        </w:tc>
        <w:tc>
          <w:tcPr>
            <w:tcW w:type="dxa" w:w="1234"/>
          </w:tcPr>
          <w:p>
            <w:r>
              <w:rPr>
                <w:sz w:val="17"/>
              </w:rPr>
              <w:t>0.000371 (0.000158–0.000637)</w:t>
            </w:r>
          </w:p>
        </w:tc>
        <w:tc>
          <w:tcPr>
            <w:tcW w:type="dxa" w:w="1234"/>
          </w:tcPr>
          <w:p>
            <w:r>
              <w:rPr>
                <w:sz w:val="17"/>
              </w:rPr>
              <w:t>0.01498</w:t>
            </w:r>
          </w:p>
        </w:tc>
      </w:tr>
      <w:tr>
        <w:tc>
          <w:tcPr>
            <w:tcW w:type="dxa" w:w="1234"/>
          </w:tcPr>
          <w:p>
            <w:r>
              <w:rPr>
                <w:b/>
                <w:sz w:val="17"/>
              </w:rPr>
              <w:t>MLP</w:t>
            </w:r>
          </w:p>
        </w:tc>
        <w:tc>
          <w:tcPr>
            <w:tcW w:type="dxa" w:w="1234"/>
          </w:tcPr>
          <w:p>
            <w:r>
              <w:rPr>
                <w:b/>
                <w:sz w:val="17"/>
              </w:rPr>
              <w:t>1.0000</w:t>
            </w:r>
            <w:r>
              <w:rPr>
                <w:sz w:val="17"/>
              </w:rPr>
              <w:t xml:space="preserve"> (1.0000–1.0000)</w:t>
            </w:r>
          </w:p>
        </w:tc>
        <w:tc>
          <w:tcPr>
            <w:tcW w:type="dxa" w:w="1234"/>
          </w:tcPr>
          <w:p>
            <w:r>
              <w:rPr>
                <w:b/>
                <w:sz w:val="17"/>
              </w:rPr>
              <w:t>1.0000</w:t>
            </w:r>
            <w:r>
              <w:rPr>
                <w:sz w:val="17"/>
              </w:rPr>
              <w:t xml:space="preserve"> (1.0000–1.0000)</w:t>
            </w:r>
          </w:p>
        </w:tc>
        <w:tc>
          <w:tcPr>
            <w:tcW w:type="dxa" w:w="1234"/>
          </w:tcPr>
          <w:p>
            <w:r>
              <w:rPr>
                <w:b/>
                <w:sz w:val="17"/>
              </w:rPr>
              <w:t>1.0000</w:t>
            </w:r>
            <w:r>
              <w:rPr>
                <w:sz w:val="17"/>
              </w:rPr>
              <w:t xml:space="preserve"> (1.0000–1.0000)</w:t>
            </w:r>
          </w:p>
        </w:tc>
        <w:tc>
          <w:tcPr>
            <w:tcW w:type="dxa" w:w="1234"/>
          </w:tcPr>
          <w:p>
            <w:r>
              <w:rPr>
                <w:b/>
                <w:sz w:val="17"/>
              </w:rPr>
              <w:t>100.00%</w:t>
            </w:r>
          </w:p>
        </w:tc>
        <w:tc>
          <w:tcPr>
            <w:tcW w:type="dxa" w:w="1234"/>
          </w:tcPr>
          <w:p>
            <w:r>
              <w:rPr>
                <w:sz w:val="17"/>
              </w:rPr>
              <w:t>0.000516 (0.000064–0.001215)</w:t>
            </w:r>
          </w:p>
        </w:tc>
        <w:tc>
          <w:tcPr>
            <w:tcW w:type="dxa" w:w="1234"/>
          </w:tcPr>
          <w:p>
            <w:r>
              <w:rPr>
                <w:sz w:val="17"/>
              </w:rPr>
              <w:t>0.01383</w:t>
            </w:r>
          </w:p>
        </w:tc>
      </w:tr>
      <w:tr>
        <w:tc>
          <w:tcPr>
            <w:tcW w:type="dxa" w:w="1234"/>
          </w:tcPr>
          <w:p>
            <w:r>
              <w:rPr>
                <w:b/>
                <w:sz w:val="17"/>
              </w:rPr>
              <w:t>ElasticNet (LogReg)</w:t>
            </w:r>
          </w:p>
        </w:tc>
        <w:tc>
          <w:tcPr>
            <w:tcW w:type="dxa" w:w="1234"/>
          </w:tcPr>
          <w:p>
            <w:r>
              <w:rPr>
                <w:b/>
                <w:sz w:val="17"/>
              </w:rPr>
              <w:t>1.0000</w:t>
            </w:r>
            <w:r>
              <w:rPr>
                <w:sz w:val="17"/>
              </w:rPr>
              <w:t xml:space="preserve"> (1.0000–1.0000)</w:t>
            </w:r>
          </w:p>
        </w:tc>
        <w:tc>
          <w:tcPr>
            <w:tcW w:type="dxa" w:w="1234"/>
          </w:tcPr>
          <w:p>
            <w:r>
              <w:rPr>
                <w:b/>
                <w:sz w:val="17"/>
              </w:rPr>
              <w:t>1.0000</w:t>
            </w:r>
            <w:r>
              <w:rPr>
                <w:sz w:val="17"/>
              </w:rPr>
              <w:t xml:space="preserve"> (1.0000–1.0000)</w:t>
            </w:r>
          </w:p>
        </w:tc>
        <w:tc>
          <w:tcPr>
            <w:tcW w:type="dxa" w:w="1234"/>
          </w:tcPr>
          <w:p>
            <w:r>
              <w:rPr>
                <w:b/>
                <w:sz w:val="17"/>
              </w:rPr>
              <w:t>1.0000</w:t>
            </w:r>
            <w:r>
              <w:rPr>
                <w:sz w:val="17"/>
              </w:rPr>
              <w:t xml:space="preserve"> (1.0000–1.0000)</w:t>
            </w:r>
          </w:p>
        </w:tc>
        <w:tc>
          <w:tcPr>
            <w:tcW w:type="dxa" w:w="1234"/>
          </w:tcPr>
          <w:p>
            <w:r>
              <w:rPr>
                <w:b/>
                <w:sz w:val="17"/>
              </w:rPr>
              <w:t>100.00%</w:t>
            </w:r>
          </w:p>
        </w:tc>
        <w:tc>
          <w:tcPr>
            <w:tcW w:type="dxa" w:w="1234"/>
          </w:tcPr>
          <w:p>
            <w:r>
              <w:rPr>
                <w:sz w:val="17"/>
              </w:rPr>
              <w:t>0.000534 (0.000263–0.000849)</w:t>
            </w:r>
          </w:p>
        </w:tc>
        <w:tc>
          <w:tcPr>
            <w:tcW w:type="dxa" w:w="1234"/>
          </w:tcPr>
          <w:p>
            <w:r>
              <w:rPr>
                <w:sz w:val="17"/>
              </w:rPr>
              <w:t>0.02116</w:t>
            </w:r>
          </w:p>
        </w:tc>
      </w:tr>
      <w:tr>
        <w:tc>
          <w:tcPr>
            <w:tcW w:type="dxa" w:w="1234"/>
          </w:tcPr>
          <w:p>
            <w:r>
              <w:rPr>
                <w:b/>
                <w:sz w:val="17"/>
              </w:rPr>
              <w:t>RandomForest</w:t>
            </w:r>
          </w:p>
        </w:tc>
        <w:tc>
          <w:tcPr>
            <w:tcW w:type="dxa" w:w="1234"/>
          </w:tcPr>
          <w:p>
            <w:r>
              <w:rPr>
                <w:b/>
                <w:sz w:val="17"/>
              </w:rPr>
              <w:t>1.0000</w:t>
            </w:r>
            <w:r>
              <w:rPr>
                <w:sz w:val="17"/>
              </w:rPr>
              <w:t xml:space="preserve"> (1.0000–1.0000)</w:t>
            </w:r>
          </w:p>
        </w:tc>
        <w:tc>
          <w:tcPr>
            <w:tcW w:type="dxa" w:w="1234"/>
          </w:tcPr>
          <w:p>
            <w:r>
              <w:rPr>
                <w:b/>
                <w:sz w:val="17"/>
              </w:rPr>
              <w:t>1.0000</w:t>
            </w:r>
            <w:r>
              <w:rPr>
                <w:sz w:val="17"/>
              </w:rPr>
              <w:t xml:space="preserve"> (1.0000–1.0000)</w:t>
            </w:r>
          </w:p>
        </w:tc>
        <w:tc>
          <w:tcPr>
            <w:tcW w:type="dxa" w:w="1234"/>
          </w:tcPr>
          <w:p>
            <w:r>
              <w:rPr>
                <w:b/>
                <w:sz w:val="17"/>
              </w:rPr>
              <w:t>1.0000</w:t>
            </w:r>
            <w:r>
              <w:rPr>
                <w:sz w:val="17"/>
              </w:rPr>
              <w:t xml:space="preserve"> (1.0000–1.0000)</w:t>
            </w:r>
          </w:p>
        </w:tc>
        <w:tc>
          <w:tcPr>
            <w:tcW w:type="dxa" w:w="1234"/>
          </w:tcPr>
          <w:p>
            <w:r>
              <w:rPr>
                <w:b/>
                <w:sz w:val="17"/>
              </w:rPr>
              <w:t>100.00%</w:t>
            </w:r>
          </w:p>
        </w:tc>
        <w:tc>
          <w:tcPr>
            <w:tcW w:type="dxa" w:w="1234"/>
          </w:tcPr>
          <w:p>
            <w:r>
              <w:rPr>
                <w:sz w:val="17"/>
              </w:rPr>
              <w:t>0.010959 (0.009127–0.012872)</w:t>
            </w:r>
          </w:p>
        </w:tc>
        <w:tc>
          <w:tcPr>
            <w:tcW w:type="dxa" w:w="1234"/>
          </w:tcPr>
          <w:p>
            <w:r>
              <w:rPr>
                <w:sz w:val="17"/>
              </w:rPr>
              <w:t>0.09540</w:t>
            </w:r>
          </w:p>
        </w:tc>
      </w:tr>
      <w:tr>
        <w:tc>
          <w:tcPr>
            <w:tcW w:type="dxa" w:w="1234"/>
          </w:tcPr>
          <w:p>
            <w:r>
              <w:rPr>
                <w:b/>
                <w:sz w:val="17"/>
              </w:rPr>
              <w:t>LightGBM</w:t>
            </w:r>
          </w:p>
        </w:tc>
        <w:tc>
          <w:tcPr>
            <w:tcW w:type="dxa" w:w="1234"/>
          </w:tcPr>
          <w:p>
            <w:r>
              <w:rPr>
                <w:sz w:val="17"/>
              </w:rPr>
              <w:t>0.9894 (0.9686–1.0000)</w:t>
            </w:r>
          </w:p>
        </w:tc>
        <w:tc>
          <w:tcPr>
            <w:tcW w:type="dxa" w:w="1234"/>
          </w:tcPr>
          <w:p>
            <w:r>
              <w:rPr>
                <w:sz w:val="17"/>
              </w:rPr>
              <w:t>0.9918 (0.9765–1.0000)</w:t>
            </w:r>
          </w:p>
        </w:tc>
        <w:tc>
          <w:tcPr>
            <w:tcW w:type="dxa" w:w="1234"/>
          </w:tcPr>
          <w:p>
            <w:r>
              <w:rPr>
                <w:sz w:val="17"/>
              </w:rPr>
              <w:t>0.9522 (0.9039–0.9919)</w:t>
            </w:r>
          </w:p>
        </w:tc>
        <w:tc>
          <w:tcPr>
            <w:tcW w:type="dxa" w:w="1234"/>
          </w:tcPr>
          <w:p>
            <w:r>
              <w:rPr>
                <w:sz w:val="17"/>
              </w:rPr>
              <w:t>95.24%</w:t>
            </w:r>
          </w:p>
        </w:tc>
        <w:tc>
          <w:tcPr>
            <w:tcW w:type="dxa" w:w="1234"/>
          </w:tcPr>
          <w:p>
            <w:r>
              <w:rPr>
                <w:sz w:val="17"/>
              </w:rPr>
              <w:t>0.023656 (0.005471–0.044318)</w:t>
            </w:r>
          </w:p>
        </w:tc>
        <w:tc>
          <w:tcPr>
            <w:tcW w:type="dxa" w:w="1234"/>
          </w:tcPr>
          <w:p>
            <w:r>
              <w:rPr>
                <w:sz w:val="17"/>
              </w:rPr>
              <w:t>0.02521</w:t>
            </w:r>
          </w:p>
        </w:tc>
      </w:tr>
      <w:tr>
        <w:tc>
          <w:tcPr>
            <w:tcW w:type="dxa" w:w="1234"/>
          </w:tcPr>
          <w:p>
            <w:r>
              <w:rPr>
                <w:b/>
                <w:sz w:val="17"/>
              </w:rPr>
              <w:t>Dummy (Naive)</w:t>
            </w:r>
          </w:p>
        </w:tc>
        <w:tc>
          <w:tcPr>
            <w:tcW w:type="dxa" w:w="1234"/>
          </w:tcPr>
          <w:p>
            <w:r>
              <w:rPr>
                <w:sz w:val="17"/>
              </w:rPr>
              <w:t>0.4368 (0.3772–0.4959)</w:t>
            </w:r>
          </w:p>
        </w:tc>
        <w:tc>
          <w:tcPr>
            <w:tcW w:type="dxa" w:w="1234"/>
          </w:tcPr>
          <w:p>
            <w:r>
              <w:rPr>
                <w:sz w:val="17"/>
              </w:rPr>
              <w:t>0.4675 (0.3863–0.5629)</w:t>
            </w:r>
          </w:p>
        </w:tc>
        <w:tc>
          <w:tcPr>
            <w:tcW w:type="dxa" w:w="1234"/>
          </w:tcPr>
          <w:p>
            <w:r>
              <w:rPr>
                <w:sz w:val="17"/>
              </w:rPr>
              <w:t>0.3403 (0.3091–0.3695)</w:t>
            </w:r>
          </w:p>
        </w:tc>
        <w:tc>
          <w:tcPr>
            <w:tcW w:type="dxa" w:w="1234"/>
          </w:tcPr>
          <w:p>
            <w:r>
              <w:rPr>
                <w:sz w:val="17"/>
              </w:rPr>
              <w:t>51.59%</w:t>
            </w:r>
          </w:p>
        </w:tc>
        <w:tc>
          <w:tcPr>
            <w:tcW w:type="dxa" w:w="1234"/>
          </w:tcPr>
          <w:p>
            <w:r>
              <w:rPr>
                <w:sz w:val="17"/>
              </w:rPr>
              <w:t>0.251200 (0.249994–0.253058)</w:t>
            </w:r>
          </w:p>
        </w:tc>
        <w:tc>
          <w:tcPr>
            <w:tcW w:type="dxa" w:w="1234"/>
          </w:tcPr>
          <w:p>
            <w:r>
              <w:rPr>
                <w:sz w:val="17"/>
              </w:rPr>
              <w:t>0.01587</w:t>
            </w:r>
          </w:p>
        </w:tc>
      </w:tr>
    </w:tbl>
    <w:p/>
    <w:p>
      <w:r>
        <w:rPr>
          <w:b/>
        </w:rPr>
        <w:t>Table 1 | Out-of-fold 5-fold condition-grouped cross-validation benchmark for organ classification (`Shoot` vs. `Root`) on n = 126 unambiguous hypobaric arrays (`wp1_organ_classification_benchmark.csv`).</w:t>
      </w:r>
    </w:p>
    <w:p>
      <w:r>
        <w:t>When evaluated on the four held-out disputed 75 kPa} arrays (</w:t>
      </w:r>
      <w:r>
        <w:rPr>
          <w:rFonts w:ascii="Courier New" w:hAnsi="Courier New"/>
          <w:sz w:val="19"/>
        </w:rPr>
        <w:t>GSM2342806</w:t>
      </w:r>
      <w:r>
        <w:t>–</w:t>
      </w:r>
      <w:r>
        <w:rPr>
          <w:rFonts w:ascii="Courier New" w:hAnsi="Courier New"/>
          <w:sz w:val="19"/>
        </w:rPr>
        <w:t>GSM2342809</w:t>
      </w:r>
      <w:r>
        <w:t xml:space="preserve">), </w:t>
      </w:r>
      <w:r>
        <w:rPr>
          <w:b/>
        </w:rPr>
        <w:t>TabPFN v2 (PHE)</w:t>
      </w:r>
      <w:r>
        <w:t xml:space="preserve"> assigned posterior shoot probabilities of </w:t>
      </w:r>
      <w:r>
        <w:rPr>
          <w:b/>
        </w:rPr>
        <w:t>P(Shoot}\mid\mathbf{x}) = 0.9908 ± 0.0024, 0.9975 ± 0.0005, 0.9991 ± 0.0002, and 0.9989 ± 0.0003</w:t>
      </w:r>
      <w:r>
        <w:t>, respectively (</w:t>
      </w:r>
      <w:r>
        <w:rPr>
          <w:rFonts w:ascii="Courier New" w:hAnsi="Courier New"/>
          <w:sz w:val="19"/>
        </w:rPr>
        <w:t>wp1_disputed_samples_audit.csv</w:t>
      </w:r>
      <w:r>
        <w:t xml:space="preserve">, Figure 1D). Crucially, inspecting raw Affymetrix </w:t>
      </w:r>
      <w:r>
        <w:rPr>
          <w:rFonts w:ascii="Courier New" w:hAnsi="Courier New"/>
          <w:sz w:val="19"/>
        </w:rPr>
        <w:t>.CEL.gz</w:t>
      </w:r>
      <w:r>
        <w:t xml:space="preserve"> archives in </w:t>
      </w:r>
      <w:r>
        <w:rPr>
          <w:rFonts w:ascii="Courier New" w:hAnsi="Courier New"/>
          <w:sz w:val="19"/>
        </w:rPr>
        <w:t>GSE87903_RAW.tar</w:t>
      </w:r>
      <w:r>
        <w:t xml:space="preserve"> provided physical verification of all metadata anomalies (</w:t>
      </w:r>
      <w:r>
        <w:rPr>
          <w:rFonts w:ascii="Courier New" w:hAnsi="Courier New"/>
          <w:sz w:val="19"/>
        </w:rPr>
        <w:t>Table_S1_Full_148_GSM_Audit_Ledger.csv</w:t>
      </w:r>
      <w:r>
        <w:t>):</w:t>
      </w:r>
    </w:p>
    <w:p>
      <w:pPr>
        <w:pStyle w:val="ListBullet"/>
      </w:pPr>
      <w:r>
        <w:t xml:space="preserve">The raw </w:t>
      </w:r>
      <w:r>
        <w:rPr>
          <w:rFonts w:ascii="Courier New" w:hAnsi="Courier New"/>
          <w:sz w:val="19"/>
        </w:rPr>
        <w:t>.CEL</w:t>
      </w:r>
      <w:r>
        <w:t xml:space="preserve"> filenames for </w:t>
      </w:r>
      <w:r>
        <w:rPr>
          <w:rFonts w:ascii="Courier New" w:hAnsi="Courier New"/>
          <w:sz w:val="19"/>
        </w:rPr>
        <w:t>GSM2342806</w:t>
      </w:r>
      <w:r>
        <w:t>–</w:t>
      </w:r>
      <w:r>
        <w:rPr>
          <w:rFonts w:ascii="Courier New" w:hAnsi="Courier New"/>
          <w:sz w:val="19"/>
        </w:rPr>
        <w:t>GSM2342809</w:t>
      </w:r>
      <w:r>
        <w:t xml:space="preserve"> are </w:t>
      </w:r>
      <w:r>
        <w:rPr>
          <w:rFonts w:ascii="Courier New" w:hAnsi="Courier New"/>
          <w:sz w:val="19"/>
        </w:rPr>
        <w:t>GSM2342806_5411_75_Ashoot_Ferl_ATH1.CEL.gz</w:t>
      </w:r>
      <w:r>
        <w:t xml:space="preserve">, </w:t>
      </w:r>
      <w:r>
        <w:rPr>
          <w:rFonts w:ascii="Courier New" w:hAnsi="Courier New"/>
          <w:sz w:val="19"/>
        </w:rPr>
        <w:t>GSM2342807_6827_Ferl_75_A_shoot.CEL.gz</w:t>
      </w:r>
      <w:r>
        <w:t xml:space="preserve">, </w:t>
      </w:r>
      <w:r>
        <w:rPr>
          <w:rFonts w:ascii="Courier New" w:hAnsi="Courier New"/>
          <w:sz w:val="19"/>
        </w:rPr>
        <w:t>GSM2342808_5440_Ferl_75_B_shoots_ATHI.CEL.gz</w:t>
      </w:r>
      <w:r>
        <w:t xml:space="preserve">, and </w:t>
      </w:r>
      <w:r>
        <w:rPr>
          <w:rFonts w:ascii="Courier New" w:hAnsi="Courier New"/>
          <w:sz w:val="19"/>
        </w:rPr>
        <w:t>GSM2342809_5429_Ferl75C_shoots_ATHI.CEL.gz</w:t>
      </w:r>
      <w:r>
        <w:t xml:space="preserve">, confirming that all four arrays are </w:t>
      </w:r>
      <w:r>
        <w:rPr>
          <w:b/>
        </w:rPr>
        <w:t>Shoots</w:t>
      </w:r>
      <w:r>
        <w:t xml:space="preserve"> and that their </w:t>
      </w:r>
      <w:r>
        <w:rPr>
          <w:rFonts w:ascii="Courier New" w:hAnsi="Courier New"/>
          <w:sz w:val="19"/>
        </w:rPr>
        <w:t>characteristics_ch1: tissue: Roots</w:t>
      </w:r>
      <w:r>
        <w:t xml:space="preserve"> tag was a submission spreadsheet fill-down error from </w:t>
      </w:r>
      <w:r>
        <w:rPr>
          <w:rFonts w:ascii="Courier New" w:hAnsi="Courier New"/>
          <w:sz w:val="19"/>
        </w:rPr>
        <w:t>GSM2342805</w:t>
      </w:r>
      <w:r>
        <w:t>.</w:t>
      </w:r>
    </w:p>
    <w:p>
      <w:pPr>
        <w:pStyle w:val="ListBullet"/>
      </w:pPr>
      <w:r>
        <w:t xml:space="preserve">The raw </w:t>
      </w:r>
      <w:r>
        <w:rPr>
          <w:rFonts w:ascii="Courier New" w:hAnsi="Courier New"/>
          <w:sz w:val="19"/>
        </w:rPr>
        <w:t>.CEL</w:t>
      </w:r>
      <w:r>
        <w:t xml:space="preserve"> filenames for </w:t>
      </w:r>
      <w:r>
        <w:rPr>
          <w:rFonts w:ascii="Courier New" w:hAnsi="Courier New"/>
          <w:sz w:val="19"/>
        </w:rPr>
        <w:t>GSM2342804</w:t>
      </w:r>
      <w:r>
        <w:t xml:space="preserve"> (</w:t>
      </w:r>
      <w:r>
        <w:rPr>
          <w:rFonts w:ascii="Courier New" w:hAnsi="Courier New"/>
          <w:sz w:val="19"/>
        </w:rPr>
        <w:t>GSM2342804_6831_Ferl_5_B_RT.CEL.gz</w:t>
      </w:r>
      <w:r>
        <w:t xml:space="preserve">) and </w:t>
      </w:r>
      <w:r>
        <w:rPr>
          <w:rFonts w:ascii="Courier New" w:hAnsi="Courier New"/>
          <w:sz w:val="19"/>
        </w:rPr>
        <w:t>GSM2342805</w:t>
      </w:r>
      <w:r>
        <w:t xml:space="preserve"> (</w:t>
      </w:r>
      <w:r>
        <w:rPr>
          <w:rFonts w:ascii="Courier New" w:hAnsi="Courier New"/>
          <w:sz w:val="19"/>
        </w:rPr>
        <w:t>GSM2342805_5449_5_root_c_Ferl_ATH1.CEL.gz</w:t>
      </w:r>
      <w:r>
        <w:t xml:space="preserve">) demonstrate that both are </w:t>
      </w:r>
      <w:r>
        <w:rPr>
          <w:b/>
        </w:rPr>
        <w:t>5 kPa} Root</w:t>
      </w:r>
      <w:r>
        <w:t xml:space="preserve"> replicates (</w:t>
      </w:r>
      <w:r>
        <w:rPr>
          <w:rFonts w:ascii="Courier New" w:hAnsi="Courier New"/>
          <w:sz w:val="19"/>
        </w:rPr>
        <w:t>B</w:t>
      </w:r>
      <w:r>
        <w:t xml:space="preserve"> and </w:t>
      </w:r>
      <w:r>
        <w:rPr>
          <w:rFonts w:ascii="Courier New" w:hAnsi="Courier New"/>
          <w:sz w:val="19"/>
        </w:rPr>
        <w:t>C</w:t>
      </w:r>
      <w:r>
        <w:t xml:space="preserve">, pairing with </w:t>
      </w:r>
      <w:r>
        <w:rPr>
          <w:rFonts w:ascii="Courier New" w:hAnsi="Courier New"/>
          <w:sz w:val="19"/>
        </w:rPr>
        <w:t>GSM2342803_6830_Ferl_5_A_RT.CEL.gz</w:t>
      </w:r>
      <w:r>
        <w:t xml:space="preserve">), whose </w:t>
      </w:r>
      <w:r>
        <w:rPr>
          <w:rFonts w:ascii="Courier New" w:hAnsi="Courier New"/>
          <w:sz w:val="19"/>
        </w:rPr>
        <w:t>characteristics_ch1</w:t>
      </w:r>
      <w:r>
        <w:t xml:space="preserve"> field erroneously retained </w:t>
      </w:r>
      <w:r>
        <w:rPr>
          <w:rFonts w:ascii="Courier New" w:hAnsi="Courier New"/>
          <w:sz w:val="19"/>
        </w:rPr>
        <w:t>10 kPa pressure</w:t>
      </w:r>
      <w:r>
        <w:t xml:space="preserve"> from </w:t>
      </w:r>
      <w:r>
        <w:rPr>
          <w:rFonts w:ascii="Courier New" w:hAnsi="Courier New"/>
          <w:sz w:val="19"/>
        </w:rPr>
        <w:t>GSM2342802</w:t>
      </w:r>
      <w:r>
        <w:t>.</w:t>
      </w:r>
    </w:p>
    <w:p>
      <w:pPr>
        <w:pStyle w:val="ListBullet"/>
      </w:pPr>
      <w:r>
        <w:t xml:space="preserve">Finally, the raw </w:t>
      </w:r>
      <w:r>
        <w:rPr>
          <w:rFonts w:ascii="Courier New" w:hAnsi="Courier New"/>
          <w:sz w:val="19"/>
        </w:rPr>
        <w:t>.CEL</w:t>
      </w:r>
      <w:r>
        <w:t xml:space="preserve"> scanner prefixes (</w:t>
      </w:r>
      <w:r>
        <w:rPr>
          <w:rFonts w:ascii="Courier New" w:hAnsi="Courier New"/>
          <w:sz w:val="19"/>
        </w:rPr>
        <w:t>54xx</w:t>
      </w:r>
      <w:r>
        <w:t xml:space="preserve"> vs. </w:t>
      </w:r>
      <w:r>
        <w:rPr>
          <w:rFonts w:ascii="Courier New" w:hAnsi="Courier New"/>
          <w:sz w:val="19"/>
        </w:rPr>
        <w:t>68xx</w:t>
      </w:r>
      <w:r>
        <w:t xml:space="preserve">) explain why </w:t>
      </w:r>
      <w:r>
        <w:rPr>
          <w:rFonts w:ascii="Courier New" w:hAnsi="Courier New"/>
          <w:sz w:val="19"/>
        </w:rPr>
        <w:t>75 kPa Air Shoot</w:t>
      </w:r>
      <w:r>
        <w:t xml:space="preserve"> and </w:t>
      </w:r>
      <w:r>
        <w:rPr>
          <w:rFonts w:ascii="Courier New" w:hAnsi="Courier New"/>
          <w:sz w:val="19"/>
        </w:rPr>
        <w:t>50 kPa + Normoxic O2 Shoot</w:t>
      </w:r>
      <w:r>
        <w:t xml:space="preserve"> had n=4 arrays: in both groups, biological </w:t>
      </w:r>
      <w:r>
        <w:rPr>
          <w:b/>
        </w:rPr>
        <w:t>Replicate A</w:t>
      </w:r>
      <w:r>
        <w:t xml:space="preserve"> was hybridized twice across </w:t>
      </w:r>
      <w:r>
        <w:rPr>
          <w:rFonts w:ascii="Courier New" w:hAnsi="Courier New"/>
          <w:sz w:val="19"/>
        </w:rPr>
        <w:t>54xx</w:t>
      </w:r>
      <w:r>
        <w:t xml:space="preserve"> and </w:t>
      </w:r>
      <w:r>
        <w:rPr>
          <w:rFonts w:ascii="Courier New" w:hAnsi="Courier New"/>
          <w:sz w:val="19"/>
        </w:rPr>
        <w:t>68xx</w:t>
      </w:r>
      <w:r>
        <w:t xml:space="preserve"> scanner runs (</w:t>
      </w:r>
      <w:r>
        <w:rPr>
          <w:rFonts w:ascii="Courier New" w:hAnsi="Courier New"/>
          <w:sz w:val="19"/>
        </w:rPr>
        <w:t>GSM2342806</w:t>
      </w:r>
      <w:r>
        <w:t xml:space="preserve"> [</w:t>
      </w:r>
      <w:r>
        <w:rPr>
          <w:rFonts w:ascii="Courier New" w:hAnsi="Courier New"/>
          <w:sz w:val="19"/>
        </w:rPr>
        <w:t>5411_75_Ashoot</w:t>
      </w:r>
      <w:r>
        <w:t xml:space="preserve">] vs. </w:t>
      </w:r>
      <w:r>
        <w:rPr>
          <w:rFonts w:ascii="Courier New" w:hAnsi="Courier New"/>
          <w:sz w:val="19"/>
        </w:rPr>
        <w:t>GSM2342807</w:t>
      </w:r>
      <w:r>
        <w:t xml:space="preserve"> [</w:t>
      </w:r>
      <w:r>
        <w:rPr>
          <w:rFonts w:ascii="Courier New" w:hAnsi="Courier New"/>
          <w:sz w:val="19"/>
        </w:rPr>
        <w:t>6827_Ferl_75_A_shoot</w:t>
      </w:r>
      <w:r>
        <w:t xml:space="preserve">], genome-wide r = 0.9951; and </w:t>
      </w:r>
      <w:r>
        <w:rPr>
          <w:rFonts w:ascii="Courier New" w:hAnsi="Courier New"/>
          <w:sz w:val="19"/>
        </w:rPr>
        <w:t>GSM2342091</w:t>
      </w:r>
      <w:r>
        <w:t xml:space="preserve"> [</w:t>
      </w:r>
      <w:r>
        <w:rPr>
          <w:rFonts w:ascii="Courier New" w:hAnsi="Courier New"/>
          <w:sz w:val="19"/>
        </w:rPr>
        <w:t>5409_50_O2_Ashoot</w:t>
      </w:r>
      <w:r>
        <w:t xml:space="preserve">] vs. </w:t>
      </w:r>
      <w:r>
        <w:rPr>
          <w:rFonts w:ascii="Courier New" w:hAnsi="Courier New"/>
          <w:sz w:val="19"/>
        </w:rPr>
        <w:t>GSM2342092</w:t>
      </w:r>
      <w:r>
        <w:t xml:space="preserve"> [</w:t>
      </w:r>
      <w:r>
        <w:rPr>
          <w:rFonts w:ascii="Courier New" w:hAnsi="Courier New"/>
          <w:sz w:val="19"/>
        </w:rPr>
        <w:t>6828_Ferl_50_O2_A_shoot</w:t>
      </w:r>
      <w:r>
        <w:t>], genome-wide r = 0.9964; Figure 1D).</w:t>
      </w:r>
    </w:p>
    <w:p>
      <w:r>
        <w:t>#### Technical Re-hybridization Handling Policy</w:t>
      </w:r>
    </w:p>
    <w:p>
      <w:r>
        <w:t>To address pseudo-replication risk, technical repeat pairs were grouped together within the same cross-validation condition group (</w:t>
      </w:r>
      <w:r>
        <w:rPr>
          <w:rFonts w:ascii="Courier New" w:hAnsi="Courier New"/>
          <w:sz w:val="19"/>
        </w:rPr>
        <w:t>group_id</w:t>
      </w:r>
      <w:r>
        <w:t>), preventing train–test information leakage. For downstream linear modeling and hub identification, we conducted a sensitivity analysis comparing models with technical re-hybridizations retained (grouped) versus collapsed (averaged). Gene-wise effect sizes and significance rankings remained virtually identical (r &gt; 0.998 for β_{baro}} and β_{hypo}}), confirming that conclusions are insensitive to technical replicate handling policy.</w:t>
      </w:r>
    </w:p>
    <w:p>
      <w:r>
        <w:t>#### Batch and Study Confounding Assessment</w:t>
      </w:r>
    </w:p>
    <w:p>
      <w:r>
        <w:t>Because the compendium spans multiple GEO series and scanner runs, we assessed whether experimental regimes were aliased with batch provenance. Principal component analysis (PCA) demonstrated that variance is overwhelmingly dominated by biological organ identity (PC1, 62.4% of total variance) and atmospheric treatment regime (PC2, 18.1%), whereas scanner batch prefixes (</w:t>
      </w:r>
      <w:r>
        <w:rPr>
          <w:rFonts w:ascii="Courier New" w:hAnsi="Courier New"/>
          <w:sz w:val="19"/>
        </w:rPr>
        <w:t>54xx</w:t>
      </w:r>
      <w:r>
        <w:t xml:space="preserve"> vs. </w:t>
      </w:r>
      <w:r>
        <w:rPr>
          <w:rFonts w:ascii="Courier New" w:hAnsi="Courier New"/>
          <w:sz w:val="19"/>
        </w:rPr>
        <w:t>68xx</w:t>
      </w:r>
      <w:r>
        <w:t>) accounted for &lt; 1.8\% of residual variance. Furthermore, in multivariable regression controlling for study series and scanner batch as covariates, all primary barosensory and hypoxic hub associations remained significant (p &lt; 10^{-4}), demonstrating that atmospheric signal separation is not an artifact of batch structure.</w:t>
      </w:r>
    </w:p>
    <w:p>
      <w:pPr>
        <w:pStyle w:val="Heading2"/>
      </w:pPr>
      <w:r>
        <w:t>2.2 Workpackage 2: TabPFN v2 Decoupling of Total Barometric Pressure (P_{total}}) from Oxygen Partial Pressure (pO}_2) and Orthogonal Hub Identification</w:t>
      </w:r>
    </w:p>
    <w:p>
      <w:r>
        <w:t>Using the forensically harmonized compendium (</w:t>
      </w:r>
      <w:r>
        <w:rPr>
          <w:rFonts w:ascii="Courier New" w:hAnsi="Courier New"/>
          <w:sz w:val="19"/>
        </w:rPr>
        <w:t>Table_S1_Harmonized_130_Hypobaric_Arrays_Forensic_Audit.csv</w:t>
      </w:r>
      <w:r>
        <w:t>), we formulated two orthogonal physical coordinates relative to the 97 kPa} ISS cabin control (21\%\ O}_2, pO}_2 = 20.37 kPa}):</w:t>
      </w:r>
    </w:p>
    <w:p>
      <w:pPr>
        <w:pStyle w:val="ListNumber"/>
      </w:pPr>
      <w:r>
        <w:rPr>
          <w:b/>
        </w:rPr>
        <w:t>Hypobaria Index (Barosensory / Diffusivity Coordinate):</w:t>
      </w:r>
      <w:r>
        <w:t xml:space="preserve"> HI}_{baro}} = log2(97 / P_{total}}) = log2(D / D_0), scaling from 0.000 (97 kPa}) to +0.371 (75 kPa}), +0.956 (50 kPa}), +1.956 (25 kPa}), +3.278 (10 kPa}), and +4.278 (5 kPa}).</w:t>
      </w:r>
    </w:p>
    <w:p>
      <w:pPr>
        <w:pStyle w:val="ListNumber"/>
      </w:pPr>
      <w:r>
        <w:rPr>
          <w:b/>
        </w:rPr>
        <w:t>Hypoxia Index (Oxygen Deprivation Coordinate):</w:t>
      </w:r>
      <w:r>
        <w:t xml:space="preserve"> HI}_{hypo}} = log2(20.37 / pO}_2), which is 0.000 in normoxic air (97 kPa}) and -0.044 in O}_2-supplemented normoxic hypobaria (50 kPa} / 42\%\ O}_2 and 25 kPa} / 84\%\ O}_2, pO}_2 = 21.0 kPa}), but rises to +0.956 in 50 kPa} Air (pO}_2 = 10.5 kPa}), +1.956 in 25 kPa} Air (pO}_2 = 5.25 kPa}), +1.998 in normobaric hypoxia (97 kPa} / pO}_2 = 5.1 kPa}), and +4.278 in 5 kPa} Air (pO}_2 = 1.05 kPa}).</w:t>
      </w:r>
    </w:p>
    <w:p>
      <w:r>
        <w:t>Across the 58 multi-pressure and O}_2-dissection arrays (</w:t>
      </w:r>
      <w:r>
        <w:rPr>
          <w:rFonts w:ascii="Courier New" w:hAnsi="Courier New"/>
          <w:sz w:val="19"/>
        </w:rPr>
        <w:t>WP2A</w:t>
      </w:r>
      <w:r>
        <w:t xml:space="preserve"> and </w:t>
      </w:r>
      <w:r>
        <w:rPr>
          <w:rFonts w:ascii="Courier New" w:hAnsi="Courier New"/>
          <w:sz w:val="19"/>
        </w:rPr>
        <w:t>WP2B</w:t>
      </w:r>
      <w:r>
        <w:t xml:space="preserve">: </w:t>
      </w:r>
      <w:r>
        <w:rPr>
          <w:rFonts w:ascii="Courier New" w:hAnsi="Courier New"/>
          <w:sz w:val="19"/>
        </w:rPr>
        <w:t>GSE87867</w:t>
      </w:r>
      <w:r>
        <w:t xml:space="preserve">, </w:t>
      </w:r>
      <w:r>
        <w:rPr>
          <w:rFonts w:ascii="Courier New" w:hAnsi="Courier New"/>
          <w:sz w:val="19"/>
        </w:rPr>
        <w:t>GSE87868</w:t>
      </w:r>
      <w:r>
        <w:t xml:space="preserve">, </w:t>
      </w:r>
      <w:r>
        <w:rPr>
          <w:rFonts w:ascii="Courier New" w:hAnsi="Courier New"/>
          <w:sz w:val="19"/>
        </w:rPr>
        <w:t>GSE87903</w:t>
      </w:r>
      <w:r>
        <w:t>), empirical correlation between HI}_{baro}} and HI}_{hypo}} is moderate (R^2 = 0.44), because normoxic O}_2-supplemented hypobaria treatments (50 kPa} + O}_2, 25 kPa} + O}_2) and normobaric hypoxia (97 kPa} / 5.1 kPa}\ O}_2) break collinearity between total pressure and oxygen partial pressure (Figure 1A).</w:t>
      </w:r>
    </w:p>
    <w:p>
      <w:pPr>
        <w:jc w:val="center"/>
      </w:pPr>
      <w:r>
        <w:drawing>
          <wp:inline xmlns:a="http://schemas.openxmlformats.org/drawingml/2006/main" xmlns:pic="http://schemas.openxmlformats.org/drawingml/2006/picture">
            <wp:extent cx="5760720" cy="4374224"/>
            <wp:docPr id="2" name="Picture 2"/>
            <wp:cNvGraphicFramePr>
              <a:graphicFrameLocks noChangeAspect="1"/>
            </wp:cNvGraphicFramePr>
            <a:graphic>
              <a:graphicData uri="http://schemas.openxmlformats.org/drawingml/2006/picture">
                <pic:pic>
                  <pic:nvPicPr>
                    <pic:cNvPr id="0" name="fig2_tabpfn_atmospheric_decoupling.png"/>
                    <pic:cNvPicPr/>
                  </pic:nvPicPr>
                  <pic:blipFill>
                    <a:blip r:embed="rId10"/>
                    <a:stretch>
                      <a:fillRect/>
                    </a:stretch>
                  </pic:blipFill>
                  <pic:spPr>
                    <a:xfrm>
                      <a:off x="0" y="0"/>
                      <a:ext cx="5760720" cy="4374224"/>
                    </a:xfrm>
                    <a:prstGeom prst="rect"/>
                  </pic:spPr>
                </pic:pic>
              </a:graphicData>
            </a:graphic>
          </wp:inline>
        </w:drawing>
      </w:r>
    </w:p>
    <w:p>
      <w:r>
        <w:rPr>
          <w:i/>
        </w:rPr>
      </w:r>
      <w:r>
        <w:rPr>
          <w:i/>
        </w:rPr>
        <w:t xml:space="preserve">Figure 2 | TabPFN v2 decoupling of total barometric pressure (P_{total}}) from oxygen partial pressure (pO}_2) across </w:t>
      </w:r>
      <w:r>
        <w:t>Arabidopsis</w:t>
      </w:r>
      <w:r>
        <w:rPr>
          <w:i/>
        </w:rPr>
        <w:t xml:space="preserve"> spaceflight transcriptomes.</w:t>
      </w:r>
      <w:r>
        <w:rPr>
          <w:i/>
        </w:rPr>
        <w:t xml:space="preserve"> </w:t>
      </w:r>
      <w:r>
        <w:rPr>
          <w:i/>
        </w:rPr>
        <w:t>(A)</w:t>
      </w:r>
      <w:r>
        <w:rPr>
          <w:i/>
        </w:rPr>
        <w:t xml:space="preserve"> Out-of-fold regression performance (`RMSE` and `MAE` with 1,000-bootstrap 95% CIs) across </w:t>
      </w:r>
      <w:r>
        <w:rPr>
          <w:i/>
        </w:rPr>
        <w:t>WP2A</w:t>
      </w:r>
      <w:r>
        <w:rPr>
          <w:i/>
        </w:rPr>
        <w:t xml:space="preserve"> (n=58 multi-pressure arrays, Hypobaria Index log2(97/P_{total}})), </w:t>
      </w:r>
      <w:r>
        <w:rPr>
          <w:i/>
        </w:rPr>
        <w:t>WP2B</w:t>
      </w:r>
      <w:r>
        <w:rPr>
          <w:i/>
        </w:rPr>
        <w:t xml:space="preserve"> (n=58, Hypoxia Index log2(20.37/pO}_2)), and </w:t>
      </w:r>
      <w:r>
        <w:rPr>
          <w:i/>
        </w:rPr>
        <w:t>WP2D</w:t>
      </w:r>
      <w:r>
        <w:rPr>
          <w:i/>
        </w:rPr>
        <w:t xml:space="preserve"> (n=130 full compendium, Hypobaria Index), comparing </w:t>
      </w:r>
      <w:r>
        <w:rPr>
          <w:i/>
        </w:rPr>
        <w:t>TabPFN v2 (PHE)</w:t>
      </w:r>
      <w:r>
        <w:rPr>
          <w:i/>
        </w:rPr>
        <w:t xml:space="preserve"> and </w:t>
      </w:r>
      <w:r>
        <w:rPr>
          <w:i/>
        </w:rPr>
        <w:t>TabPFN v2</w:t>
      </w:r>
      <w:r>
        <w:rPr>
          <w:i/>
        </w:rPr>
        <w:t xml:space="preserve"> against `LightGBM`, `RandomForest`, `ElasticNet`, `Ridge`, `MLP`, and `Dummy` baselines. </w:t>
      </w:r>
      <w:r>
        <w:rPr>
          <w:i/>
        </w:rPr>
        <w:t>(B)</w:t>
      </w:r>
      <w:r>
        <w:rPr>
          <w:i/>
        </w:rPr>
        <w:t xml:space="preserve"> Out-of-fold predicted vs. observed scatter plot for </w:t>
      </w:r>
      <w:r>
        <w:rPr>
          <w:i/>
        </w:rPr>
        <w:t>TabPFN v2 (PHE)</w:t>
      </w:r>
      <w:r>
        <w:rPr>
          <w:i/>
        </w:rPr>
        <w:t xml:space="preserve"> on continuous Hypobaria Index with 1:1 line (R^2 = 0.9134, Spearman ρ = 0.9100 across n=130). </w:t>
      </w:r>
      <w:r>
        <w:rPr>
          <w:i/>
        </w:rPr>
        <w:t>(C)</w:t>
      </w:r>
      <w:r>
        <w:rPr>
          <w:i/>
        </w:rPr>
        <w:t xml:space="preserve"> Out-of-fold predicted vs. observed scatter plot for </w:t>
      </w:r>
      <w:r>
        <w:rPr>
          <w:i/>
        </w:rPr>
        <w:t>TabPFN v2 (PHE)</w:t>
      </w:r>
      <w:r>
        <w:rPr>
          <w:i/>
        </w:rPr>
        <w:t xml:space="preserve"> on continuous Hypoxia Index with 1:1 line (R^2 = 0.9733, ρ = 0.9121 on n=58), colored by mechanistic atmospheric regime and shaped by organ (`Shoot` vs. `Root`). </w:t>
      </w:r>
      <w:r>
        <w:rPr>
          <w:i/>
        </w:rPr>
        <w:t>(D)</w:t>
      </w:r>
      <w:r>
        <w:t xml:space="preserve">* Out-of-fold 4-class atmospheric regime classification confusion matrix (4 × 4, n=58, overall accuracy = 86.21%, </w:t>
      </w:r>
      <w:r>
        <w:rPr>
          <w:rFonts w:ascii="Courier New" w:hAnsi="Courier New"/>
          <w:sz w:val="19"/>
        </w:rPr>
        <w:t>ECE = 0.0608</w:t>
      </w:r>
      <w:r>
        <w:t>).</w:t>
      </w:r>
    </w:p>
    <w:p>
      <w:r>
        <w:t xml:space="preserve">We evaluated all models using leak-free </w:t>
      </w:r>
      <w:r>
        <w:rPr>
          <w:rFonts w:ascii="Courier New" w:hAnsi="Courier New"/>
          <w:sz w:val="19"/>
        </w:rPr>
        <w:t>TabPFNOmicsFeatureBuilder</w:t>
      </w:r>
      <w:r>
        <w:t xml:space="preserve"> pipelines fit strictly inside each cross-validation training fold (</w:t>
      </w:r>
      <w:r>
        <w:rPr>
          <w:rFonts w:ascii="Courier New" w:hAnsi="Courier New"/>
          <w:sz w:val="19"/>
        </w:rPr>
        <w:t>Table_S2A</w:t>
      </w:r>
      <w:r>
        <w:t xml:space="preserve">, </w:t>
      </w:r>
      <w:r>
        <w:rPr>
          <w:rFonts w:ascii="Courier New" w:hAnsi="Courier New"/>
          <w:sz w:val="19"/>
        </w:rPr>
        <w:t>Table_S2B</w:t>
      </w:r>
      <w:r>
        <w:t xml:space="preserve">, </w:t>
      </w:r>
      <w:r>
        <w:rPr>
          <w:rFonts w:ascii="Courier New" w:hAnsi="Courier New"/>
          <w:sz w:val="19"/>
        </w:rPr>
        <w:t>Table_S2C</w:t>
      </w:r>
      <w:r>
        <w:t>; Table 2, Figure 2A–D):</w:t>
      </w:r>
    </w:p>
    <w:p>
      <w:pPr>
        <w:pStyle w:val="ListBullet"/>
      </w:pPr>
      <w:r>
        <w:rPr>
          <w:b/>
        </w:rPr>
        <w:t>WP2A — Continuous Hypobaria Index log2(97/P_{total}}) Regression (n = 58):</w:t>
      </w:r>
      <w:r>
        <w:t xml:space="preserve"> </w:t>
      </w:r>
      <w:r>
        <w:rPr>
          <w:b/>
        </w:rPr>
        <w:t>TabPFN v2</w:t>
      </w:r>
      <w:r>
        <w:t xml:space="preserve"> achieved </w:t>
      </w:r>
      <w:r>
        <w:rPr>
          <w:rFonts w:ascii="Courier New" w:hAnsi="Courier New"/>
          <w:sz w:val="19"/>
        </w:rPr>
        <w:t>RMSE = 0.7471</w:t>
      </w:r>
      <w:r>
        <w:t xml:space="preserve"> (95% CI: </w:t>
      </w:r>
      <w:r>
        <w:rPr>
          <w:rFonts w:ascii="Courier New" w:hAnsi="Courier New"/>
          <w:sz w:val="19"/>
        </w:rPr>
        <w:t>0.5584–0.9155</w:t>
      </w:r>
      <w:r>
        <w:t xml:space="preserve">), </w:t>
      </w:r>
      <w:r>
        <w:rPr>
          <w:rFonts w:ascii="Courier New" w:hAnsi="Courier New"/>
          <w:sz w:val="19"/>
        </w:rPr>
        <w:t>MAE = 0.4994</w:t>
      </w:r>
      <w:r>
        <w:t xml:space="preserve"> (</w:t>
      </w:r>
      <w:r>
        <w:rPr>
          <w:rFonts w:ascii="Courier New" w:hAnsi="Courier New"/>
          <w:sz w:val="19"/>
        </w:rPr>
        <w:t>0.3559–0.6527</w:t>
      </w:r>
      <w:r>
        <w:t>), R^2 = 0.6630 (</w:t>
      </w:r>
      <w:r>
        <w:rPr>
          <w:rFonts w:ascii="Courier New" w:hAnsi="Courier New"/>
          <w:sz w:val="19"/>
        </w:rPr>
        <w:t>0.3667–0.8277</w:t>
      </w:r>
      <w:r>
        <w:t>), and Spearman ρ = 0.6380 (</w:t>
      </w:r>
      <w:r>
        <w:rPr>
          <w:rFonts w:ascii="Courier New" w:hAnsi="Courier New"/>
          <w:sz w:val="19"/>
        </w:rPr>
        <w:t>0.4071–0.8156</w:t>
      </w:r>
      <w:r>
        <w:t xml:space="preserve">), followed closely by </w:t>
      </w:r>
      <w:r>
        <w:rPr>
          <w:b/>
        </w:rPr>
        <w:t>TabPFN v2 (PHE)</w:t>
      </w:r>
      <w:r>
        <w:t xml:space="preserve"> (</w:t>
      </w:r>
      <w:r>
        <w:rPr>
          <w:rFonts w:ascii="Courier New" w:hAnsi="Courier New"/>
          <w:sz w:val="19"/>
        </w:rPr>
        <w:t>RMSE = 0.7768</w:t>
      </w:r>
      <w:r>
        <w:t xml:space="preserve">, </w:t>
      </w:r>
      <w:r>
        <w:rPr>
          <w:rFonts w:ascii="Courier New" w:hAnsi="Courier New"/>
          <w:sz w:val="19"/>
        </w:rPr>
        <w:t>MAE = 0.5144</w:t>
      </w:r>
      <w:r>
        <w:t xml:space="preserve">, ρ = 0.6303). Both TabPFN models outperformed </w:t>
      </w:r>
      <w:r>
        <w:rPr>
          <w:rFonts w:ascii="Courier New" w:hAnsi="Courier New"/>
          <w:sz w:val="19"/>
        </w:rPr>
        <w:t>LightGBM</w:t>
      </w:r>
      <w:r>
        <w:t xml:space="preserve"> (</w:t>
      </w:r>
      <w:r>
        <w:rPr>
          <w:rFonts w:ascii="Courier New" w:hAnsi="Courier New"/>
          <w:sz w:val="19"/>
        </w:rPr>
        <w:t>RMSE = 0.7600</w:t>
      </w:r>
      <w:r>
        <w:t xml:space="preserve">, </w:t>
      </w:r>
      <w:r>
        <w:rPr>
          <w:rFonts w:ascii="Courier New" w:hAnsi="Courier New"/>
          <w:sz w:val="19"/>
        </w:rPr>
        <w:t>MAE = 0.5590</w:t>
      </w:r>
      <w:r>
        <w:t xml:space="preserve">, ρ = 0.5259), </w:t>
      </w:r>
      <w:r>
        <w:rPr>
          <w:rFonts w:ascii="Courier New" w:hAnsi="Courier New"/>
          <w:sz w:val="19"/>
        </w:rPr>
        <w:t>ElasticNet</w:t>
      </w:r>
      <w:r>
        <w:t xml:space="preserve"> (</w:t>
      </w:r>
      <w:r>
        <w:rPr>
          <w:rFonts w:ascii="Courier New" w:hAnsi="Courier New"/>
          <w:sz w:val="19"/>
        </w:rPr>
        <w:t>RMSE = 0.8113</w:t>
      </w:r>
      <w:r>
        <w:t xml:space="preserve">, </w:t>
      </w:r>
      <w:r>
        <w:rPr>
          <w:rFonts w:ascii="Courier New" w:hAnsi="Courier New"/>
          <w:sz w:val="19"/>
        </w:rPr>
        <w:t>MAE = 0.6366</w:t>
      </w:r>
      <w:r>
        <w:t xml:space="preserve">, Wilcoxon paired p = 0.0080), </w:t>
      </w:r>
      <w:r>
        <w:rPr>
          <w:rFonts w:ascii="Courier New" w:hAnsi="Courier New"/>
          <w:sz w:val="19"/>
        </w:rPr>
        <w:t>Ridge</w:t>
      </w:r>
      <w:r>
        <w:t xml:space="preserve"> (</w:t>
      </w:r>
      <w:r>
        <w:rPr>
          <w:rFonts w:ascii="Courier New" w:hAnsi="Courier New"/>
          <w:sz w:val="19"/>
        </w:rPr>
        <w:t>RMSE = 0.8204</w:t>
      </w:r>
      <w:r>
        <w:t xml:space="preserve">, </w:t>
      </w:r>
      <w:r>
        <w:rPr>
          <w:rFonts w:ascii="Courier New" w:hAnsi="Courier New"/>
          <w:sz w:val="19"/>
        </w:rPr>
        <w:t>MAE = 0.6484</w:t>
      </w:r>
      <w:r>
        <w:t xml:space="preserve">, p = 0.0196), </w:t>
      </w:r>
      <w:r>
        <w:rPr>
          <w:rFonts w:ascii="Courier New" w:hAnsi="Courier New"/>
          <w:sz w:val="19"/>
        </w:rPr>
        <w:t>RandomForest</w:t>
      </w:r>
      <w:r>
        <w:t xml:space="preserve"> (</w:t>
      </w:r>
      <w:r>
        <w:rPr>
          <w:rFonts w:ascii="Courier New" w:hAnsi="Courier New"/>
          <w:sz w:val="19"/>
        </w:rPr>
        <w:t>RMSE = 0.8450</w:t>
      </w:r>
      <w:r>
        <w:t xml:space="preserve">, </w:t>
      </w:r>
      <w:r>
        <w:rPr>
          <w:rFonts w:ascii="Courier New" w:hAnsi="Courier New"/>
          <w:sz w:val="19"/>
        </w:rPr>
        <w:t>MAE = 0.6613</w:t>
      </w:r>
      <w:r>
        <w:t xml:space="preserve">, p = 0.0226), and </w:t>
      </w:r>
      <w:r>
        <w:rPr>
          <w:rFonts w:ascii="Courier New" w:hAnsi="Courier New"/>
          <w:sz w:val="19"/>
        </w:rPr>
        <w:t>MLP</w:t>
      </w:r>
      <w:r>
        <w:t xml:space="preserve"> (</w:t>
      </w:r>
      <w:r>
        <w:rPr>
          <w:rFonts w:ascii="Courier New" w:hAnsi="Courier New"/>
          <w:sz w:val="19"/>
        </w:rPr>
        <w:t>RMSE = 0.8687</w:t>
      </w:r>
      <w:r>
        <w:t xml:space="preserve">, </w:t>
      </w:r>
      <w:r>
        <w:rPr>
          <w:rFonts w:ascii="Courier New" w:hAnsi="Courier New"/>
          <w:sz w:val="19"/>
        </w:rPr>
        <w:t>MAE = 0.6712</w:t>
      </w:r>
      <w:r>
        <w:t>, p = 0.0039).</w:t>
      </w:r>
    </w:p>
    <w:p>
      <w:pPr>
        <w:pStyle w:val="ListBullet"/>
      </w:pPr>
      <w:r>
        <w:rPr>
          <w:b/>
        </w:rPr>
        <w:t>WP2D — Full-Compendium Hypobaria Index Regression (n = 130):</w:t>
      </w:r>
      <w:r>
        <w:t xml:space="preserve"> Across all 130 unique hypobaric arrays, </w:t>
      </w:r>
      <w:r>
        <w:rPr>
          <w:b/>
        </w:rPr>
        <w:t>TabPFN v2 (PHE)</w:t>
      </w:r>
      <w:r>
        <w:t xml:space="preserve"> achieved </w:t>
      </w:r>
      <w:r>
        <w:rPr>
          <w:rFonts w:ascii="Courier New" w:hAnsi="Courier New"/>
          <w:sz w:val="19"/>
        </w:rPr>
        <w:t>RMSE = 0.4425</w:t>
      </w:r>
      <w:r>
        <w:t xml:space="preserve"> (</w:t>
      </w:r>
      <w:r>
        <w:rPr>
          <w:rFonts w:ascii="Courier New" w:hAnsi="Courier New"/>
          <w:sz w:val="19"/>
        </w:rPr>
        <w:t>0.3511–0.5226</w:t>
      </w:r>
      <w:r>
        <w:t xml:space="preserve">), </w:t>
      </w:r>
      <w:r>
        <w:rPr>
          <w:rFonts w:ascii="Courier New" w:hAnsi="Courier New"/>
          <w:sz w:val="19"/>
        </w:rPr>
        <w:t>MAE = 0.2447</w:t>
      </w:r>
      <w:r>
        <w:t xml:space="preserve"> (</w:t>
      </w:r>
      <w:r>
        <w:rPr>
          <w:rFonts w:ascii="Courier New" w:hAnsi="Courier New"/>
          <w:sz w:val="19"/>
        </w:rPr>
        <w:t>0.1794–0.3072</w:t>
      </w:r>
      <w:r>
        <w:t>), R^2 = 0.9134 (</w:t>
      </w:r>
      <w:r>
        <w:rPr>
          <w:rFonts w:ascii="Courier New" w:hAnsi="Courier New"/>
          <w:sz w:val="19"/>
        </w:rPr>
        <w:t>0.8731–0.9460</w:t>
      </w:r>
      <w:r>
        <w:t>), and Spearman ρ = 0.9100 (</w:t>
      </w:r>
      <w:r>
        <w:rPr>
          <w:rFonts w:ascii="Courier New" w:hAnsi="Courier New"/>
          <w:sz w:val="19"/>
        </w:rPr>
        <w:t>0.8720–0.9335</w:t>
      </w:r>
      <w:r>
        <w:t xml:space="preserve">), outperforming single </w:t>
      </w:r>
      <w:r>
        <w:rPr>
          <w:b/>
        </w:rPr>
        <w:t>TabPFN v2</w:t>
      </w:r>
      <w:r>
        <w:t xml:space="preserve"> (</w:t>
      </w:r>
      <w:r>
        <w:rPr>
          <w:rFonts w:ascii="Courier New" w:hAnsi="Courier New"/>
          <w:sz w:val="19"/>
        </w:rPr>
        <w:t>RMSE = 0.4589</w:t>
      </w:r>
      <w:r>
        <w:t xml:space="preserve">, p = 0.0071), </w:t>
      </w:r>
      <w:r>
        <w:rPr>
          <w:rFonts w:ascii="Courier New" w:hAnsi="Courier New"/>
          <w:sz w:val="19"/>
        </w:rPr>
        <w:t>Ridge</w:t>
      </w:r>
      <w:r>
        <w:t xml:space="preserve"> (</w:t>
      </w:r>
      <w:r>
        <w:rPr>
          <w:rFonts w:ascii="Courier New" w:hAnsi="Courier New"/>
          <w:sz w:val="19"/>
        </w:rPr>
        <w:t>RMSE = 0.5650</w:t>
      </w:r>
      <w:r>
        <w:t xml:space="preserve">, </w:t>
      </w:r>
      <w:r>
        <w:rPr>
          <w:rFonts w:ascii="Courier New" w:hAnsi="Courier New"/>
          <w:sz w:val="19"/>
        </w:rPr>
        <w:t>MAE = 0.4084</w:t>
      </w:r>
      <w:r>
        <w:t xml:space="preserve">, p = 1.42 × 10^{-6}), </w:t>
      </w:r>
      <w:r>
        <w:rPr>
          <w:rFonts w:ascii="Courier New" w:hAnsi="Courier New"/>
          <w:sz w:val="19"/>
        </w:rPr>
        <w:t>ElasticNet</w:t>
      </w:r>
      <w:r>
        <w:t xml:space="preserve"> (</w:t>
      </w:r>
      <w:r>
        <w:rPr>
          <w:rFonts w:ascii="Courier New" w:hAnsi="Courier New"/>
          <w:sz w:val="19"/>
        </w:rPr>
        <w:t>RMSE = 0.6093</w:t>
      </w:r>
      <w:r>
        <w:t xml:space="preserve">, </w:t>
      </w:r>
      <w:r>
        <w:rPr>
          <w:rFonts w:ascii="Courier New" w:hAnsi="Courier New"/>
          <w:sz w:val="19"/>
        </w:rPr>
        <w:t>MAE = 0.4593</w:t>
      </w:r>
      <w:r>
        <w:t xml:space="preserve">, p = 2.93 × 10^{-8}), </w:t>
      </w:r>
      <w:r>
        <w:rPr>
          <w:rFonts w:ascii="Courier New" w:hAnsi="Courier New"/>
          <w:sz w:val="19"/>
        </w:rPr>
        <w:t>RandomForest</w:t>
      </w:r>
      <w:r>
        <w:t xml:space="preserve"> (</w:t>
      </w:r>
      <w:r>
        <w:rPr>
          <w:rFonts w:ascii="Courier New" w:hAnsi="Courier New"/>
          <w:sz w:val="19"/>
        </w:rPr>
        <w:t>RMSE = 0.6160</w:t>
      </w:r>
      <w:r>
        <w:t xml:space="preserve">, </w:t>
      </w:r>
      <w:r>
        <w:rPr>
          <w:rFonts w:ascii="Courier New" w:hAnsi="Courier New"/>
          <w:sz w:val="19"/>
        </w:rPr>
        <w:t>MAE = 0.4188</w:t>
      </w:r>
      <w:r>
        <w:t xml:space="preserve">, p = 7.50 × 10^{-6}), and </w:t>
      </w:r>
      <w:r>
        <w:rPr>
          <w:rFonts w:ascii="Courier New" w:hAnsi="Courier New"/>
          <w:sz w:val="19"/>
        </w:rPr>
        <w:t>LightGBM</w:t>
      </w:r>
      <w:r>
        <w:t xml:space="preserve"> (</w:t>
      </w:r>
      <w:r>
        <w:rPr>
          <w:rFonts w:ascii="Courier New" w:hAnsi="Courier New"/>
          <w:sz w:val="19"/>
        </w:rPr>
        <w:t>RMSE = 0.6731</w:t>
      </w:r>
      <w:r>
        <w:t xml:space="preserve">, </w:t>
      </w:r>
      <w:r>
        <w:rPr>
          <w:rFonts w:ascii="Courier New" w:hAnsi="Courier New"/>
          <w:sz w:val="19"/>
        </w:rPr>
        <w:t>MAE = 0.4216</w:t>
      </w:r>
      <w:r>
        <w:t>, p = 4.83 × 10^{-6}).</w:t>
      </w:r>
    </w:p>
    <w:p>
      <w:pPr>
        <w:pStyle w:val="ListBullet"/>
      </w:pPr>
      <w:r>
        <w:rPr>
          <w:b/>
        </w:rPr>
        <w:t>WP2B — Continuous Hypoxia Index log2(20.37/pO}_2) Regression (n = 58):</w:t>
      </w:r>
      <w:r>
        <w:t xml:space="preserve"> </w:t>
      </w:r>
      <w:r>
        <w:rPr>
          <w:b/>
        </w:rPr>
        <w:t>TabPFN v2 (PHE)</w:t>
      </w:r>
      <w:r>
        <w:t xml:space="preserve"> achieved </w:t>
      </w:r>
      <w:r>
        <w:rPr>
          <w:rFonts w:ascii="Courier New" w:hAnsi="Courier New"/>
          <w:sz w:val="19"/>
        </w:rPr>
        <w:t>RMSE = 0.2247</w:t>
      </w:r>
      <w:r>
        <w:t xml:space="preserve"> (</w:t>
      </w:r>
      <w:r>
        <w:rPr>
          <w:rFonts w:ascii="Courier New" w:hAnsi="Courier New"/>
          <w:sz w:val="19"/>
        </w:rPr>
        <w:t>0.1649–0.2812</w:t>
      </w:r>
      <w:r>
        <w:t xml:space="preserve">), </w:t>
      </w:r>
      <w:r>
        <w:rPr>
          <w:rFonts w:ascii="Courier New" w:hAnsi="Courier New"/>
          <w:sz w:val="19"/>
        </w:rPr>
        <w:t>MAE = 0.1382</w:t>
      </w:r>
      <w:r>
        <w:t xml:space="preserve"> (</w:t>
      </w:r>
      <w:r>
        <w:rPr>
          <w:rFonts w:ascii="Courier New" w:hAnsi="Courier New"/>
          <w:sz w:val="19"/>
        </w:rPr>
        <w:t>0.0972–0.1855</w:t>
      </w:r>
      <w:r>
        <w:t>), R^2 = 0.9733 (</w:t>
      </w:r>
      <w:r>
        <w:rPr>
          <w:rFonts w:ascii="Courier New" w:hAnsi="Courier New"/>
          <w:sz w:val="19"/>
        </w:rPr>
        <w:t>0.9500–0.9864</w:t>
      </w:r>
      <w:r>
        <w:t>), and Spearman ρ = 0.9121 (</w:t>
      </w:r>
      <w:r>
        <w:rPr>
          <w:rFonts w:ascii="Courier New" w:hAnsi="Courier New"/>
          <w:sz w:val="19"/>
        </w:rPr>
        <w:t>0.8263–0.9591</w:t>
      </w:r>
      <w:r>
        <w:t xml:space="preserve">), representing a </w:t>
      </w:r>
      <w:r>
        <w:rPr>
          <w:b/>
        </w:rPr>
        <w:t>30.1% to 54.7% reduction in RMSE</w:t>
      </w:r>
      <w:r>
        <w:t xml:space="preserve"> compared with </w:t>
      </w:r>
      <w:r>
        <w:rPr>
          <w:rFonts w:ascii="Courier New" w:hAnsi="Courier New"/>
          <w:sz w:val="19"/>
        </w:rPr>
        <w:t>ElasticNet</w:t>
      </w:r>
      <w:r>
        <w:t xml:space="preserve"> (</w:t>
      </w:r>
      <w:r>
        <w:rPr>
          <w:rFonts w:ascii="Courier New" w:hAnsi="Courier New"/>
          <w:sz w:val="19"/>
        </w:rPr>
        <w:t>RMSE = 0.3213</w:t>
      </w:r>
      <w:r>
        <w:t xml:space="preserve">, p = 2.25 × 10^{-5}), </w:t>
      </w:r>
      <w:r>
        <w:rPr>
          <w:rFonts w:ascii="Courier New" w:hAnsi="Courier New"/>
          <w:sz w:val="19"/>
        </w:rPr>
        <w:t>Ridge</w:t>
      </w:r>
      <w:r>
        <w:t xml:space="preserve"> (</w:t>
      </w:r>
      <w:r>
        <w:rPr>
          <w:rFonts w:ascii="Courier New" w:hAnsi="Courier New"/>
          <w:sz w:val="19"/>
        </w:rPr>
        <w:t>RMSE = 0.3382</w:t>
      </w:r>
      <w:r>
        <w:t xml:space="preserve">, p = 5.60 × 10^{-6}), </w:t>
      </w:r>
      <w:r>
        <w:rPr>
          <w:rFonts w:ascii="Courier New" w:hAnsi="Courier New"/>
          <w:sz w:val="19"/>
        </w:rPr>
        <w:t>MLP</w:t>
      </w:r>
      <w:r>
        <w:t xml:space="preserve"> (</w:t>
      </w:r>
      <w:r>
        <w:rPr>
          <w:rFonts w:ascii="Courier New" w:hAnsi="Courier New"/>
          <w:sz w:val="19"/>
        </w:rPr>
        <w:t>RMSE = 0.3592</w:t>
      </w:r>
      <w:r>
        <w:t xml:space="preserve">, p = 6.03 × 10^{-6}), </w:t>
      </w:r>
      <w:r>
        <w:rPr>
          <w:rFonts w:ascii="Courier New" w:hAnsi="Courier New"/>
          <w:sz w:val="19"/>
        </w:rPr>
        <w:t>RandomForest</w:t>
      </w:r>
      <w:r>
        <w:t xml:space="preserve"> (</w:t>
      </w:r>
      <w:r>
        <w:rPr>
          <w:rFonts w:ascii="Courier New" w:hAnsi="Courier New"/>
          <w:sz w:val="19"/>
        </w:rPr>
        <w:t>RMSE = 0.4274</w:t>
      </w:r>
      <w:r>
        <w:t xml:space="preserve">, p = 6.25 × 10^{-6}), and </w:t>
      </w:r>
      <w:r>
        <w:rPr>
          <w:rFonts w:ascii="Courier New" w:hAnsi="Courier New"/>
          <w:sz w:val="19"/>
        </w:rPr>
        <w:t>LightGBM</w:t>
      </w:r>
      <w:r>
        <w:t xml:space="preserve"> (</w:t>
      </w:r>
      <w:r>
        <w:rPr>
          <w:rFonts w:ascii="Courier New" w:hAnsi="Courier New"/>
          <w:sz w:val="19"/>
        </w:rPr>
        <w:t>RMSE = 0.4956</w:t>
      </w:r>
      <w:r>
        <w:t>, p = 0.0013).</w:t>
      </w:r>
    </w:p>
    <w:p>
      <w:pPr>
        <w:pStyle w:val="ListBullet"/>
      </w:pPr>
      <w:r>
        <w:rPr>
          <w:b/>
        </w:rPr>
        <w:t>WP2C — 4-Class Mechanistic Atmospheric Regime Classification (n = 58):</w:t>
      </w:r>
      <w:r>
        <w:t xml:space="preserve"> In classifying arrays into </w:t>
      </w:r>
      <w:r>
        <w:rPr>
          <w:rFonts w:ascii="Courier New" w:hAnsi="Courier New"/>
          <w:sz w:val="19"/>
        </w:rPr>
        <w:t>Normobaric_Normoxia</w:t>
      </w:r>
      <w:r>
        <w:t xml:space="preserve"> (n=20), </w:t>
      </w:r>
      <w:r>
        <w:rPr>
          <w:rFonts w:ascii="Courier New" w:hAnsi="Courier New"/>
          <w:sz w:val="19"/>
        </w:rPr>
        <w:t>Hypobaric_Hypoxia</w:t>
      </w:r>
      <w:r>
        <w:t xml:space="preserve"> (n=16), </w:t>
      </w:r>
      <w:r>
        <w:rPr>
          <w:rFonts w:ascii="Courier New" w:hAnsi="Courier New"/>
          <w:sz w:val="19"/>
        </w:rPr>
        <w:t>Pure_Hypobaria_NormoxicO2</w:t>
      </w:r>
      <w:r>
        <w:t xml:space="preserve"> (n=13), and </w:t>
      </w:r>
      <w:r>
        <w:rPr>
          <w:rFonts w:ascii="Courier New" w:hAnsi="Courier New"/>
          <w:sz w:val="19"/>
        </w:rPr>
        <w:t>Normobaric_Hypoxia</w:t>
      </w:r>
      <w:r>
        <w:t xml:space="preserve"> (n=9), </w:t>
      </w:r>
      <w:r>
        <w:rPr>
          <w:b/>
        </w:rPr>
        <w:t>TabPFN v2</w:t>
      </w:r>
      <w:r>
        <w:t xml:space="preserve"> achieved </w:t>
      </w:r>
      <w:r>
        <w:rPr>
          <w:rFonts w:ascii="Courier New" w:hAnsi="Courier New"/>
          <w:sz w:val="19"/>
        </w:rPr>
        <w:t>ROC_AUC = 0.9623</w:t>
      </w:r>
      <w:r>
        <w:t xml:space="preserve"> (</w:t>
      </w:r>
      <w:r>
        <w:rPr>
          <w:rFonts w:ascii="Courier New" w:hAnsi="Courier New"/>
          <w:sz w:val="19"/>
        </w:rPr>
        <w:t>0.9249–0.9913</w:t>
      </w:r>
      <w:r>
        <w:t xml:space="preserve">), </w:t>
      </w:r>
      <w:r>
        <w:rPr>
          <w:rFonts w:ascii="Courier New" w:hAnsi="Courier New"/>
          <w:sz w:val="19"/>
        </w:rPr>
        <w:t>PR_AUC = 0.8993</w:t>
      </w:r>
      <w:r>
        <w:t xml:space="preserve"> (</w:t>
      </w:r>
      <w:r>
        <w:rPr>
          <w:rFonts w:ascii="Courier New" w:hAnsi="Courier New"/>
          <w:sz w:val="19"/>
        </w:rPr>
        <w:t>0.8113–0.9748</w:t>
      </w:r>
      <w:r>
        <w:t xml:space="preserve">), </w:t>
      </w:r>
      <w:r>
        <w:rPr>
          <w:rFonts w:ascii="Courier New" w:hAnsi="Courier New"/>
          <w:sz w:val="19"/>
        </w:rPr>
        <w:t>Accuracy = 86.21%</w:t>
      </w:r>
      <w:r>
        <w:t xml:space="preserve">, </w:t>
      </w:r>
      <w:r>
        <w:rPr>
          <w:rFonts w:ascii="Courier New" w:hAnsi="Courier New"/>
          <w:sz w:val="19"/>
        </w:rPr>
        <w:t>Brier_Score = 0.2290</w:t>
      </w:r>
      <w:r>
        <w:t xml:space="preserve"> (</w:t>
      </w:r>
      <w:r>
        <w:rPr>
          <w:rFonts w:ascii="Courier New" w:hAnsi="Courier New"/>
          <w:sz w:val="19"/>
        </w:rPr>
        <w:t>0.1394–0.3323</w:t>
      </w:r>
      <w:r>
        <w:t xml:space="preserve">), and </w:t>
      </w:r>
      <w:r>
        <w:rPr>
          <w:rFonts w:ascii="Courier New" w:hAnsi="Courier New"/>
          <w:sz w:val="19"/>
        </w:rPr>
        <w:t>ECE = 0.0608</w:t>
      </w:r>
      <w:r>
        <w:t xml:space="preserve">, outperforming </w:t>
      </w:r>
      <w:r>
        <w:rPr>
          <w:rFonts w:ascii="Courier New" w:hAnsi="Courier New"/>
          <w:sz w:val="19"/>
        </w:rPr>
        <w:t>MLP</w:t>
      </w:r>
      <w:r>
        <w:t xml:space="preserve"> (</w:t>
      </w:r>
      <w:r>
        <w:rPr>
          <w:rFonts w:ascii="Courier New" w:hAnsi="Courier New"/>
          <w:sz w:val="19"/>
        </w:rPr>
        <w:t>ROC_AUC = 0.9413</w:t>
      </w:r>
      <w:r>
        <w:t xml:space="preserve">, </w:t>
      </w:r>
      <w:r>
        <w:rPr>
          <w:rFonts w:ascii="Courier New" w:hAnsi="Courier New"/>
          <w:sz w:val="19"/>
        </w:rPr>
        <w:t>Accuracy = 84.48%</w:t>
      </w:r>
      <w:r>
        <w:t xml:space="preserve">, </w:t>
      </w:r>
      <w:r>
        <w:rPr>
          <w:rFonts w:ascii="Courier New" w:hAnsi="Courier New"/>
          <w:sz w:val="19"/>
        </w:rPr>
        <w:t>ECE = 0.1636</w:t>
      </w:r>
      <w:r>
        <w:t xml:space="preserve">), </w:t>
      </w:r>
      <w:r>
        <w:rPr>
          <w:rFonts w:ascii="Courier New" w:hAnsi="Courier New"/>
          <w:sz w:val="19"/>
        </w:rPr>
        <w:t>Ridge</w:t>
      </w:r>
      <w:r>
        <w:t xml:space="preserve"> (</w:t>
      </w:r>
      <w:r>
        <w:rPr>
          <w:rFonts w:ascii="Courier New" w:hAnsi="Courier New"/>
          <w:sz w:val="19"/>
        </w:rPr>
        <w:t>ROC_AUC = 0.9319</w:t>
      </w:r>
      <w:r>
        <w:t xml:space="preserve">, </w:t>
      </w:r>
      <w:r>
        <w:rPr>
          <w:rFonts w:ascii="Courier New" w:hAnsi="Courier New"/>
          <w:sz w:val="19"/>
        </w:rPr>
        <w:t>Accuracy = 81.03%</w:t>
      </w:r>
      <w:r>
        <w:t xml:space="preserve">), </w:t>
      </w:r>
      <w:r>
        <w:rPr>
          <w:rFonts w:ascii="Courier New" w:hAnsi="Courier New"/>
          <w:sz w:val="19"/>
        </w:rPr>
        <w:t>ElasticNet</w:t>
      </w:r>
      <w:r>
        <w:t xml:space="preserve"> (</w:t>
      </w:r>
      <w:r>
        <w:rPr>
          <w:rFonts w:ascii="Courier New" w:hAnsi="Courier New"/>
          <w:sz w:val="19"/>
        </w:rPr>
        <w:t>ROC_AUC = 0.9148</w:t>
      </w:r>
      <w:r>
        <w:t xml:space="preserve">, </w:t>
      </w:r>
      <w:r>
        <w:rPr>
          <w:rFonts w:ascii="Courier New" w:hAnsi="Courier New"/>
          <w:sz w:val="19"/>
        </w:rPr>
        <w:t>Accuracy = 81.03%</w:t>
      </w:r>
      <w:r>
        <w:t xml:space="preserve">), </w:t>
      </w:r>
      <w:r>
        <w:rPr>
          <w:rFonts w:ascii="Courier New" w:hAnsi="Courier New"/>
          <w:sz w:val="19"/>
        </w:rPr>
        <w:t>RandomForest</w:t>
      </w:r>
      <w:r>
        <w:t xml:space="preserve"> (</w:t>
      </w:r>
      <w:r>
        <w:rPr>
          <w:rFonts w:ascii="Courier New" w:hAnsi="Courier New"/>
          <w:sz w:val="19"/>
        </w:rPr>
        <w:t>ROC_AUC = 0.9047</w:t>
      </w:r>
      <w:r>
        <w:t xml:space="preserve">, </w:t>
      </w:r>
      <w:r>
        <w:rPr>
          <w:rFonts w:ascii="Courier New" w:hAnsi="Courier New"/>
          <w:sz w:val="19"/>
        </w:rPr>
        <w:t>Accuracy = 72.41%</w:t>
      </w:r>
      <w:r>
        <w:t xml:space="preserve">), and </w:t>
      </w:r>
      <w:r>
        <w:rPr>
          <w:rFonts w:ascii="Courier New" w:hAnsi="Courier New"/>
          <w:sz w:val="19"/>
        </w:rPr>
        <w:t>LightGBM</w:t>
      </w:r>
      <w:r>
        <w:t xml:space="preserve"> (</w:t>
      </w:r>
      <w:r>
        <w:rPr>
          <w:rFonts w:ascii="Courier New" w:hAnsi="Courier New"/>
          <w:sz w:val="19"/>
        </w:rPr>
        <w:t>ROC_AUC = 0.8390</w:t>
      </w:r>
      <w:r>
        <w:t xml:space="preserve">, </w:t>
      </w:r>
      <w:r>
        <w:rPr>
          <w:rFonts w:ascii="Courier New" w:hAnsi="Courier New"/>
          <w:sz w:val="19"/>
        </w:rPr>
        <w:t>Accuracy = 63.79%</w:t>
      </w:r>
      <w:r>
        <w:t xml:space="preserve">, </w:t>
      </w:r>
      <w:r>
        <w:rPr>
          <w:rFonts w:ascii="Courier New" w:hAnsi="Courier New"/>
          <w:sz w:val="19"/>
        </w:rPr>
        <w:t>Brier_Score = 0.5670</w:t>
      </w:r>
      <w:r>
        <w:t>; Figure 2D).</w:t>
      </w:r>
    </w:p>
    <w:tbl>
      <w:tblPr>
        <w:tblStyle w:val="TableGrid"/>
        <w:tblW w:type="auto" w:w="0"/>
        <w:jc w:val="center"/>
        <w:tblLook w:firstColumn="1" w:firstRow="1" w:lastColumn="0" w:lastRow="0" w:noHBand="0" w:noVBand="1" w:val="04A0"/>
      </w:tblPr>
      <w:tblGrid>
        <w:gridCol w:w="1234"/>
        <w:gridCol w:w="1234"/>
        <w:gridCol w:w="1234"/>
        <w:gridCol w:w="1234"/>
        <w:gridCol w:w="1234"/>
        <w:gridCol w:w="1234"/>
        <w:gridCol w:w="1234"/>
      </w:tblGrid>
      <w:tr>
        <w:tc>
          <w:tcPr>
            <w:tcW w:type="dxa" w:w="1234"/>
          </w:tcPr>
          <w:p>
            <w:r>
              <w:rPr>
                <w:b/>
                <w:sz w:val="17"/>
              </w:rPr>
              <w:t>Benchmark Task</w:t>
            </w:r>
          </w:p>
        </w:tc>
        <w:tc>
          <w:tcPr>
            <w:tcW w:type="dxa" w:w="1234"/>
          </w:tcPr>
          <w:p>
            <w:r>
              <w:rPr>
                <w:b/>
                <w:sz w:val="17"/>
              </w:rPr>
              <w:t>Model</w:t>
            </w:r>
          </w:p>
        </w:tc>
        <w:tc>
          <w:tcPr>
            <w:tcW w:type="dxa" w:w="1234"/>
          </w:tcPr>
          <w:p>
            <w:r>
              <w:rPr>
                <w:b/>
                <w:sz w:val="17"/>
              </w:rPr>
              <w:t>RMSE (95% CI)</w:t>
            </w:r>
          </w:p>
        </w:tc>
        <w:tc>
          <w:tcPr>
            <w:tcW w:type="dxa" w:w="1234"/>
          </w:tcPr>
          <w:p>
            <w:r>
              <w:rPr>
                <w:b/>
                <w:sz w:val="17"/>
              </w:rPr>
              <w:t>MAE (95% CI)</w:t>
            </w:r>
          </w:p>
        </w:tc>
        <w:tc>
          <w:tcPr>
            <w:tcW w:type="dxa" w:w="1234"/>
          </w:tcPr>
          <w:p>
            <w:r>
              <w:rPr>
                <w:b/>
                <w:sz w:val="17"/>
              </w:rPr>
              <w:t>R^2 (95% CI)</w:t>
            </w:r>
          </w:p>
        </w:tc>
        <w:tc>
          <w:tcPr>
            <w:tcW w:type="dxa" w:w="1234"/>
          </w:tcPr>
          <w:p>
            <w:r>
              <w:rPr>
                <w:b/>
                <w:sz w:val="17"/>
              </w:rPr>
              <w:t>Spearman ρ (95% CI)</w:t>
            </w:r>
          </w:p>
        </w:tc>
        <w:tc>
          <w:tcPr>
            <w:tcW w:type="dxa" w:w="1234"/>
          </w:tcPr>
          <w:p>
            <w:r>
              <w:rPr>
                <w:b/>
                <w:sz w:val="17"/>
              </w:rPr>
              <w:t>Wilcoxon p vs. TabPFN (PHE)</w:t>
            </w:r>
          </w:p>
        </w:tc>
      </w:tr>
      <w:tr>
        <w:tc>
          <w:tcPr>
            <w:tcW w:type="dxa" w:w="1234"/>
          </w:tcPr>
          <w:p>
            <w:r>
              <w:rPr>
                <w:b/>
                <w:sz w:val="17"/>
              </w:rPr>
              <w:t>WP2A: Hypobaria Index</w:t>
            </w:r>
          </w:p>
        </w:tc>
        <w:tc>
          <w:tcPr>
            <w:tcW w:type="dxa" w:w="1234"/>
          </w:tcPr>
          <w:p>
            <w:r>
              <w:rPr>
                <w:b/>
                <w:sz w:val="17"/>
              </w:rPr>
              <w:t>TabPFN v2</w:t>
            </w:r>
          </w:p>
        </w:tc>
        <w:tc>
          <w:tcPr>
            <w:tcW w:type="dxa" w:w="1234"/>
          </w:tcPr>
          <w:p>
            <w:r>
              <w:rPr>
                <w:b/>
                <w:sz w:val="17"/>
              </w:rPr>
              <w:t>0.7471</w:t>
            </w:r>
            <w:r>
              <w:rPr>
                <w:sz w:val="17"/>
              </w:rPr>
              <w:t xml:space="preserve"> (0.5584–0.9155)</w:t>
            </w:r>
          </w:p>
        </w:tc>
        <w:tc>
          <w:tcPr>
            <w:tcW w:type="dxa" w:w="1234"/>
          </w:tcPr>
          <w:p>
            <w:r>
              <w:rPr>
                <w:b/>
                <w:sz w:val="17"/>
              </w:rPr>
              <w:t>0.4994</w:t>
            </w:r>
            <w:r>
              <w:rPr>
                <w:sz w:val="17"/>
              </w:rPr>
              <w:t xml:space="preserve"> (0.3559–0.6527)</w:t>
            </w:r>
          </w:p>
        </w:tc>
        <w:tc>
          <w:tcPr>
            <w:tcW w:type="dxa" w:w="1234"/>
          </w:tcPr>
          <w:p>
            <w:r>
              <w:rPr>
                <w:b/>
                <w:sz w:val="17"/>
              </w:rPr>
              <w:t>0.6630</w:t>
            </w:r>
            <w:r>
              <w:rPr>
                <w:sz w:val="17"/>
              </w:rPr>
              <w:t xml:space="preserve"> (0.3667–0.8277)</w:t>
            </w:r>
          </w:p>
        </w:tc>
        <w:tc>
          <w:tcPr>
            <w:tcW w:type="dxa" w:w="1234"/>
          </w:tcPr>
          <w:p>
            <w:r>
              <w:rPr>
                <w:b/>
                <w:sz w:val="17"/>
              </w:rPr>
              <w:t>0.6380</w:t>
            </w:r>
            <w:r>
              <w:rPr>
                <w:sz w:val="17"/>
              </w:rPr>
              <w:t xml:space="preserve"> (0.4071–0.8156)</w:t>
            </w:r>
          </w:p>
        </w:tc>
        <w:tc>
          <w:tcPr>
            <w:tcW w:type="dxa" w:w="1234"/>
          </w:tcPr>
          <w:p>
            <w:r>
              <w:rPr>
                <w:sz w:val="17"/>
              </w:rPr>
              <w:t>0.1842</w:t>
            </w:r>
          </w:p>
        </w:tc>
      </w:tr>
      <w:tr>
        <w:tc>
          <w:tcPr>
            <w:tcW w:type="dxa" w:w="1234"/>
          </w:tcPr>
          <w:p>
            <w:r>
              <w:rPr>
                <w:sz w:val="17"/>
              </w:rPr>
              <w:t>log2(97/P_{total}}) (n=58)</w:t>
            </w:r>
          </w:p>
        </w:tc>
        <w:tc>
          <w:tcPr>
            <w:tcW w:type="dxa" w:w="1234"/>
          </w:tcPr>
          <w:p>
            <w:r>
              <w:rPr>
                <w:b/>
                <w:sz w:val="17"/>
              </w:rPr>
              <w:t>TabPFN v2 (PHE)</w:t>
            </w:r>
          </w:p>
        </w:tc>
        <w:tc>
          <w:tcPr>
            <w:tcW w:type="dxa" w:w="1234"/>
          </w:tcPr>
          <w:p>
            <w:r>
              <w:rPr>
                <w:sz w:val="17"/>
              </w:rPr>
              <w:t>0.7768 (0.5751–0.9634)</w:t>
            </w:r>
          </w:p>
        </w:tc>
        <w:tc>
          <w:tcPr>
            <w:tcW w:type="dxa" w:w="1234"/>
          </w:tcPr>
          <w:p>
            <w:r>
              <w:rPr>
                <w:sz w:val="17"/>
              </w:rPr>
              <w:t>0.5144 (0.3644–0.6698)</w:t>
            </w:r>
          </w:p>
        </w:tc>
        <w:tc>
          <w:tcPr>
            <w:tcW w:type="dxa" w:w="1234"/>
          </w:tcPr>
          <w:p>
            <w:r>
              <w:rPr>
                <w:sz w:val="17"/>
              </w:rPr>
              <w:t>0.6358 (0.3030–0.8116)</w:t>
            </w:r>
          </w:p>
        </w:tc>
        <w:tc>
          <w:tcPr>
            <w:tcW w:type="dxa" w:w="1234"/>
          </w:tcPr>
          <w:p>
            <w:r>
              <w:rPr>
                <w:sz w:val="17"/>
              </w:rPr>
              <w:t>0.6303 (0.3976–0.8119)</w:t>
            </w:r>
          </w:p>
        </w:tc>
        <w:tc>
          <w:tcPr>
            <w:tcW w:type="dxa" w:w="1234"/>
          </w:tcPr>
          <w:p>
            <w:r>
              <w:rPr>
                <w:sz w:val="17"/>
              </w:rPr>
              <w:t>1.0000</w:t>
            </w:r>
          </w:p>
        </w:tc>
      </w:tr>
      <w:tr>
        <w:tc>
          <w:tcPr>
            <w:tcW w:type="dxa" w:w="1234"/>
          </w:tcPr>
          <w:p/>
        </w:tc>
        <w:tc>
          <w:tcPr>
            <w:tcW w:type="dxa" w:w="1234"/>
          </w:tcPr>
          <w:p>
            <w:r>
              <w:rPr>
                <w:sz w:val="17"/>
              </w:rPr>
              <w:t>LightGBM</w:t>
            </w:r>
          </w:p>
        </w:tc>
        <w:tc>
          <w:tcPr>
            <w:tcW w:type="dxa" w:w="1234"/>
          </w:tcPr>
          <w:p>
            <w:r>
              <w:rPr>
                <w:sz w:val="17"/>
              </w:rPr>
              <w:t>0.7600 (0.6155–0.8929)</w:t>
            </w:r>
          </w:p>
        </w:tc>
        <w:tc>
          <w:tcPr>
            <w:tcW w:type="dxa" w:w="1234"/>
          </w:tcPr>
          <w:p>
            <w:r>
              <w:rPr>
                <w:sz w:val="17"/>
              </w:rPr>
              <w:t>0.5590 (0.4257–0.7021)</w:t>
            </w:r>
          </w:p>
        </w:tc>
        <w:tc>
          <w:tcPr>
            <w:tcW w:type="dxa" w:w="1234"/>
          </w:tcPr>
          <w:p>
            <w:r>
              <w:rPr>
                <w:sz w:val="17"/>
              </w:rPr>
              <w:t>0.6514 (0.3848–0.7965)</w:t>
            </w:r>
          </w:p>
        </w:tc>
        <w:tc>
          <w:tcPr>
            <w:tcW w:type="dxa" w:w="1234"/>
          </w:tcPr>
          <w:p>
            <w:r>
              <w:rPr>
                <w:sz w:val="17"/>
              </w:rPr>
              <w:t>0.5259 (0.2570–0.7465)</w:t>
            </w:r>
          </w:p>
        </w:tc>
        <w:tc>
          <w:tcPr>
            <w:tcW w:type="dxa" w:w="1234"/>
          </w:tcPr>
          <w:p>
            <w:r>
              <w:rPr>
                <w:sz w:val="17"/>
              </w:rPr>
              <w:t>0.0864</w:t>
            </w:r>
          </w:p>
        </w:tc>
      </w:tr>
      <w:tr>
        <w:tc>
          <w:tcPr>
            <w:tcW w:type="dxa" w:w="1234"/>
          </w:tcPr>
          <w:p/>
        </w:tc>
        <w:tc>
          <w:tcPr>
            <w:tcW w:type="dxa" w:w="1234"/>
          </w:tcPr>
          <w:p>
            <w:r>
              <w:rPr>
                <w:sz w:val="17"/>
              </w:rPr>
              <w:t>ElasticNet</w:t>
            </w:r>
          </w:p>
        </w:tc>
        <w:tc>
          <w:tcPr>
            <w:tcW w:type="dxa" w:w="1234"/>
          </w:tcPr>
          <w:p>
            <w:r>
              <w:rPr>
                <w:sz w:val="17"/>
              </w:rPr>
              <w:t>0.8113 (0.6587–0.9597)</w:t>
            </w:r>
          </w:p>
        </w:tc>
        <w:tc>
          <w:tcPr>
            <w:tcW w:type="dxa" w:w="1234"/>
          </w:tcPr>
          <w:p>
            <w:r>
              <w:rPr>
                <w:sz w:val="17"/>
              </w:rPr>
              <w:t>0.6366 (0.5098–0.7756)</w:t>
            </w:r>
          </w:p>
        </w:tc>
        <w:tc>
          <w:tcPr>
            <w:tcW w:type="dxa" w:w="1234"/>
          </w:tcPr>
          <w:p>
            <w:r>
              <w:rPr>
                <w:sz w:val="17"/>
              </w:rPr>
              <w:t>0.6027 (0.2990–0.7591)</w:t>
            </w:r>
          </w:p>
        </w:tc>
        <w:tc>
          <w:tcPr>
            <w:tcW w:type="dxa" w:w="1234"/>
          </w:tcPr>
          <w:p>
            <w:r>
              <w:rPr>
                <w:sz w:val="17"/>
              </w:rPr>
              <w:t>0.5580 (0.2902–0.7697)</w:t>
            </w:r>
          </w:p>
        </w:tc>
        <w:tc>
          <w:tcPr>
            <w:tcW w:type="dxa" w:w="1234"/>
          </w:tcPr>
          <w:p>
            <w:r>
              <w:rPr>
                <w:b/>
                <w:sz w:val="17"/>
              </w:rPr>
              <w:t>0.0080</w:t>
            </w:r>
          </w:p>
        </w:tc>
      </w:tr>
      <w:tr>
        <w:tc>
          <w:tcPr>
            <w:tcW w:type="dxa" w:w="1234"/>
          </w:tcPr>
          <w:p/>
        </w:tc>
        <w:tc>
          <w:tcPr>
            <w:tcW w:type="dxa" w:w="1234"/>
          </w:tcPr>
          <w:p>
            <w:r>
              <w:rPr>
                <w:sz w:val="17"/>
              </w:rPr>
              <w:t>Ridge</w:t>
            </w:r>
          </w:p>
        </w:tc>
        <w:tc>
          <w:tcPr>
            <w:tcW w:type="dxa" w:w="1234"/>
          </w:tcPr>
          <w:p>
            <w:r>
              <w:rPr>
                <w:sz w:val="17"/>
              </w:rPr>
              <w:t>0.8204 (0.6721–0.9584)</w:t>
            </w:r>
          </w:p>
        </w:tc>
        <w:tc>
          <w:tcPr>
            <w:tcW w:type="dxa" w:w="1234"/>
          </w:tcPr>
          <w:p>
            <w:r>
              <w:rPr>
                <w:sz w:val="17"/>
              </w:rPr>
              <w:t>0.6484 (0.5205–0.7803)</w:t>
            </w:r>
          </w:p>
        </w:tc>
        <w:tc>
          <w:tcPr>
            <w:tcW w:type="dxa" w:w="1234"/>
          </w:tcPr>
          <w:p>
            <w:r>
              <w:rPr>
                <w:sz w:val="17"/>
              </w:rPr>
              <w:t>0.5938 (0.3236–0.7418)</w:t>
            </w:r>
          </w:p>
        </w:tc>
        <w:tc>
          <w:tcPr>
            <w:tcW w:type="dxa" w:w="1234"/>
          </w:tcPr>
          <w:p>
            <w:r>
              <w:rPr>
                <w:sz w:val="17"/>
              </w:rPr>
              <w:t>0.5660 (0.3237–0.7645)</w:t>
            </w:r>
          </w:p>
        </w:tc>
        <w:tc>
          <w:tcPr>
            <w:tcW w:type="dxa" w:w="1234"/>
          </w:tcPr>
          <w:p>
            <w:r>
              <w:rPr>
                <w:b/>
                <w:sz w:val="17"/>
              </w:rPr>
              <w:t>0.0196</w:t>
            </w:r>
          </w:p>
        </w:tc>
      </w:tr>
      <w:tr>
        <w:tc>
          <w:tcPr>
            <w:tcW w:type="dxa" w:w="1234"/>
          </w:tcPr>
          <w:p/>
        </w:tc>
        <w:tc>
          <w:tcPr>
            <w:tcW w:type="dxa" w:w="1234"/>
          </w:tcPr>
          <w:p>
            <w:r>
              <w:rPr>
                <w:sz w:val="17"/>
              </w:rPr>
              <w:t>RandomForest</w:t>
            </w:r>
          </w:p>
        </w:tc>
        <w:tc>
          <w:tcPr>
            <w:tcW w:type="dxa" w:w="1234"/>
          </w:tcPr>
          <w:p>
            <w:r>
              <w:rPr>
                <w:sz w:val="17"/>
              </w:rPr>
              <w:t>0.8450 (0.6775–0.9946)</w:t>
            </w:r>
          </w:p>
        </w:tc>
        <w:tc>
          <w:tcPr>
            <w:tcW w:type="dxa" w:w="1234"/>
          </w:tcPr>
          <w:p>
            <w:r>
              <w:rPr>
                <w:sz w:val="17"/>
              </w:rPr>
              <w:t>0.6613 (0.5265–0.8080)</w:t>
            </w:r>
          </w:p>
        </w:tc>
        <w:tc>
          <w:tcPr>
            <w:tcW w:type="dxa" w:w="1234"/>
          </w:tcPr>
          <w:p>
            <w:r>
              <w:rPr>
                <w:sz w:val="17"/>
              </w:rPr>
              <w:t>0.5690 (0.2392–0.7346)</w:t>
            </w:r>
          </w:p>
        </w:tc>
        <w:tc>
          <w:tcPr>
            <w:tcW w:type="dxa" w:w="1234"/>
          </w:tcPr>
          <w:p>
            <w:r>
              <w:rPr>
                <w:sz w:val="17"/>
              </w:rPr>
              <w:t>0.5351 (0.2767–0.7433)</w:t>
            </w:r>
          </w:p>
        </w:tc>
        <w:tc>
          <w:tcPr>
            <w:tcW w:type="dxa" w:w="1234"/>
          </w:tcPr>
          <w:p>
            <w:r>
              <w:rPr>
                <w:b/>
                <w:sz w:val="17"/>
              </w:rPr>
              <w:t>0.0226</w:t>
            </w:r>
          </w:p>
        </w:tc>
      </w:tr>
      <w:tr>
        <w:tc>
          <w:tcPr>
            <w:tcW w:type="dxa" w:w="1234"/>
          </w:tcPr>
          <w:p/>
        </w:tc>
        <w:tc>
          <w:tcPr>
            <w:tcW w:type="dxa" w:w="1234"/>
          </w:tcPr>
          <w:p>
            <w:r>
              <w:rPr>
                <w:sz w:val="17"/>
              </w:rPr>
              <w:t>MLP</w:t>
            </w:r>
          </w:p>
        </w:tc>
        <w:tc>
          <w:tcPr>
            <w:tcW w:type="dxa" w:w="1234"/>
          </w:tcPr>
          <w:p>
            <w:r>
              <w:rPr>
                <w:sz w:val="17"/>
              </w:rPr>
              <w:t>0.8687 (0.7104–1.0194)</w:t>
            </w:r>
          </w:p>
        </w:tc>
        <w:tc>
          <w:tcPr>
            <w:tcW w:type="dxa" w:w="1234"/>
          </w:tcPr>
          <w:p>
            <w:r>
              <w:rPr>
                <w:sz w:val="17"/>
              </w:rPr>
              <w:t>0.6712 (0.5353–0.8125)</w:t>
            </w:r>
          </w:p>
        </w:tc>
        <w:tc>
          <w:tcPr>
            <w:tcW w:type="dxa" w:w="1234"/>
          </w:tcPr>
          <w:p>
            <w:r>
              <w:rPr>
                <w:sz w:val="17"/>
              </w:rPr>
              <w:t>0.5445 (0.1653–0.7336)</w:t>
            </w:r>
          </w:p>
        </w:tc>
        <w:tc>
          <w:tcPr>
            <w:tcW w:type="dxa" w:w="1234"/>
          </w:tcPr>
          <w:p>
            <w:r>
              <w:rPr>
                <w:sz w:val="17"/>
              </w:rPr>
              <w:t>0.5688 (0.3567–0.7463)</w:t>
            </w:r>
          </w:p>
        </w:tc>
        <w:tc>
          <w:tcPr>
            <w:tcW w:type="dxa" w:w="1234"/>
          </w:tcPr>
          <w:p>
            <w:r>
              <w:rPr>
                <w:b/>
                <w:sz w:val="17"/>
              </w:rPr>
              <w:t>0.0039</w:t>
            </w:r>
          </w:p>
        </w:tc>
      </w:tr>
      <w:tr>
        <w:tc>
          <w:tcPr>
            <w:tcW w:type="dxa" w:w="1234"/>
          </w:tcPr>
          <w:p>
            <w:r>
              <w:rPr>
                <w:b/>
                <w:sz w:val="17"/>
              </w:rPr>
              <w:t>WP2D: Hypobaria Index</w:t>
            </w:r>
          </w:p>
        </w:tc>
        <w:tc>
          <w:tcPr>
            <w:tcW w:type="dxa" w:w="1234"/>
          </w:tcPr>
          <w:p>
            <w:r>
              <w:rPr>
                <w:b/>
                <w:sz w:val="17"/>
              </w:rPr>
              <w:t>TabPFN v2 (PHE)</w:t>
            </w:r>
          </w:p>
        </w:tc>
        <w:tc>
          <w:tcPr>
            <w:tcW w:type="dxa" w:w="1234"/>
          </w:tcPr>
          <w:p>
            <w:r>
              <w:rPr>
                <w:b/>
                <w:sz w:val="17"/>
              </w:rPr>
              <w:t>0.4425</w:t>
            </w:r>
            <w:r>
              <w:rPr>
                <w:sz w:val="17"/>
              </w:rPr>
              <w:t xml:space="preserve"> (0.3511–0.5226)</w:t>
            </w:r>
          </w:p>
        </w:tc>
        <w:tc>
          <w:tcPr>
            <w:tcW w:type="dxa" w:w="1234"/>
          </w:tcPr>
          <w:p>
            <w:r>
              <w:rPr>
                <w:b/>
                <w:sz w:val="17"/>
              </w:rPr>
              <w:t>0.2447</w:t>
            </w:r>
            <w:r>
              <w:rPr>
                <w:sz w:val="17"/>
              </w:rPr>
              <w:t xml:space="preserve"> (0.1794–0.3072)</w:t>
            </w:r>
          </w:p>
        </w:tc>
        <w:tc>
          <w:tcPr>
            <w:tcW w:type="dxa" w:w="1234"/>
          </w:tcPr>
          <w:p>
            <w:r>
              <w:rPr>
                <w:b/>
                <w:sz w:val="17"/>
              </w:rPr>
              <w:t>0.9134</w:t>
            </w:r>
            <w:r>
              <w:rPr>
                <w:sz w:val="17"/>
              </w:rPr>
              <w:t xml:space="preserve"> (0.8731–0.9460)</w:t>
            </w:r>
          </w:p>
        </w:tc>
        <w:tc>
          <w:tcPr>
            <w:tcW w:type="dxa" w:w="1234"/>
          </w:tcPr>
          <w:p>
            <w:r>
              <w:rPr>
                <w:b/>
                <w:sz w:val="17"/>
              </w:rPr>
              <w:t>0.9100</w:t>
            </w:r>
            <w:r>
              <w:rPr>
                <w:sz w:val="17"/>
              </w:rPr>
              <w:t xml:space="preserve"> (0.8720–0.9335)</w:t>
            </w:r>
          </w:p>
        </w:tc>
        <w:tc>
          <w:tcPr>
            <w:tcW w:type="dxa" w:w="1234"/>
          </w:tcPr>
          <w:p>
            <w:r>
              <w:rPr>
                <w:sz w:val="17"/>
              </w:rPr>
              <w:t>1.0000</w:t>
            </w:r>
          </w:p>
        </w:tc>
      </w:tr>
      <w:tr>
        <w:tc>
          <w:tcPr>
            <w:tcW w:type="dxa" w:w="1234"/>
          </w:tcPr>
          <w:p>
            <w:r>
              <w:rPr>
                <w:sz w:val="17"/>
              </w:rPr>
              <w:t>Full Compendium (n=130)</w:t>
            </w:r>
          </w:p>
        </w:tc>
        <w:tc>
          <w:tcPr>
            <w:tcW w:type="dxa" w:w="1234"/>
          </w:tcPr>
          <w:p>
            <w:r>
              <w:rPr>
                <w:b/>
                <w:sz w:val="17"/>
              </w:rPr>
              <w:t>TabPFN v2</w:t>
            </w:r>
          </w:p>
        </w:tc>
        <w:tc>
          <w:tcPr>
            <w:tcW w:type="dxa" w:w="1234"/>
          </w:tcPr>
          <w:p>
            <w:r>
              <w:rPr>
                <w:sz w:val="17"/>
              </w:rPr>
              <w:t>0.4589 (0.3628–0.5411)</w:t>
            </w:r>
          </w:p>
        </w:tc>
        <w:tc>
          <w:tcPr>
            <w:tcW w:type="dxa" w:w="1234"/>
          </w:tcPr>
          <w:p>
            <w:r>
              <w:rPr>
                <w:sz w:val="17"/>
              </w:rPr>
              <w:t>0.2528 (0.1865–0.3165)</w:t>
            </w:r>
          </w:p>
        </w:tc>
        <w:tc>
          <w:tcPr>
            <w:tcW w:type="dxa" w:w="1234"/>
          </w:tcPr>
          <w:p>
            <w:r>
              <w:rPr>
                <w:sz w:val="17"/>
              </w:rPr>
              <w:t>0.9068 (0.8651–0.9422)</w:t>
            </w:r>
          </w:p>
        </w:tc>
        <w:tc>
          <w:tcPr>
            <w:tcW w:type="dxa" w:w="1234"/>
          </w:tcPr>
          <w:p>
            <w:r>
              <w:rPr>
                <w:sz w:val="17"/>
              </w:rPr>
              <w:t>0.9059 (0.8657–0.9307)</w:t>
            </w:r>
          </w:p>
        </w:tc>
        <w:tc>
          <w:tcPr>
            <w:tcW w:type="dxa" w:w="1234"/>
          </w:tcPr>
          <w:p>
            <w:r>
              <w:rPr>
                <w:b/>
                <w:sz w:val="17"/>
              </w:rPr>
              <w:t>0.0071</w:t>
            </w:r>
          </w:p>
        </w:tc>
      </w:tr>
      <w:tr>
        <w:tc>
          <w:tcPr>
            <w:tcW w:type="dxa" w:w="1234"/>
          </w:tcPr>
          <w:p/>
        </w:tc>
        <w:tc>
          <w:tcPr>
            <w:tcW w:type="dxa" w:w="1234"/>
          </w:tcPr>
          <w:p>
            <w:r>
              <w:rPr>
                <w:sz w:val="17"/>
              </w:rPr>
              <w:t>Ridge</w:t>
            </w:r>
          </w:p>
        </w:tc>
        <w:tc>
          <w:tcPr>
            <w:tcW w:type="dxa" w:w="1234"/>
          </w:tcPr>
          <w:p>
            <w:r>
              <w:rPr>
                <w:sz w:val="17"/>
              </w:rPr>
              <w:t>0.5650 (0.4728–0.6454)</w:t>
            </w:r>
          </w:p>
        </w:tc>
        <w:tc>
          <w:tcPr>
            <w:tcW w:type="dxa" w:w="1234"/>
          </w:tcPr>
          <w:p>
            <w:r>
              <w:rPr>
                <w:sz w:val="17"/>
              </w:rPr>
              <w:t>0.4084 (0.3433–0.4711)</w:t>
            </w:r>
          </w:p>
        </w:tc>
        <w:tc>
          <w:tcPr>
            <w:tcW w:type="dxa" w:w="1234"/>
          </w:tcPr>
          <w:p>
            <w:r>
              <w:rPr>
                <w:sz w:val="17"/>
              </w:rPr>
              <w:t>0.8588 (0.8069–0.9029)</w:t>
            </w:r>
          </w:p>
        </w:tc>
        <w:tc>
          <w:tcPr>
            <w:tcW w:type="dxa" w:w="1234"/>
          </w:tcPr>
          <w:p>
            <w:r>
              <w:rPr>
                <w:sz w:val="17"/>
              </w:rPr>
              <w:t>0.8876 (0.8392–0.9199)</w:t>
            </w:r>
          </w:p>
        </w:tc>
        <w:tc>
          <w:tcPr>
            <w:tcW w:type="dxa" w:w="1234"/>
          </w:tcPr>
          <w:p>
            <w:r>
              <w:rPr>
                <w:b/>
                <w:sz w:val="17"/>
              </w:rPr>
              <w:t>1.42 × 10^{-6}</w:t>
            </w:r>
          </w:p>
        </w:tc>
      </w:tr>
      <w:tr>
        <w:tc>
          <w:tcPr>
            <w:tcW w:type="dxa" w:w="1234"/>
          </w:tcPr>
          <w:p/>
        </w:tc>
        <w:tc>
          <w:tcPr>
            <w:tcW w:type="dxa" w:w="1234"/>
          </w:tcPr>
          <w:p>
            <w:r>
              <w:rPr>
                <w:sz w:val="17"/>
              </w:rPr>
              <w:t>ElasticNet</w:t>
            </w:r>
          </w:p>
        </w:tc>
        <w:tc>
          <w:tcPr>
            <w:tcW w:type="dxa" w:w="1234"/>
          </w:tcPr>
          <w:p>
            <w:r>
              <w:rPr>
                <w:sz w:val="17"/>
              </w:rPr>
              <w:t>0.6093 (0.5173–0.6886)</w:t>
            </w:r>
          </w:p>
        </w:tc>
        <w:tc>
          <w:tcPr>
            <w:tcW w:type="dxa" w:w="1234"/>
          </w:tcPr>
          <w:p>
            <w:r>
              <w:rPr>
                <w:sz w:val="17"/>
              </w:rPr>
              <w:t>0.4593 (0.3927–0.5259)</w:t>
            </w:r>
          </w:p>
        </w:tc>
        <w:tc>
          <w:tcPr>
            <w:tcW w:type="dxa" w:w="1234"/>
          </w:tcPr>
          <w:p>
            <w:r>
              <w:rPr>
                <w:sz w:val="17"/>
              </w:rPr>
              <w:t>0.8357 (0.7799–0.8837)</w:t>
            </w:r>
          </w:p>
        </w:tc>
        <w:tc>
          <w:tcPr>
            <w:tcW w:type="dxa" w:w="1234"/>
          </w:tcPr>
          <w:p>
            <w:r>
              <w:rPr>
                <w:sz w:val="17"/>
              </w:rPr>
              <w:t>0.8498 (0.7851–0.8937)</w:t>
            </w:r>
          </w:p>
        </w:tc>
        <w:tc>
          <w:tcPr>
            <w:tcW w:type="dxa" w:w="1234"/>
          </w:tcPr>
          <w:p>
            <w:r>
              <w:rPr>
                <w:b/>
                <w:sz w:val="17"/>
              </w:rPr>
              <w:t>2.93 × 10^{-8}</w:t>
            </w:r>
          </w:p>
        </w:tc>
      </w:tr>
      <w:tr>
        <w:tc>
          <w:tcPr>
            <w:tcW w:type="dxa" w:w="1234"/>
          </w:tcPr>
          <w:p/>
        </w:tc>
        <w:tc>
          <w:tcPr>
            <w:tcW w:type="dxa" w:w="1234"/>
          </w:tcPr>
          <w:p>
            <w:r>
              <w:rPr>
                <w:sz w:val="17"/>
              </w:rPr>
              <w:t>RandomForest</w:t>
            </w:r>
          </w:p>
        </w:tc>
        <w:tc>
          <w:tcPr>
            <w:tcW w:type="dxa" w:w="1234"/>
          </w:tcPr>
          <w:p>
            <w:r>
              <w:rPr>
                <w:sz w:val="17"/>
              </w:rPr>
              <w:t>0.6160 (0.5033–0.7160)</w:t>
            </w:r>
          </w:p>
        </w:tc>
        <w:tc>
          <w:tcPr>
            <w:tcW w:type="dxa" w:w="1234"/>
          </w:tcPr>
          <w:p>
            <w:r>
              <w:rPr>
                <w:sz w:val="17"/>
              </w:rPr>
              <w:t>0.4188 (0.3382–0.4944)</w:t>
            </w:r>
          </w:p>
        </w:tc>
        <w:tc>
          <w:tcPr>
            <w:tcW w:type="dxa" w:w="1234"/>
          </w:tcPr>
          <w:p>
            <w:r>
              <w:rPr>
                <w:sz w:val="17"/>
              </w:rPr>
              <w:t>0.8321 (0.7599–0.8889)</w:t>
            </w:r>
          </w:p>
        </w:tc>
        <w:tc>
          <w:tcPr>
            <w:tcW w:type="dxa" w:w="1234"/>
          </w:tcPr>
          <w:p>
            <w:r>
              <w:rPr>
                <w:sz w:val="17"/>
              </w:rPr>
              <w:t>0.8749 (0.8202–0.9133)</w:t>
            </w:r>
          </w:p>
        </w:tc>
        <w:tc>
          <w:tcPr>
            <w:tcW w:type="dxa" w:w="1234"/>
          </w:tcPr>
          <w:p>
            <w:r>
              <w:rPr>
                <w:b/>
                <w:sz w:val="17"/>
              </w:rPr>
              <w:t>7.50 × 10^{-6}</w:t>
            </w:r>
          </w:p>
        </w:tc>
      </w:tr>
      <w:tr>
        <w:tc>
          <w:tcPr>
            <w:tcW w:type="dxa" w:w="1234"/>
          </w:tcPr>
          <w:p/>
        </w:tc>
        <w:tc>
          <w:tcPr>
            <w:tcW w:type="dxa" w:w="1234"/>
          </w:tcPr>
          <w:p>
            <w:r>
              <w:rPr>
                <w:sz w:val="17"/>
              </w:rPr>
              <w:t>LightGBM</w:t>
            </w:r>
          </w:p>
        </w:tc>
        <w:tc>
          <w:tcPr>
            <w:tcW w:type="dxa" w:w="1234"/>
          </w:tcPr>
          <w:p>
            <w:r>
              <w:rPr>
                <w:sz w:val="17"/>
              </w:rPr>
              <w:t>0.6731 (0.5442–0.7973)</w:t>
            </w:r>
          </w:p>
        </w:tc>
        <w:tc>
          <w:tcPr>
            <w:tcW w:type="dxa" w:w="1234"/>
          </w:tcPr>
          <w:p>
            <w:r>
              <w:rPr>
                <w:sz w:val="17"/>
              </w:rPr>
              <w:t>0.4216 (0.3344–0.5128)</w:t>
            </w:r>
          </w:p>
        </w:tc>
        <w:tc>
          <w:tcPr>
            <w:tcW w:type="dxa" w:w="1234"/>
          </w:tcPr>
          <w:p>
            <w:r>
              <w:rPr>
                <w:sz w:val="17"/>
              </w:rPr>
              <w:t>0.7995 (0.7023–0.8713)</w:t>
            </w:r>
          </w:p>
        </w:tc>
        <w:tc>
          <w:tcPr>
            <w:tcW w:type="dxa" w:w="1234"/>
          </w:tcPr>
          <w:p>
            <w:r>
              <w:rPr>
                <w:sz w:val="17"/>
              </w:rPr>
              <w:t>0.8577 (0.7922–0.8990)</w:t>
            </w:r>
          </w:p>
        </w:tc>
        <w:tc>
          <w:tcPr>
            <w:tcW w:type="dxa" w:w="1234"/>
          </w:tcPr>
          <w:p>
            <w:r>
              <w:rPr>
                <w:b/>
                <w:sz w:val="17"/>
              </w:rPr>
              <w:t>4.83 × 10^{-6}</w:t>
            </w:r>
          </w:p>
        </w:tc>
      </w:tr>
      <w:tr>
        <w:tc>
          <w:tcPr>
            <w:tcW w:type="dxa" w:w="1234"/>
          </w:tcPr>
          <w:p>
            <w:r>
              <w:rPr>
                <w:b/>
                <w:sz w:val="17"/>
              </w:rPr>
              <w:t>WP2B: Hypoxia Index</w:t>
            </w:r>
          </w:p>
        </w:tc>
        <w:tc>
          <w:tcPr>
            <w:tcW w:type="dxa" w:w="1234"/>
          </w:tcPr>
          <w:p>
            <w:r>
              <w:rPr>
                <w:b/>
                <w:sz w:val="17"/>
              </w:rPr>
              <w:t>TabPFN v2 (PHE)</w:t>
            </w:r>
          </w:p>
        </w:tc>
        <w:tc>
          <w:tcPr>
            <w:tcW w:type="dxa" w:w="1234"/>
          </w:tcPr>
          <w:p>
            <w:r>
              <w:rPr>
                <w:b/>
                <w:sz w:val="17"/>
              </w:rPr>
              <w:t>0.2247</w:t>
            </w:r>
            <w:r>
              <w:rPr>
                <w:sz w:val="17"/>
              </w:rPr>
              <w:t xml:space="preserve"> (0.1649–0.2812)</w:t>
            </w:r>
          </w:p>
        </w:tc>
        <w:tc>
          <w:tcPr>
            <w:tcW w:type="dxa" w:w="1234"/>
          </w:tcPr>
          <w:p>
            <w:r>
              <w:rPr>
                <w:b/>
                <w:sz w:val="17"/>
              </w:rPr>
              <w:t>0.1382</w:t>
            </w:r>
            <w:r>
              <w:rPr>
                <w:sz w:val="17"/>
              </w:rPr>
              <w:t xml:space="preserve"> (0.0972–0.1855)</w:t>
            </w:r>
          </w:p>
        </w:tc>
        <w:tc>
          <w:tcPr>
            <w:tcW w:type="dxa" w:w="1234"/>
          </w:tcPr>
          <w:p>
            <w:r>
              <w:rPr>
                <w:b/>
                <w:sz w:val="17"/>
              </w:rPr>
              <w:t>0.9733</w:t>
            </w:r>
            <w:r>
              <w:rPr>
                <w:sz w:val="17"/>
              </w:rPr>
              <w:t xml:space="preserve"> (0.9500–0.9864)</w:t>
            </w:r>
          </w:p>
        </w:tc>
        <w:tc>
          <w:tcPr>
            <w:tcW w:type="dxa" w:w="1234"/>
          </w:tcPr>
          <w:p>
            <w:r>
              <w:rPr>
                <w:b/>
                <w:sz w:val="17"/>
              </w:rPr>
              <w:t>0.9121</w:t>
            </w:r>
            <w:r>
              <w:rPr>
                <w:sz w:val="17"/>
              </w:rPr>
              <w:t xml:space="preserve"> (0.8263–0.9591)</w:t>
            </w:r>
          </w:p>
        </w:tc>
        <w:tc>
          <w:tcPr>
            <w:tcW w:type="dxa" w:w="1234"/>
          </w:tcPr>
          <w:p>
            <w:r>
              <w:rPr>
                <w:sz w:val="17"/>
              </w:rPr>
              <w:t>1.0000</w:t>
            </w:r>
          </w:p>
        </w:tc>
      </w:tr>
      <w:tr>
        <w:tc>
          <w:tcPr>
            <w:tcW w:type="dxa" w:w="1234"/>
          </w:tcPr>
          <w:p>
            <w:r>
              <w:rPr>
                <w:sz w:val="17"/>
              </w:rPr>
              <w:t>log2(20.37/pO}_2) (n=58)</w:t>
            </w:r>
          </w:p>
        </w:tc>
        <w:tc>
          <w:tcPr>
            <w:tcW w:type="dxa" w:w="1234"/>
          </w:tcPr>
          <w:p>
            <w:r>
              <w:rPr>
                <w:b/>
                <w:sz w:val="17"/>
              </w:rPr>
              <w:t>TabPFN v2</w:t>
            </w:r>
          </w:p>
        </w:tc>
        <w:tc>
          <w:tcPr>
            <w:tcW w:type="dxa" w:w="1234"/>
          </w:tcPr>
          <w:p>
            <w:r>
              <w:rPr>
                <w:sz w:val="17"/>
              </w:rPr>
              <w:t>0.2278 (0.1680–0.2870)</w:t>
            </w:r>
          </w:p>
        </w:tc>
        <w:tc>
          <w:tcPr>
            <w:tcW w:type="dxa" w:w="1234"/>
          </w:tcPr>
          <w:p>
            <w:r>
              <w:rPr>
                <w:sz w:val="17"/>
              </w:rPr>
              <w:t>0.1423 (0.1016–0.1917)</w:t>
            </w:r>
          </w:p>
        </w:tc>
        <w:tc>
          <w:tcPr>
            <w:tcW w:type="dxa" w:w="1234"/>
          </w:tcPr>
          <w:p>
            <w:r>
              <w:rPr>
                <w:sz w:val="17"/>
              </w:rPr>
              <w:t>0.9725 (0.9483–0.9864)</w:t>
            </w:r>
          </w:p>
        </w:tc>
        <w:tc>
          <w:tcPr>
            <w:tcW w:type="dxa" w:w="1234"/>
          </w:tcPr>
          <w:p>
            <w:r>
              <w:rPr>
                <w:sz w:val="17"/>
              </w:rPr>
              <w:t>0.9114 (0.8240–0.9601)</w:t>
            </w:r>
          </w:p>
        </w:tc>
        <w:tc>
          <w:tcPr>
            <w:tcW w:type="dxa" w:w="1234"/>
          </w:tcPr>
          <w:p>
            <w:r>
              <w:rPr>
                <w:sz w:val="17"/>
              </w:rPr>
              <w:t>0.8617</w:t>
            </w:r>
          </w:p>
        </w:tc>
      </w:tr>
      <w:tr>
        <w:tc>
          <w:tcPr>
            <w:tcW w:type="dxa" w:w="1234"/>
          </w:tcPr>
          <w:p/>
        </w:tc>
        <w:tc>
          <w:tcPr>
            <w:tcW w:type="dxa" w:w="1234"/>
          </w:tcPr>
          <w:p>
            <w:r>
              <w:rPr>
                <w:sz w:val="17"/>
              </w:rPr>
              <w:t>ElasticNet</w:t>
            </w:r>
          </w:p>
        </w:tc>
        <w:tc>
          <w:tcPr>
            <w:tcW w:type="dxa" w:w="1234"/>
          </w:tcPr>
          <w:p>
            <w:r>
              <w:rPr>
                <w:sz w:val="17"/>
              </w:rPr>
              <w:t>0.3213 (0.2636–0.3827)</w:t>
            </w:r>
          </w:p>
        </w:tc>
        <w:tc>
          <w:tcPr>
            <w:tcW w:type="dxa" w:w="1234"/>
          </w:tcPr>
          <w:p>
            <w:r>
              <w:rPr>
                <w:sz w:val="17"/>
              </w:rPr>
              <w:t>0.2580 (0.2117–0.3118)</w:t>
            </w:r>
          </w:p>
        </w:tc>
        <w:tc>
          <w:tcPr>
            <w:tcW w:type="dxa" w:w="1234"/>
          </w:tcPr>
          <w:p>
            <w:r>
              <w:rPr>
                <w:sz w:val="17"/>
              </w:rPr>
              <w:t>0.9454 (0.9129–0.9653)</w:t>
            </w:r>
          </w:p>
        </w:tc>
        <w:tc>
          <w:tcPr>
            <w:tcW w:type="dxa" w:w="1234"/>
          </w:tcPr>
          <w:p>
            <w:r>
              <w:rPr>
                <w:sz w:val="17"/>
              </w:rPr>
              <w:t>0.8746 (0.7585–0.9426)</w:t>
            </w:r>
          </w:p>
        </w:tc>
        <w:tc>
          <w:tcPr>
            <w:tcW w:type="dxa" w:w="1234"/>
          </w:tcPr>
          <w:p>
            <w:r>
              <w:rPr>
                <w:b/>
                <w:sz w:val="17"/>
              </w:rPr>
              <w:t>2.25 × 10^{-5}</w:t>
            </w:r>
          </w:p>
        </w:tc>
      </w:tr>
      <w:tr>
        <w:tc>
          <w:tcPr>
            <w:tcW w:type="dxa" w:w="1234"/>
          </w:tcPr>
          <w:p/>
        </w:tc>
        <w:tc>
          <w:tcPr>
            <w:tcW w:type="dxa" w:w="1234"/>
          </w:tcPr>
          <w:p>
            <w:r>
              <w:rPr>
                <w:sz w:val="17"/>
              </w:rPr>
              <w:t>Ridge</w:t>
            </w:r>
          </w:p>
        </w:tc>
        <w:tc>
          <w:tcPr>
            <w:tcW w:type="dxa" w:w="1234"/>
          </w:tcPr>
          <w:p>
            <w:r>
              <w:rPr>
                <w:sz w:val="17"/>
              </w:rPr>
              <w:t>0.3382 (0.2731–0.4016)</w:t>
            </w:r>
          </w:p>
        </w:tc>
        <w:tc>
          <w:tcPr>
            <w:tcW w:type="dxa" w:w="1234"/>
          </w:tcPr>
          <w:p>
            <w:r>
              <w:rPr>
                <w:sz w:val="17"/>
              </w:rPr>
              <w:t>0.2685 (0.2176–0.3203)</w:t>
            </w:r>
          </w:p>
        </w:tc>
        <w:tc>
          <w:tcPr>
            <w:tcW w:type="dxa" w:w="1234"/>
          </w:tcPr>
          <w:p>
            <w:r>
              <w:rPr>
                <w:sz w:val="17"/>
              </w:rPr>
              <w:t>0.9395 (0.9007–0.9630)</w:t>
            </w:r>
          </w:p>
        </w:tc>
        <w:tc>
          <w:tcPr>
            <w:tcW w:type="dxa" w:w="1234"/>
          </w:tcPr>
          <w:p>
            <w:r>
              <w:rPr>
                <w:sz w:val="17"/>
              </w:rPr>
              <w:t>0.8518 (0.7180–0.9310)</w:t>
            </w:r>
          </w:p>
        </w:tc>
        <w:tc>
          <w:tcPr>
            <w:tcW w:type="dxa" w:w="1234"/>
          </w:tcPr>
          <w:p>
            <w:r>
              <w:rPr>
                <w:b/>
                <w:sz w:val="17"/>
              </w:rPr>
              <w:t>5.60 × 10^{-6}</w:t>
            </w:r>
          </w:p>
        </w:tc>
      </w:tr>
      <w:tr>
        <w:tc>
          <w:tcPr>
            <w:tcW w:type="dxa" w:w="1234"/>
          </w:tcPr>
          <w:p/>
        </w:tc>
        <w:tc>
          <w:tcPr>
            <w:tcW w:type="dxa" w:w="1234"/>
          </w:tcPr>
          <w:p>
            <w:r>
              <w:rPr>
                <w:sz w:val="17"/>
              </w:rPr>
              <w:t>MLP</w:t>
            </w:r>
          </w:p>
        </w:tc>
        <w:tc>
          <w:tcPr>
            <w:tcW w:type="dxa" w:w="1234"/>
          </w:tcPr>
          <w:p>
            <w:r>
              <w:rPr>
                <w:sz w:val="17"/>
              </w:rPr>
              <w:t>0.3592 (0.2905–0.4280)</w:t>
            </w:r>
          </w:p>
        </w:tc>
        <w:tc>
          <w:tcPr>
            <w:tcW w:type="dxa" w:w="1234"/>
          </w:tcPr>
          <w:p>
            <w:r>
              <w:rPr>
                <w:sz w:val="17"/>
              </w:rPr>
              <w:t>0.2739 (0.2172–0.3344)</w:t>
            </w:r>
          </w:p>
        </w:tc>
        <w:tc>
          <w:tcPr>
            <w:tcW w:type="dxa" w:w="1234"/>
          </w:tcPr>
          <w:p>
            <w:r>
              <w:rPr>
                <w:sz w:val="17"/>
              </w:rPr>
              <w:t>0.9317 (0.8834–0.9591)</w:t>
            </w:r>
          </w:p>
        </w:tc>
        <w:tc>
          <w:tcPr>
            <w:tcW w:type="dxa" w:w="1234"/>
          </w:tcPr>
          <w:p>
            <w:r>
              <w:rPr>
                <w:sz w:val="17"/>
              </w:rPr>
              <w:t>0.8347 (0.6898–0.9194)</w:t>
            </w:r>
          </w:p>
        </w:tc>
        <w:tc>
          <w:tcPr>
            <w:tcW w:type="dxa" w:w="1234"/>
          </w:tcPr>
          <w:p>
            <w:r>
              <w:rPr>
                <w:b/>
                <w:sz w:val="17"/>
              </w:rPr>
              <w:t>6.03 × 10^{-6}</w:t>
            </w:r>
          </w:p>
        </w:tc>
      </w:tr>
      <w:tr>
        <w:tc>
          <w:tcPr>
            <w:tcW w:type="dxa" w:w="1234"/>
          </w:tcPr>
          <w:p/>
        </w:tc>
        <w:tc>
          <w:tcPr>
            <w:tcW w:type="dxa" w:w="1234"/>
          </w:tcPr>
          <w:p>
            <w:r>
              <w:rPr>
                <w:sz w:val="17"/>
              </w:rPr>
              <w:t>RandomForest</w:t>
            </w:r>
          </w:p>
        </w:tc>
        <w:tc>
          <w:tcPr>
            <w:tcW w:type="dxa" w:w="1234"/>
          </w:tcPr>
          <w:p>
            <w:r>
              <w:rPr>
                <w:sz w:val="17"/>
              </w:rPr>
              <w:t>0.4274 (0.3256–0.5144)</w:t>
            </w:r>
          </w:p>
        </w:tc>
        <w:tc>
          <w:tcPr>
            <w:tcW w:type="dxa" w:w="1234"/>
          </w:tcPr>
          <w:p>
            <w:r>
              <w:rPr>
                <w:sz w:val="17"/>
              </w:rPr>
              <w:t>0.3024 (0.2275–0.3809)</w:t>
            </w:r>
          </w:p>
        </w:tc>
        <w:tc>
          <w:tcPr>
            <w:tcW w:type="dxa" w:w="1234"/>
          </w:tcPr>
          <w:p>
            <w:r>
              <w:rPr>
                <w:sz w:val="17"/>
              </w:rPr>
              <w:t>0.9033 (0.8488–0.9367)</w:t>
            </w:r>
          </w:p>
        </w:tc>
        <w:tc>
          <w:tcPr>
            <w:tcW w:type="dxa" w:w="1234"/>
          </w:tcPr>
          <w:p>
            <w:r>
              <w:rPr>
                <w:sz w:val="17"/>
              </w:rPr>
              <w:t>0.8872 (0.7866–0.9445)</w:t>
            </w:r>
          </w:p>
        </w:tc>
        <w:tc>
          <w:tcPr>
            <w:tcW w:type="dxa" w:w="1234"/>
          </w:tcPr>
          <w:p>
            <w:r>
              <w:rPr>
                <w:b/>
                <w:sz w:val="17"/>
              </w:rPr>
              <w:t>6.25 × 10^{-6}</w:t>
            </w:r>
          </w:p>
        </w:tc>
      </w:tr>
      <w:tr>
        <w:tc>
          <w:tcPr>
            <w:tcW w:type="dxa" w:w="1234"/>
          </w:tcPr>
          <w:p/>
        </w:tc>
        <w:tc>
          <w:tcPr>
            <w:tcW w:type="dxa" w:w="1234"/>
          </w:tcPr>
          <w:p>
            <w:r>
              <w:rPr>
                <w:sz w:val="17"/>
              </w:rPr>
              <w:t>LightGBM</w:t>
            </w:r>
          </w:p>
        </w:tc>
        <w:tc>
          <w:tcPr>
            <w:tcW w:type="dxa" w:w="1234"/>
          </w:tcPr>
          <w:p>
            <w:r>
              <w:rPr>
                <w:sz w:val="17"/>
              </w:rPr>
              <w:t>0.4956 (0.3491–0.6362)</w:t>
            </w:r>
          </w:p>
        </w:tc>
        <w:tc>
          <w:tcPr>
            <w:tcW w:type="dxa" w:w="1234"/>
          </w:tcPr>
          <w:p>
            <w:r>
              <w:rPr>
                <w:sz w:val="17"/>
              </w:rPr>
              <w:t>0.3117 (0.2129–0.4091)</w:t>
            </w:r>
          </w:p>
        </w:tc>
        <w:tc>
          <w:tcPr>
            <w:tcW w:type="dxa" w:w="1234"/>
          </w:tcPr>
          <w:p>
            <w:r>
              <w:rPr>
                <w:sz w:val="17"/>
              </w:rPr>
              <w:t>0.8699 (0.7415–0.9404)</w:t>
            </w:r>
          </w:p>
        </w:tc>
        <w:tc>
          <w:tcPr>
            <w:tcW w:type="dxa" w:w="1234"/>
          </w:tcPr>
          <w:p>
            <w:r>
              <w:rPr>
                <w:sz w:val="17"/>
              </w:rPr>
              <w:t>0.8624 (0.7508–0.9318)</w:t>
            </w:r>
          </w:p>
        </w:tc>
        <w:tc>
          <w:tcPr>
            <w:tcW w:type="dxa" w:w="1234"/>
          </w:tcPr>
          <w:p>
            <w:r>
              <w:rPr>
                <w:b/>
                <w:sz w:val="17"/>
              </w:rPr>
              <w:t>0.0013</w:t>
            </w:r>
          </w:p>
        </w:tc>
      </w:tr>
    </w:tbl>
    <w:p/>
    <w:p>
      <w:r>
        <w:rPr>
          <w:b/>
        </w:rPr>
        <w:t>Table 2 | Summary of WP2 continuous regression benchmarks with 1,000-iteration bootstrap 95% CIs and paired Wilcoxon signed-rank p-values (`Table_S2A_Regression_Benchmarks_Bootstrap95CI.csv`).</w:t>
      </w:r>
    </w:p>
    <w:p>
      <w:r>
        <w:t>#### Covariate Ablation Suite</w:t>
      </w:r>
    </w:p>
    <w:p>
      <w:r>
        <w:t>To confirm that model predictions are driven by genuine transcriptomic signal rather than experimental design structure (organ identity or developmental age), we performed a systematic feature ablation study comparing: (i) Covariates Only (</w:t>
      </w:r>
      <w:r>
        <w:rPr>
          <w:rFonts w:ascii="Courier New" w:hAnsi="Courier New"/>
          <w:sz w:val="19"/>
        </w:rPr>
        <w:t>COV_is_shoot</w:t>
      </w:r>
      <w:r>
        <w:t xml:space="preserve">, </w:t>
      </w:r>
      <w:r>
        <w:rPr>
          <w:rFonts w:ascii="Courier New" w:hAnsi="Courier New"/>
          <w:sz w:val="19"/>
        </w:rPr>
        <w:t>COV_age_days</w:t>
      </w:r>
      <w:r>
        <w:t>), (ii) Transcriptome Only (pathway eigengenes, interaction ratios, and unsupervised discovery probesets), and (iii) Combined features (</w:t>
      </w:r>
      <w:r>
        <w:rPr>
          <w:rFonts w:ascii="Courier New" w:hAnsi="Courier New"/>
          <w:sz w:val="19"/>
        </w:rPr>
        <w:t>Table_S2C_Covariate_Ablation_Suite.csv</w:t>
      </w:r>
      <w:r>
        <w:t>). Under 5-fold condition-grouped cross-validation:</w:t>
      </w:r>
    </w:p>
    <w:p>
      <w:pPr>
        <w:pStyle w:val="ListBullet"/>
      </w:pPr>
      <w:r>
        <w:t xml:space="preserve">For </w:t>
      </w:r>
      <w:r>
        <w:rPr>
          <w:b/>
        </w:rPr>
        <w:t>Hypobaria Index Regression</w:t>
      </w:r>
      <w:r>
        <w:t>: Covariates Only yielded negative predictive power (R^2 = -0.3783, RMSE} = 1.5111), whereas Transcriptome Only achieved R^2 = 0.4436 (RMSE} = 0.9601), rising to R^2 = 0.5307 (RMSE} = 0.8817) in the combined model.</w:t>
      </w:r>
    </w:p>
    <w:p>
      <w:pPr>
        <w:pStyle w:val="ListBullet"/>
      </w:pPr>
      <w:r>
        <w:t xml:space="preserve">For </w:t>
      </w:r>
      <w:r>
        <w:rPr>
          <w:b/>
        </w:rPr>
        <w:t>Hypoxia Index Regression</w:t>
      </w:r>
      <w:r>
        <w:t>: Covariates Only similarly failed to generalize (R^2 = -0.2419, RMSE} = 1.5315), whereas Transcriptome Only achieved high predictive accuracy (R^2 = 0.9268, RMSE} = 0.3717), matching the combined model (R^2 = 0.9283, RMSE} = 0.3681).</w:t>
      </w:r>
    </w:p>
    <w:p>
      <w:r>
        <w:t>These results confirm that physical parameter decoding relies predominantly on transcriptomic physical response patterns.</w:t>
      </w:r>
    </w:p>
    <w:p>
      <w:pPr>
        <w:pStyle w:val="Heading2"/>
      </w:pPr>
      <w:r>
        <w:t>2.3 Workpackage 2 (Continued): Orthogonal Hub Identification with Empirical Bayes Variance Moderation</w:t>
      </w:r>
    </w:p>
    <w:p>
      <w:r>
        <w:t xml:space="preserve">To map the genome-wide architecture of barosensory vs. hypoxia signaling, we fit multivariable linear models across all </w:t>
      </w:r>
      <w:r>
        <w:rPr>
          <w:b/>
        </w:rPr>
        <w:t>22,746 biological probesets</w:t>
      </w:r>
      <w:r>
        <w:t xml:space="preserve"> controlling for organ identity and developmental age (y_g = β_0 + β_{baro}}HI}_{baro}} + β_{hypo}}HI}_{hypo}} + β_{organ}}\mathbb{I}_{Shoot}} + β_{age}}Age} + ε_g) and applied </w:t>
      </w:r>
      <w:r>
        <w:rPr>
          <w:b/>
        </w:rPr>
        <w:t>limma-style empirical Bayes variance moderation</w:t>
      </w:r>
      <w:r>
        <w:t xml:space="preserve"> to stabilize residual variances across small sample sizes (d_0 = 1.76, s_0^2 = 0.1188; </w:t>
      </w:r>
      <w:r>
        <w:rPr>
          <w:rFonts w:ascii="Courier New" w:hAnsi="Courier New"/>
          <w:sz w:val="19"/>
        </w:rPr>
        <w:t>Table_S3_Full_22746_Orthogonal_Decomposition.csv</w:t>
      </w:r>
      <w:r>
        <w:t xml:space="preserve">, </w:t>
      </w:r>
      <w:r>
        <w:rPr>
          <w:rFonts w:ascii="Courier New" w:hAnsi="Courier New"/>
          <w:sz w:val="19"/>
        </w:rPr>
        <w:t>Table_S3_Exploration_Atmosphere_Molecular_Hub_Nodes.csv</w:t>
      </w:r>
      <w:r>
        <w:t xml:space="preserve">, Figure 3A–C). Across the </w:t>
      </w:r>
      <w:r>
        <w:rPr>
          <w:i/>
        </w:rPr>
        <w:t>Arabidopsis</w:t>
      </w:r>
      <w:r>
        <w:t xml:space="preserve"> genome, probesets partitioned into:</w:t>
      </w:r>
    </w:p>
    <w:p>
      <w:pPr>
        <w:pStyle w:val="ListBullet"/>
      </w:pPr>
      <w:r>
        <w:rPr>
          <w:b/>
        </w:rPr>
        <w:t>1,003 Pure Hypoxia (pO}_2) Hubs</w:t>
      </w:r>
      <w:r>
        <w:t xml:space="preserve"> (p_{hypo}} &lt; 0.01, p_{baro}} ≥ 0.05)</w:t>
      </w:r>
    </w:p>
    <w:p>
      <w:pPr>
        <w:pStyle w:val="ListBullet"/>
      </w:pPr>
      <w:r>
        <w:rPr>
          <w:b/>
        </w:rPr>
        <w:t>380 Pure Barosensory (P_{total}}) Hubs</w:t>
      </w:r>
      <w:r>
        <w:t xml:space="preserve"> (p_{baro}} &lt; 0.01, p_{hypo}} ≥ 0.05)</w:t>
      </w:r>
    </w:p>
    <w:p>
      <w:pPr>
        <w:pStyle w:val="ListBullet"/>
      </w:pPr>
      <w:r>
        <w:rPr>
          <w:b/>
        </w:rPr>
        <w:t>21 Additive Dual Hubs</w:t>
      </w:r>
      <w:r>
        <w:t xml:space="preserve"> (p_{baro}} &lt; 0.01, p_{hypo}} &lt; 0.01, without significant interaction)</w:t>
      </w:r>
    </w:p>
    <w:p>
      <w:pPr>
        <w:pStyle w:val="ListBullet"/>
      </w:pPr>
      <w:r>
        <w:rPr>
          <w:b/>
        </w:rPr>
        <w:t>12 Interaction Hubs</w:t>
      </w:r>
      <w:r>
        <w:t xml:space="preserve"> (p_{int}} &lt; 0.05: 6 synergistic [β_{int}} &gt; 0], 6 antagonistic [β_{int}} &lt; 0])</w:t>
      </w:r>
    </w:p>
    <w:p>
      <w:pPr>
        <w:pStyle w:val="ListBullet"/>
      </w:pPr>
      <w:r>
        <w:rPr>
          <w:b/>
        </w:rPr>
        <w:t>37 Predominantly Hypoxia Hubs</w:t>
      </w:r>
      <w:r>
        <w:t xml:space="preserve"> (p_{hypo}} &lt; 0.01, p_{baro}} &lt; 0.05 with |β_{hypo}}| ≥ 2|β_{baro}}|)</w:t>
      </w:r>
    </w:p>
    <w:p>
      <w:pPr>
        <w:pStyle w:val="ListBullet"/>
      </w:pPr>
      <w:r>
        <w:rPr>
          <w:b/>
        </w:rPr>
        <w:t>12 Predominantly Barosensory Hubs</w:t>
      </w:r>
      <w:r>
        <w:t xml:space="preserve"> (p_{baro}} &lt; 0.01, p_{hypo}} &lt; 0.05 with |β_{baro}}| ≥ 2|β_{hypo}}|)</w:t>
      </w:r>
    </w:p>
    <w:p>
      <w:pPr>
        <w:pStyle w:val="ListBullet"/>
      </w:pPr>
      <w:r>
        <w:rPr>
          <w:b/>
        </w:rPr>
        <w:t>21,281 Background Unchanged Probesets</w:t>
      </w:r>
    </w:p>
    <w:p>
      <w:pPr>
        <w:jc w:val="center"/>
      </w:pPr>
      <w:r>
        <w:drawing>
          <wp:inline xmlns:a="http://schemas.openxmlformats.org/drawingml/2006/main" xmlns:pic="http://schemas.openxmlformats.org/drawingml/2006/picture">
            <wp:extent cx="5760720" cy="4916964"/>
            <wp:docPr id="3" name="Picture 3"/>
            <wp:cNvGraphicFramePr>
              <a:graphicFrameLocks noChangeAspect="1"/>
            </wp:cNvGraphicFramePr>
            <a:graphic>
              <a:graphicData uri="http://schemas.openxmlformats.org/drawingml/2006/picture">
                <pic:pic>
                  <pic:nvPicPr>
                    <pic:cNvPr id="0" name="fig3_molecular_hub_network_shap.png"/>
                    <pic:cNvPicPr/>
                  </pic:nvPicPr>
                  <pic:blipFill>
                    <a:blip r:embed="rId11"/>
                    <a:stretch>
                      <a:fillRect/>
                    </a:stretch>
                  </pic:blipFill>
                  <pic:spPr>
                    <a:xfrm>
                      <a:off x="0" y="0"/>
                      <a:ext cx="5760720" cy="4916964"/>
                    </a:xfrm>
                    <a:prstGeom prst="rect"/>
                  </pic:spPr>
                </pic:pic>
              </a:graphicData>
            </a:graphic>
          </wp:inline>
        </w:drawing>
      </w:r>
    </w:p>
    <w:p>
      <w:r>
        <w:rPr>
          <w:b/>
        </w:rPr>
        <w:t>Figure 3 | Orthogonal molecular hub landscape and exact TabPFN v2 Shapley attributions.</w:t>
      </w:r>
      <w:r>
        <w:t xml:space="preserve"> </w:t>
      </w:r>
      <w:r>
        <w:rPr>
          <w:b/>
        </w:rPr>
        <w:t>(A)</w:t>
      </w:r>
      <w:r>
        <w:t xml:space="preserve"> Genome-wide orthogonal regression biplot (β_{baro}} vs. β_{hypo}} across 22,746 </w:t>
      </w:r>
      <w:r>
        <w:rPr>
          <w:i/>
        </w:rPr>
        <w:t>Arabidopsis</w:t>
      </w:r>
      <w:r>
        <w:t xml:space="preserve"> probesets), separating </w:t>
      </w:r>
      <w:r>
        <w:rPr>
          <w:b/>
        </w:rPr>
        <w:t>Pure Hypoxia (pO}_2) Hubs</w:t>
      </w:r>
      <w:r>
        <w:t xml:space="preserve"> (blue, n=1,003), </w:t>
      </w:r>
      <w:r>
        <w:rPr>
          <w:b/>
        </w:rPr>
        <w:t>Pure Barosensory (P_{total}}) Hubs</w:t>
      </w:r>
      <w:r>
        <w:t xml:space="preserve"> (vermilion, n=380), and </w:t>
      </w:r>
      <w:r>
        <w:rPr>
          <w:b/>
        </w:rPr>
        <w:t>Dual/Synergistic Hubs</w:t>
      </w:r>
      <w:r>
        <w:t xml:space="preserve"> (purple). </w:t>
      </w:r>
      <w:r>
        <w:rPr>
          <w:b/>
        </w:rPr>
        <w:t>(B)</w:t>
      </w:r>
      <w:r>
        <w:t xml:space="preserve"> Top 15 features ranked by mean absolute exact SHAP value (|φ_j|) for </w:t>
      </w:r>
      <w:r>
        <w:rPr>
          <w:b/>
        </w:rPr>
        <w:t>TabPFN v2 (PHE)</w:t>
      </w:r>
      <w:r>
        <w:t xml:space="preserve"> prediction of the Hypobaria Index log2(97/P_{total}}) (left) and Hypoxia Index log2(20.37/pO}_2) (right). </w:t>
      </w:r>
      <w:r>
        <w:rPr>
          <w:b/>
        </w:rPr>
        <w:t>(C)</w:t>
      </w:r>
      <w:r>
        <w:t xml:space="preserve"> Differential expression (Δlog2FC} vs. 97 kPa} control) of top barosensory, hypoxia, and dual molecular hub genes across </w:t>
      </w:r>
      <w:r>
        <w:rPr>
          <w:rFonts w:ascii="Courier New" w:hAnsi="Courier New"/>
          <w:sz w:val="19"/>
        </w:rPr>
        <w:t>75 kPa Air</w:t>
      </w:r>
      <w:r>
        <w:t xml:space="preserve">, </w:t>
      </w:r>
      <w:r>
        <w:rPr>
          <w:rFonts w:ascii="Courier New" w:hAnsi="Courier New"/>
          <w:sz w:val="19"/>
        </w:rPr>
        <w:t>50 kPa Air</w:t>
      </w:r>
      <w:r>
        <w:t xml:space="preserve">, </w:t>
      </w:r>
      <w:r>
        <w:rPr>
          <w:rFonts w:ascii="Courier New" w:hAnsi="Courier New"/>
          <w:sz w:val="19"/>
        </w:rPr>
        <w:t>50 kPa + Normoxic O2</w:t>
      </w:r>
      <w:r>
        <w:t xml:space="preserve"> (42\%\ O}_2), </w:t>
      </w:r>
      <w:r>
        <w:rPr>
          <w:rFonts w:ascii="Courier New" w:hAnsi="Courier New"/>
          <w:sz w:val="19"/>
        </w:rPr>
        <w:t>25 kPa Air</w:t>
      </w:r>
      <w:r>
        <w:t xml:space="preserve">, </w:t>
      </w:r>
      <w:r>
        <w:rPr>
          <w:rFonts w:ascii="Courier New" w:hAnsi="Courier New"/>
          <w:sz w:val="19"/>
        </w:rPr>
        <w:t>25 kPa + Normoxic O2</w:t>
      </w:r>
      <w:r>
        <w:t xml:space="preserve"> (84\%\ O}_2), </w:t>
      </w:r>
      <w:r>
        <w:rPr>
          <w:rFonts w:ascii="Courier New" w:hAnsi="Courier New"/>
          <w:sz w:val="19"/>
        </w:rPr>
        <w:t>97 kPa + 5.1 kPa O2</w:t>
      </w:r>
      <w:r>
        <w:t xml:space="preserve"> (normobaric hypoxia), </w:t>
      </w:r>
      <w:r>
        <w:rPr>
          <w:rFonts w:ascii="Courier New" w:hAnsi="Courier New"/>
          <w:sz w:val="19"/>
        </w:rPr>
        <w:t>10 kPa Air</w:t>
      </w:r>
      <w:r>
        <w:t xml:space="preserve">, and </w:t>
      </w:r>
      <w:r>
        <w:rPr>
          <w:rFonts w:ascii="Courier New" w:hAnsi="Courier New"/>
          <w:sz w:val="19"/>
        </w:rPr>
        <w:t>5 kPa Air</w:t>
      </w:r>
      <w:r>
        <w:t>, showing silencing of ERF-VII anaerobic hubs under O}_2 supplementation alongside persistent activation of barosensory cell-wall, Ca}^{2+}, ethylene, and oxylipin hubs.</w:t>
      </w:r>
    </w:p>
    <w:p>
      <w:pPr>
        <w:pStyle w:val="ListNumber"/>
      </w:pPr>
      <w:r>
        <w:rPr>
          <w:b/>
        </w:rPr>
        <w:t>Pure Hypoxia (pO}_2) Molecular Hubs (`Table_S3`, Figure 3B–C):</w:t>
      </w:r>
      <w:r>
        <w:t xml:space="preserve"> The top composite hypoxia hubs and TabPFN v2 SHAP drivers for HI}_{hypo}} are </w:t>
      </w:r>
      <w:r>
        <w:rPr>
          <w:b/>
        </w:rPr>
        <w:t>HYPOXIA RESPONSIVE UNKNOWN PROTEIN 1</w:t>
      </w:r>
      <w:r>
        <w:t xml:space="preserve"> (</w:t>
      </w:r>
      <w:r>
        <w:rPr>
          <w:rFonts w:ascii="Courier New" w:hAnsi="Courier New"/>
          <w:sz w:val="19"/>
        </w:rPr>
        <w:t>HRU1</w:t>
      </w:r>
      <w:r>
        <w:t xml:space="preserve"> / </w:t>
      </w:r>
      <w:r>
        <w:rPr>
          <w:rFonts w:ascii="Courier New" w:hAnsi="Courier New"/>
          <w:sz w:val="19"/>
        </w:rPr>
        <w:t>AT3G03270</w:t>
      </w:r>
      <w:r>
        <w:t xml:space="preserve">, </w:t>
      </w:r>
      <w:r>
        <w:rPr>
          <w:rFonts w:ascii="Courier New" w:hAnsi="Courier New"/>
          <w:sz w:val="19"/>
        </w:rPr>
        <w:t>258879_at</w:t>
      </w:r>
      <w:r>
        <w:t xml:space="preserve">: β_{hypo}} = +0.977, p_{moderated}} = 3.31 × 10^{-18}, β_{baro}} = -0.069, p = 0.289, #1 Hypoxia SHAP |φ| = 0.3534), wound-induced polypeptide </w:t>
      </w:r>
      <w:r>
        <w:rPr>
          <w:rFonts w:ascii="Courier New" w:hAnsi="Courier New"/>
          <w:sz w:val="19"/>
        </w:rPr>
        <w:t>WIP5</w:t>
      </w:r>
      <w:r>
        <w:t xml:space="preserve"> (</w:t>
      </w:r>
      <w:r>
        <w:rPr>
          <w:rFonts w:ascii="Courier New" w:hAnsi="Courier New"/>
          <w:sz w:val="19"/>
        </w:rPr>
        <w:t>AT4G33560</w:t>
      </w:r>
      <w:r>
        <w:t xml:space="preserve">, </w:t>
      </w:r>
      <w:r>
        <w:rPr>
          <w:rFonts w:ascii="Courier New" w:hAnsi="Courier New"/>
          <w:sz w:val="19"/>
        </w:rPr>
        <w:t>253298_at</w:t>
      </w:r>
      <w:r>
        <w:t xml:space="preserve">: β_{hypo}} = +1.432, p = 1.49 × 10^{-12}), stearoyl-ACP desaturase </w:t>
      </w:r>
      <w:r>
        <w:rPr>
          <w:rFonts w:ascii="Courier New" w:hAnsi="Courier New"/>
          <w:sz w:val="19"/>
        </w:rPr>
        <w:t>AAD6</w:t>
      </w:r>
      <w:r>
        <w:t xml:space="preserve"> (</w:t>
      </w:r>
      <w:r>
        <w:rPr>
          <w:rFonts w:ascii="Courier New" w:hAnsi="Courier New"/>
          <w:sz w:val="19"/>
        </w:rPr>
        <w:t>AT1G43800</w:t>
      </w:r>
      <w:r>
        <w:t xml:space="preserve">, </w:t>
      </w:r>
      <w:r>
        <w:rPr>
          <w:rFonts w:ascii="Courier New" w:hAnsi="Courier New"/>
          <w:sz w:val="19"/>
        </w:rPr>
        <w:t>260869_at</w:t>
      </w:r>
      <w:r>
        <w:t xml:space="preserve">: β_{hypo}} = +1.398, SHAP |φ| = 0.0995), nonsymbiotic hemoglobin 1 </w:t>
      </w:r>
      <w:r>
        <w:rPr>
          <w:rFonts w:ascii="Courier New" w:hAnsi="Courier New"/>
          <w:sz w:val="19"/>
        </w:rPr>
        <w:t>AHB1</w:t>
      </w:r>
      <w:r>
        <w:t>/</w:t>
      </w:r>
      <w:r>
        <w:rPr>
          <w:rFonts w:ascii="Courier New" w:hAnsi="Courier New"/>
          <w:sz w:val="19"/>
        </w:rPr>
        <w:t>HB1</w:t>
      </w:r>
      <w:r>
        <w:t xml:space="preserve"> (</w:t>
      </w:r>
      <w:r>
        <w:rPr>
          <w:rFonts w:ascii="Courier New" w:hAnsi="Courier New"/>
          <w:sz w:val="19"/>
        </w:rPr>
        <w:t>AT2G16060</w:t>
      </w:r>
      <w:r>
        <w:t xml:space="preserve">, </w:t>
      </w:r>
      <w:r>
        <w:rPr>
          <w:rFonts w:ascii="Courier New" w:hAnsi="Courier New"/>
          <w:sz w:val="19"/>
        </w:rPr>
        <w:t>263096_at</w:t>
      </w:r>
      <w:r>
        <w:t xml:space="preserve">: β_{hypo}} = +1.117, p = 4.11 × 10^{-17}), pyruvate decarboxylase </w:t>
      </w:r>
      <w:r>
        <w:rPr>
          <w:rFonts w:ascii="Courier New" w:hAnsi="Courier New"/>
          <w:sz w:val="19"/>
        </w:rPr>
        <w:t>AtPDC1</w:t>
      </w:r>
      <w:r>
        <w:t xml:space="preserve"> (</w:t>
      </w:r>
      <w:r>
        <w:rPr>
          <w:rFonts w:ascii="Courier New" w:hAnsi="Courier New"/>
          <w:sz w:val="19"/>
        </w:rPr>
        <w:t>AT4G33070</w:t>
      </w:r>
      <w:r>
        <w:t xml:space="preserve">, </w:t>
      </w:r>
      <w:r>
        <w:rPr>
          <w:rFonts w:ascii="Courier New" w:hAnsi="Courier New"/>
          <w:sz w:val="19"/>
        </w:rPr>
        <w:t>253416_at</w:t>
      </w:r>
      <w:r>
        <w:t xml:space="preserve">: β_{hypo}} = +1.438, p = 4.79 × 10^{-11}, +6.57\ log2FC} at 5 kPa}), aspartate aminotransferase </w:t>
      </w:r>
      <w:r>
        <w:rPr>
          <w:rFonts w:ascii="Courier New" w:hAnsi="Courier New"/>
          <w:sz w:val="19"/>
        </w:rPr>
        <w:t>AAT2</w:t>
      </w:r>
      <w:r>
        <w:t xml:space="preserve"> (</w:t>
      </w:r>
      <w:r>
        <w:rPr>
          <w:rFonts w:ascii="Courier New" w:hAnsi="Courier New"/>
          <w:sz w:val="19"/>
        </w:rPr>
        <w:t>AT5G19550</w:t>
      </w:r>
      <w:r>
        <w:t xml:space="preserve">, </w:t>
      </w:r>
      <w:r>
        <w:rPr>
          <w:rFonts w:ascii="Courier New" w:hAnsi="Courier New"/>
          <w:sz w:val="19"/>
        </w:rPr>
        <w:t>245951_at</w:t>
      </w:r>
      <w:r>
        <w:t xml:space="preserve">: β_{hypo}} = +0.828), fructokinase </w:t>
      </w:r>
      <w:r>
        <w:rPr>
          <w:rFonts w:ascii="Courier New" w:hAnsi="Courier New"/>
          <w:sz w:val="19"/>
        </w:rPr>
        <w:t>FRK1</w:t>
      </w:r>
      <w:r>
        <w:t xml:space="preserve"> (</w:t>
      </w:r>
      <w:r>
        <w:rPr>
          <w:rFonts w:ascii="Courier New" w:hAnsi="Courier New"/>
          <w:sz w:val="19"/>
        </w:rPr>
        <w:t>AT2G31390</w:t>
      </w:r>
      <w:r>
        <w:t xml:space="preserve">, </w:t>
      </w:r>
      <w:r>
        <w:rPr>
          <w:rFonts w:ascii="Courier New" w:hAnsi="Courier New"/>
          <w:sz w:val="19"/>
        </w:rPr>
        <w:t>263250_at</w:t>
      </w:r>
      <w:r>
        <w:t xml:space="preserve">: SHAP |φ| = 0.1486), hypersensitive-induced reaction protein </w:t>
      </w:r>
      <w:r>
        <w:rPr>
          <w:rFonts w:ascii="Courier New" w:hAnsi="Courier New"/>
          <w:sz w:val="19"/>
        </w:rPr>
        <w:t>ATHIR1</w:t>
      </w:r>
      <w:r>
        <w:t xml:space="preserve"> (</w:t>
      </w:r>
      <w:r>
        <w:rPr>
          <w:rFonts w:ascii="Courier New" w:hAnsi="Courier New"/>
          <w:sz w:val="19"/>
        </w:rPr>
        <w:t>AT1G69840</w:t>
      </w:r>
      <w:r>
        <w:t xml:space="preserve">, </w:t>
      </w:r>
      <w:r>
        <w:rPr>
          <w:rFonts w:ascii="Courier New" w:hAnsi="Courier New"/>
          <w:sz w:val="19"/>
        </w:rPr>
        <w:t>247403_at</w:t>
      </w:r>
      <w:r>
        <w:t xml:space="preserve">: SHAP |φ| = 0.1643), squalene epoxidase </w:t>
      </w:r>
      <w:r>
        <w:rPr>
          <w:rFonts w:ascii="Courier New" w:hAnsi="Courier New"/>
          <w:sz w:val="19"/>
        </w:rPr>
        <w:t>SQE3</w:t>
      </w:r>
      <w:r>
        <w:t xml:space="preserve"> (</w:t>
      </w:r>
      <w:r>
        <w:rPr>
          <w:rFonts w:ascii="Courier New" w:hAnsi="Courier New"/>
          <w:sz w:val="19"/>
        </w:rPr>
        <w:t>AT4G37760</w:t>
      </w:r>
      <w:r>
        <w:t xml:space="preserve">, </w:t>
      </w:r>
      <w:r>
        <w:rPr>
          <w:rFonts w:ascii="Courier New" w:hAnsi="Courier New"/>
          <w:sz w:val="19"/>
        </w:rPr>
        <w:t>253039_at</w:t>
      </w:r>
      <w:r>
        <w:t xml:space="preserve">: SHAP |φ| = 0.1287), N-degron oxygen sensor </w:t>
      </w:r>
      <w:r>
        <w:rPr>
          <w:rFonts w:ascii="Courier New" w:hAnsi="Courier New"/>
          <w:sz w:val="19"/>
        </w:rPr>
        <w:t>PCO1</w:t>
      </w:r>
      <w:r>
        <w:t xml:space="preserve"> (</w:t>
      </w:r>
      <w:r>
        <w:rPr>
          <w:rFonts w:ascii="Courier New" w:hAnsi="Courier New"/>
          <w:sz w:val="19"/>
        </w:rPr>
        <w:t>AT5G15120</w:t>
      </w:r>
      <w:r>
        <w:t xml:space="preserve">, </w:t>
      </w:r>
      <w:r>
        <w:rPr>
          <w:rFonts w:ascii="Courier New" w:hAnsi="Courier New"/>
          <w:sz w:val="19"/>
        </w:rPr>
        <w:t>250152_at</w:t>
      </w:r>
      <w:r>
        <w:t xml:space="preserve">: β_{hypo}} = +0.708, p = 3.08 × 10^{-9}), and alcohol dehydrogenase </w:t>
      </w:r>
      <w:r>
        <w:rPr>
          <w:rFonts w:ascii="Courier New" w:hAnsi="Courier New"/>
          <w:sz w:val="19"/>
        </w:rPr>
        <w:t>ADH1</w:t>
      </w:r>
      <w:r>
        <w:t xml:space="preserve"> (</w:t>
      </w:r>
      <w:r>
        <w:rPr>
          <w:rFonts w:ascii="Courier New" w:hAnsi="Courier New"/>
          <w:sz w:val="19"/>
        </w:rPr>
        <w:t>AT1G77120</w:t>
      </w:r>
      <w:r>
        <w:t xml:space="preserve">, </w:t>
      </w:r>
      <w:r>
        <w:rPr>
          <w:rFonts w:ascii="Courier New" w:hAnsi="Courier New"/>
          <w:sz w:val="19"/>
        </w:rPr>
        <w:t>264953_at</w:t>
      </w:r>
      <w:r>
        <w:t>: β_{hypo}} = +0.730, p = 1.66 × 10^{-8}). Canonical anaerobic genes are induced under 50 kPa} Air (+0.80 to }+2.44\ log2FC}) and 25 kPa} Air (+0.86 to }+3.19\ log2FC}), but are suppressed when O}_2 is supplemented to 21 kPa} (</w:t>
      </w:r>
      <w:r>
        <w:rPr>
          <w:rFonts w:ascii="Courier New" w:hAnsi="Courier New"/>
          <w:sz w:val="19"/>
        </w:rPr>
        <w:t>HRU1</w:t>
      </w:r>
      <w:r>
        <w:t xml:space="preserve"> -0.049\ log2FC} at 50 kPa} + O}_2 and -0.047 at 25 kPa} + O}_2; </w:t>
      </w:r>
      <w:r>
        <w:rPr>
          <w:rFonts w:ascii="Courier New" w:hAnsi="Courier New"/>
          <w:sz w:val="19"/>
        </w:rPr>
        <w:t>AHB1</w:t>
      </w:r>
      <w:r>
        <w:t xml:space="preserve"> -0.131 and -0.268; </w:t>
      </w:r>
      <w:r>
        <w:rPr>
          <w:rFonts w:ascii="Courier New" w:hAnsi="Courier New"/>
          <w:sz w:val="19"/>
        </w:rPr>
        <w:t>PCO1</w:t>
      </w:r>
      <w:r>
        <w:t xml:space="preserve"> -0.032 and -0.579; </w:t>
      </w:r>
      <w:r>
        <w:rPr>
          <w:rFonts w:ascii="Courier New" w:hAnsi="Courier New"/>
          <w:sz w:val="19"/>
        </w:rPr>
        <w:t>ADH1</w:t>
      </w:r>
      <w:r>
        <w:t xml:space="preserve"> -0.087 and -0.221).</w:t>
      </w:r>
    </w:p>
    <w:p>
      <w:pPr>
        <w:pStyle w:val="ListNumber"/>
      </w:pPr>
      <w:r>
        <w:rPr>
          <w:b/>
        </w:rPr>
        <w:t>Pure and Predominantly Barosensory (P_{total}}) Molecular Hubs (`Table_S3`, Figure 3B–C):</w:t>
      </w:r>
      <w:r>
        <w:t xml:space="preserve"> In contrast, orthogonal regression and SHAP attribution for HI}_{baro}} identified a coherent barosensory regulon responding directly to total pressure reduction (D ∝ P_{total}}^{-1}) that is </w:t>
      </w:r>
      <w:r>
        <w:rPr>
          <w:b/>
        </w:rPr>
        <w:t>unabated or amplified under normoxic O}_2 supplementation</w:t>
      </w:r>
      <w:r>
        <w:t>:</w:t>
      </w:r>
    </w:p>
    <w:p>
      <w:pPr>
        <w:pStyle w:val="ListBullet"/>
      </w:pPr>
      <w:r>
        <w:rPr>
          <w:b/>
        </w:rPr>
        <w:t>Cell-Wall Mechanosensing &amp; Expansion:</w:t>
      </w:r>
      <w:r>
        <w:t xml:space="preserve"> </w:t>
      </w:r>
      <w:r>
        <w:rPr>
          <w:rFonts w:ascii="Courier New" w:hAnsi="Courier New"/>
          <w:sz w:val="19"/>
        </w:rPr>
        <w:t>TCH4</w:t>
      </w:r>
      <w:r>
        <w:t xml:space="preserve"> / </w:t>
      </w:r>
      <w:r>
        <w:rPr>
          <w:rFonts w:ascii="Courier New" w:hAnsi="Courier New"/>
          <w:sz w:val="19"/>
        </w:rPr>
        <w:t>AtXTH22</w:t>
      </w:r>
      <w:r>
        <w:t xml:space="preserve"> (</w:t>
      </w:r>
      <w:r>
        <w:rPr>
          <w:rFonts w:ascii="Courier New" w:hAnsi="Courier New"/>
          <w:sz w:val="19"/>
        </w:rPr>
        <w:t>AT5G57560</w:t>
      </w:r>
      <w:r>
        <w:t xml:space="preserve">, </w:t>
      </w:r>
      <w:r>
        <w:rPr>
          <w:rFonts w:ascii="Courier New" w:hAnsi="Courier New"/>
          <w:sz w:val="19"/>
        </w:rPr>
        <w:t>247925_at</w:t>
      </w:r>
      <w:r>
        <w:t xml:space="preserve">, xyloglucan endotransglucosylase/hydrolase 22) exhibits β_{baro}} = +0.798 (p = 9.18 × 10^{-6}) and β_{hypo}} = -0.233, rising by </w:t>
      </w:r>
      <w:r>
        <w:rPr>
          <w:b/>
        </w:rPr>
        <w:t>+1.016\ log2FC} across 50 kPa} + O}_2</w:t>
      </w:r>
      <w:r>
        <w:t xml:space="preserve"> (+1.848\ log2FC} in 10-day shoots) and </w:t>
      </w:r>
      <w:r>
        <w:rPr>
          <w:b/>
        </w:rPr>
        <w:t>+1.484\ log2FC} across 25 kPa} + O}_2</w:t>
      </w:r>
      <w:r>
        <w:t xml:space="preserve"> (+1.763\ log2FC} in 10-day shoots), while being slightly repressed under normobaric hypoxia (-0.334\ log2FC} at 97 kPa} / 5.1 kPa}\ O}_2). Similarly, cell-wall expansion regulator </w:t>
      </w:r>
      <w:r>
        <w:rPr>
          <w:b/>
        </w:rPr>
        <w:t>EXORDIUM</w:t>
      </w:r>
      <w:r>
        <w:t xml:space="preserve"> (</w:t>
      </w:r>
      <w:r>
        <w:rPr>
          <w:rFonts w:ascii="Courier New" w:hAnsi="Courier New"/>
          <w:sz w:val="19"/>
        </w:rPr>
        <w:t>EXO</w:t>
      </w:r>
      <w:r>
        <w:t xml:space="preserve"> / </w:t>
      </w:r>
      <w:r>
        <w:rPr>
          <w:rFonts w:ascii="Courier New" w:hAnsi="Courier New"/>
          <w:sz w:val="19"/>
        </w:rPr>
        <w:t>AT4G08950</w:t>
      </w:r>
      <w:r>
        <w:t xml:space="preserve">, </w:t>
      </w:r>
      <w:r>
        <w:rPr>
          <w:rFonts w:ascii="Courier New" w:hAnsi="Courier New"/>
          <w:sz w:val="19"/>
        </w:rPr>
        <w:t>255064_at</w:t>
      </w:r>
      <w:r>
        <w:t>) is induced +0.473\ log2FC} at 50 kPa} + O}_2 and +0.956\ log2FC} at 25 kPa} + O}_2.</w:t>
      </w:r>
    </w:p>
    <w:p>
      <w:pPr>
        <w:pStyle w:val="ListBullet"/>
      </w:pPr>
      <w:r>
        <w:rPr>
          <w:b/>
        </w:rPr>
        <w:t>Ca}^{2+}, ROP GTPase &amp; Auxin-Ethylene Signaling:</w:t>
      </w:r>
      <w:r>
        <w:t xml:space="preserve"> </w:t>
      </w:r>
      <w:r>
        <w:rPr>
          <w:b/>
        </w:rPr>
        <w:t>Ca}^{2+}-DEPENDENT MODULATOR OF ICR1</w:t>
      </w:r>
      <w:r>
        <w:t xml:space="preserve"> (</w:t>
      </w:r>
      <w:r>
        <w:rPr>
          <w:rFonts w:ascii="Courier New" w:hAnsi="Courier New"/>
          <w:sz w:val="19"/>
        </w:rPr>
        <w:t>CMI1</w:t>
      </w:r>
      <w:r>
        <w:t xml:space="preserve"> / </w:t>
      </w:r>
      <w:r>
        <w:rPr>
          <w:rFonts w:ascii="Courier New" w:hAnsi="Courier New"/>
          <w:sz w:val="19"/>
        </w:rPr>
        <w:t>AT4G27280</w:t>
      </w:r>
      <w:r>
        <w:t xml:space="preserve">, </w:t>
      </w:r>
      <w:r>
        <w:rPr>
          <w:rFonts w:ascii="Courier New" w:hAnsi="Courier New"/>
          <w:sz w:val="19"/>
        </w:rPr>
        <w:t>253915_at</w:t>
      </w:r>
      <w:r>
        <w:t xml:space="preserve">, top barosensory hub score = 6.278, β_{baro}} = +0.721) is induced +0.885\ log2FC} at 50 kPa} + O}_2 and +1.612\ log2FC} at 25 kPa} + O}_2. It co-varies with </w:t>
      </w:r>
      <w:r>
        <w:rPr>
          <w:b/>
        </w:rPr>
        <w:t>PINOID-BINDING PROTEIN 1</w:t>
      </w:r>
      <w:r>
        <w:t xml:space="preserve"> (</w:t>
      </w:r>
      <w:r>
        <w:rPr>
          <w:rFonts w:ascii="Courier New" w:hAnsi="Courier New"/>
          <w:sz w:val="19"/>
        </w:rPr>
        <w:t>PBP1</w:t>
      </w:r>
      <w:r>
        <w:t xml:space="preserve"> / </w:t>
      </w:r>
      <w:r>
        <w:rPr>
          <w:rFonts w:ascii="Courier New" w:hAnsi="Courier New"/>
          <w:sz w:val="19"/>
        </w:rPr>
        <w:t>AT5G54490</w:t>
      </w:r>
      <w:r>
        <w:t xml:space="preserve">, </w:t>
      </w:r>
      <w:r>
        <w:rPr>
          <w:rFonts w:ascii="Courier New" w:hAnsi="Courier New"/>
          <w:sz w:val="19"/>
        </w:rPr>
        <w:t>248164_at</w:t>
      </w:r>
      <w:r>
        <w:t xml:space="preserve">: β_{baro}} = +0.462, +1.280\ log2FC} at 25 kPa} + O}_2), auxin-responsive transcription factor </w:t>
      </w:r>
      <w:r>
        <w:rPr>
          <w:rFonts w:ascii="Courier New" w:hAnsi="Courier New"/>
          <w:sz w:val="19"/>
        </w:rPr>
        <w:t>MYB77</w:t>
      </w:r>
      <w:r>
        <w:t xml:space="preserve"> (</w:t>
      </w:r>
      <w:r>
        <w:rPr>
          <w:rFonts w:ascii="Courier New" w:hAnsi="Courier New"/>
          <w:sz w:val="19"/>
        </w:rPr>
        <w:t>AT3G50060</w:t>
      </w:r>
      <w:r>
        <w:t xml:space="preserve">, </w:t>
      </w:r>
      <w:r>
        <w:rPr>
          <w:rFonts w:ascii="Courier New" w:hAnsi="Courier New"/>
          <w:sz w:val="19"/>
        </w:rPr>
        <w:t>252193_at</w:t>
      </w:r>
      <w:r>
        <w:t xml:space="preserve">: +1.149\ log2FC} at 25 kPa} + O}_2), rate-limiting mechanosensitive ethylene synthase </w:t>
      </w:r>
      <w:r>
        <w:rPr>
          <w:rFonts w:ascii="Courier New" w:hAnsi="Courier New"/>
          <w:sz w:val="19"/>
        </w:rPr>
        <w:t>ACS6</w:t>
      </w:r>
      <w:r>
        <w:t xml:space="preserve"> (</w:t>
      </w:r>
      <w:r>
        <w:rPr>
          <w:rFonts w:ascii="Courier New" w:hAnsi="Courier New"/>
          <w:sz w:val="19"/>
        </w:rPr>
        <w:t>AT4G11280</w:t>
      </w:r>
      <w:r>
        <w:t xml:space="preserve">, </w:t>
      </w:r>
      <w:r>
        <w:rPr>
          <w:rFonts w:ascii="Courier New" w:hAnsi="Courier New"/>
          <w:sz w:val="19"/>
        </w:rPr>
        <w:t>254926_at</w:t>
      </w:r>
      <w:r>
        <w:t xml:space="preserve">: β_{baro}} = +0.553, +0.613 at 50 kPa} + O}_2, +1.118 at 25 kPa} + O}_2), and </w:t>
      </w:r>
      <w:r>
        <w:rPr>
          <w:rFonts w:ascii="Courier New" w:hAnsi="Courier New"/>
          <w:sz w:val="19"/>
        </w:rPr>
        <w:t>PW_Ethylene_Auxin_Root_Remodeling</w:t>
      </w:r>
      <w:r>
        <w:t xml:space="preserve"> (#6 Hypobaria SHAP |φ| = 0.0772).</w:t>
      </w:r>
    </w:p>
    <w:p>
      <w:pPr>
        <w:pStyle w:val="ListBullet"/>
      </w:pPr>
      <w:r>
        <w:rPr>
          <w:b/>
        </w:rPr>
        <w:t>Stomatal, ABA, and Osmotic/Redox Defense Regulators:</w:t>
      </w:r>
      <w:r>
        <w:t xml:space="preserve"> </w:t>
      </w:r>
      <w:r>
        <w:rPr>
          <w:b/>
        </w:rPr>
        <w:t>SALT TOLERANCE ZINC FINGER</w:t>
      </w:r>
      <w:r>
        <w:t xml:space="preserve"> (</w:t>
      </w:r>
      <w:r>
        <w:rPr>
          <w:rFonts w:ascii="Courier New" w:hAnsi="Courier New"/>
          <w:sz w:val="19"/>
        </w:rPr>
        <w:t>STZ</w:t>
      </w:r>
      <w:r>
        <w:t>/</w:t>
      </w:r>
      <w:r>
        <w:rPr>
          <w:rFonts w:ascii="Courier New" w:hAnsi="Courier New"/>
          <w:sz w:val="19"/>
        </w:rPr>
        <w:t>ZAT10</w:t>
      </w:r>
      <w:r>
        <w:t xml:space="preserve">, </w:t>
      </w:r>
      <w:r>
        <w:rPr>
          <w:rFonts w:ascii="Courier New" w:hAnsi="Courier New"/>
          <w:sz w:val="19"/>
        </w:rPr>
        <w:t>AT1G27730</w:t>
      </w:r>
      <w:r>
        <w:t xml:space="preserve">, </w:t>
      </w:r>
      <w:r>
        <w:rPr>
          <w:rFonts w:ascii="Courier New" w:hAnsi="Courier New"/>
          <w:sz w:val="19"/>
        </w:rPr>
        <w:t>261648_at</w:t>
      </w:r>
      <w:r>
        <w:t xml:space="preserve">: β_{baro}} = +0.623, +0.738\ log2FC} at 50 kPa} + O}_2, +1.103\ log2FC} at 25 kPa} + O}_2), </w:t>
      </w:r>
      <w:r>
        <w:rPr>
          <w:rFonts w:ascii="Courier New" w:hAnsi="Courier New"/>
          <w:sz w:val="19"/>
        </w:rPr>
        <w:t>DREB26</w:t>
      </w:r>
      <w:r>
        <w:t xml:space="preserve"> (</w:t>
      </w:r>
      <w:r>
        <w:rPr>
          <w:rFonts w:ascii="Courier New" w:hAnsi="Courier New"/>
          <w:sz w:val="19"/>
        </w:rPr>
        <w:t>AT1G21910</w:t>
      </w:r>
      <w:r>
        <w:t xml:space="preserve">, </w:t>
      </w:r>
      <w:r>
        <w:rPr>
          <w:rFonts w:ascii="Courier New" w:hAnsi="Courier New"/>
          <w:sz w:val="19"/>
        </w:rPr>
        <w:t>260856_at</w:t>
      </w:r>
      <w:r>
        <w:t xml:space="preserve">: +0.774 and +1.398\ log2FC}), </w:t>
      </w:r>
      <w:r>
        <w:rPr>
          <w:rFonts w:ascii="Courier New" w:hAnsi="Courier New"/>
          <w:sz w:val="19"/>
        </w:rPr>
        <w:t>ERF105</w:t>
      </w:r>
      <w:r>
        <w:t xml:space="preserve"> (</w:t>
      </w:r>
      <w:r>
        <w:rPr>
          <w:rFonts w:ascii="Courier New" w:hAnsi="Courier New"/>
          <w:sz w:val="19"/>
        </w:rPr>
        <w:t>AT5G51190</w:t>
      </w:r>
      <w:r>
        <w:t xml:space="preserve">, </w:t>
      </w:r>
      <w:r>
        <w:rPr>
          <w:rFonts w:ascii="Courier New" w:hAnsi="Courier New"/>
          <w:sz w:val="19"/>
        </w:rPr>
        <w:t>248448_at</w:t>
      </w:r>
      <w:r>
        <w:t xml:space="preserve">: +0.465 and +0.794\ log2FC}), mitochondrial dicarboxylate carrier </w:t>
      </w:r>
      <w:r>
        <w:rPr>
          <w:rFonts w:ascii="Courier New" w:hAnsi="Courier New"/>
          <w:sz w:val="19"/>
        </w:rPr>
        <w:t>DIC2</w:t>
      </w:r>
      <w:r>
        <w:t xml:space="preserve"> (</w:t>
      </w:r>
      <w:r>
        <w:rPr>
          <w:rFonts w:ascii="Courier New" w:hAnsi="Courier New"/>
          <w:sz w:val="19"/>
        </w:rPr>
        <w:t>AT4G24570</w:t>
      </w:r>
      <w:r>
        <w:t xml:space="preserve">, </w:t>
      </w:r>
      <w:r>
        <w:rPr>
          <w:rFonts w:ascii="Courier New" w:hAnsi="Courier New"/>
          <w:sz w:val="19"/>
        </w:rPr>
        <w:t>254120_at</w:t>
      </w:r>
      <w:r>
        <w:t xml:space="preserve">: +0.525 and +0.943\ log2FC}), and TabPFN SHAP barosensory drivers </w:t>
      </w:r>
      <w:r>
        <w:rPr>
          <w:rFonts w:ascii="Courier New" w:hAnsi="Courier New"/>
          <w:sz w:val="19"/>
        </w:rPr>
        <w:t>GABA-T</w:t>
      </w:r>
      <w:r>
        <w:t xml:space="preserve"> (</w:t>
      </w:r>
      <w:r>
        <w:rPr>
          <w:rFonts w:ascii="Courier New" w:hAnsi="Courier New"/>
          <w:sz w:val="19"/>
        </w:rPr>
        <w:t>AT3G22200</w:t>
      </w:r>
      <w:r>
        <w:t xml:space="preserve">, </w:t>
      </w:r>
      <w:r>
        <w:rPr>
          <w:rFonts w:ascii="Courier New" w:hAnsi="Courier New"/>
          <w:sz w:val="19"/>
        </w:rPr>
        <w:t>256765_at</w:t>
      </w:r>
      <w:r>
        <w:t xml:space="preserve">, |φ| = 0.1945), beta-carbonic anhydrase </w:t>
      </w:r>
      <w:r>
        <w:rPr>
          <w:rFonts w:ascii="Courier New" w:hAnsi="Courier New"/>
          <w:sz w:val="19"/>
        </w:rPr>
        <w:t>ATBCA5</w:t>
      </w:r>
      <w:r>
        <w:t xml:space="preserve"> (</w:t>
      </w:r>
      <w:r>
        <w:rPr>
          <w:rFonts w:ascii="Courier New" w:hAnsi="Courier New"/>
          <w:sz w:val="19"/>
        </w:rPr>
        <w:t>AT4G33580</w:t>
      </w:r>
      <w:r>
        <w:t xml:space="preserve">, </w:t>
      </w:r>
      <w:r>
        <w:rPr>
          <w:rFonts w:ascii="Courier New" w:hAnsi="Courier New"/>
          <w:sz w:val="19"/>
        </w:rPr>
        <w:t>253300_at</w:t>
      </w:r>
      <w:r>
        <w:t xml:space="preserve">, |φ| = 0.0925), ABA receptor </w:t>
      </w:r>
      <w:r>
        <w:rPr>
          <w:rFonts w:ascii="Courier New" w:hAnsi="Courier New"/>
          <w:sz w:val="19"/>
        </w:rPr>
        <w:t>PYL1</w:t>
      </w:r>
      <w:r>
        <w:t xml:space="preserve"> (</w:t>
      </w:r>
      <w:r>
        <w:rPr>
          <w:rFonts w:ascii="Courier New" w:hAnsi="Courier New"/>
          <w:sz w:val="19"/>
        </w:rPr>
        <w:t>AT5G46790</w:t>
      </w:r>
      <w:r>
        <w:t xml:space="preserve">, </w:t>
      </w:r>
      <w:r>
        <w:rPr>
          <w:rFonts w:ascii="Courier New" w:hAnsi="Courier New"/>
          <w:sz w:val="19"/>
        </w:rPr>
        <w:t>248865_at</w:t>
      </w:r>
      <w:r>
        <w:t xml:space="preserve">, |φ| = 0.0469), and chloroplast oxylipin lipoxygenase </w:t>
      </w:r>
      <w:r>
        <w:rPr>
          <w:rFonts w:ascii="Courier New" w:hAnsi="Courier New"/>
          <w:sz w:val="19"/>
        </w:rPr>
        <w:t>LOX2</w:t>
      </w:r>
      <w:r>
        <w:t xml:space="preserve"> (</w:t>
      </w:r>
      <w:r>
        <w:rPr>
          <w:rFonts w:ascii="Courier New" w:hAnsi="Courier New"/>
          <w:sz w:val="19"/>
        </w:rPr>
        <w:t>AT3G45140</w:t>
      </w:r>
      <w:r>
        <w:t xml:space="preserve">, </w:t>
      </w:r>
      <w:r>
        <w:rPr>
          <w:rFonts w:ascii="Courier New" w:hAnsi="Courier New"/>
          <w:sz w:val="19"/>
        </w:rPr>
        <w:t>252618_at</w:t>
      </w:r>
      <w:r>
        <w:t xml:space="preserve">, +0.683\ log2FC} in 50 kPa} + O}_2 shoots and +0.803\ log2FC} in 25 kPa} + O}_2 shoots; </w:t>
      </w:r>
      <w:r>
        <w:rPr>
          <w:rFonts w:ascii="Courier New" w:hAnsi="Courier New"/>
          <w:sz w:val="19"/>
        </w:rPr>
        <w:t>Table_S6A</w:t>
      </w:r>
      <w:r>
        <w:t>).</w:t>
      </w:r>
    </w:p>
    <w:p>
      <w:pPr>
        <w:pStyle w:val="Heading2"/>
      </w:pPr>
      <w:r>
        <w:t>2.4 Workpackage 3: Cellular and Single-Nucleus Trajectory Mapping Across Root and Shoot Lineages</w:t>
      </w:r>
    </w:p>
    <w:p>
      <w:r>
        <w:t xml:space="preserve">To determine where barosensory (P_{total}}) and hypoxia (pO}_2) hubs execute their functions at cellular resolution, we integrated </w:t>
      </w:r>
      <w:r>
        <w:rPr>
          <w:b/>
        </w:rPr>
        <w:t>(i)</w:t>
      </w:r>
      <w:r>
        <w:t xml:space="preserve"> 99 Affymetrix ATH1 microarrays from </w:t>
      </w:r>
      <w:r>
        <w:rPr>
          <w:rFonts w:ascii="Courier New" w:hAnsi="Courier New"/>
          <w:sz w:val="19"/>
        </w:rPr>
        <w:t>GSE14493</w:t>
      </w:r>
      <w:r>
        <w:t xml:space="preserve"> (12 whole-seedling total vs. </w:t>
      </w:r>
      <w:r>
        <w:rPr>
          <w:rFonts w:ascii="Courier New" w:hAnsi="Courier New"/>
          <w:sz w:val="19"/>
        </w:rPr>
        <w:t>p35S:HF-RPL18</w:t>
      </w:r>
      <w:r>
        <w:t xml:space="preserve"> TRAP-seq arrays ± exogenous sucrose) and </w:t>
      </w:r>
      <w:r>
        <w:rPr>
          <w:rFonts w:ascii="Courier New" w:hAnsi="Courier New"/>
          <w:sz w:val="19"/>
        </w:rPr>
        <w:t>GSE14502</w:t>
      </w:r>
      <w:r>
        <w:t xml:space="preserve"> (87 cell-population TRAP-seq arrays across 19 cell-specific promoters in roots and shoots under normoxia vs. hypoxia; Mustroph et al., </w:t>
      </w:r>
      <w:r>
        <w:rPr>
          <w:i/>
        </w:rPr>
        <w:t>PNAS</w:t>
      </w:r>
      <w:r>
        <w:t xml:space="preserve"> 2009) and </w:t>
      </w:r>
      <w:r>
        <w:rPr>
          <w:b/>
        </w:rPr>
        <w:t>(ii)</w:t>
      </w:r>
      <w:r>
        <w:t xml:space="preserve"> </w:t>
      </w:r>
      <w:r>
        <w:rPr>
          <w:b/>
        </w:rPr>
        <w:t>40,860 QC-filtered single-nucleus transcriptomes</w:t>
      </w:r>
      <w:r>
        <w:t xml:space="preserve"> from </w:t>
      </w:r>
      <w:r>
        <w:rPr>
          <w:rFonts w:ascii="Courier New" w:hAnsi="Courier New"/>
          <w:sz w:val="19"/>
        </w:rPr>
        <w:t>GSE308672</w:t>
      </w:r>
      <w:r>
        <w:t xml:space="preserve"> (4 Chromium 10x samples profiling 5-day-old Col-0 root tips under 21\%\ O}_2 [</w:t>
      </w:r>
      <w:r>
        <w:rPr>
          <w:rFonts w:ascii="Courier New" w:hAnsi="Courier New"/>
          <w:sz w:val="19"/>
        </w:rPr>
        <w:t>GSM9251057</w:t>
      </w:r>
      <w:r>
        <w:t xml:space="preserve">: 14,380 nuclei; </w:t>
      </w:r>
      <w:r>
        <w:rPr>
          <w:rFonts w:ascii="Courier New" w:hAnsi="Courier New"/>
          <w:sz w:val="19"/>
        </w:rPr>
        <w:t>GSM9251058</w:t>
      </w:r>
      <w:r>
        <w:t>: 13,298 nuclei] vs. 4\%\ O}_2 [</w:t>
      </w:r>
      <w:r>
        <w:rPr>
          <w:rFonts w:ascii="Courier New" w:hAnsi="Courier New"/>
          <w:sz w:val="19"/>
        </w:rPr>
        <w:t>GSM9251059</w:t>
      </w:r>
      <w:r>
        <w:t xml:space="preserve">: 11,288 nuclei; </w:t>
      </w:r>
      <w:r>
        <w:rPr>
          <w:rFonts w:ascii="Courier New" w:hAnsi="Courier New"/>
          <w:sz w:val="19"/>
        </w:rPr>
        <w:t>GSM9251060</w:t>
      </w:r>
      <w:r>
        <w:t xml:space="preserve">: 1,894 nuclei] across 9 root cell lineages; </w:t>
      </w:r>
      <w:r>
        <w:rPr>
          <w:rFonts w:ascii="Courier New" w:hAnsi="Courier New"/>
          <w:sz w:val="19"/>
        </w:rPr>
        <w:t>Table_S4A</w:t>
      </w:r>
      <w:r>
        <w:t xml:space="preserve">, </w:t>
      </w:r>
      <w:r>
        <w:rPr>
          <w:rFonts w:ascii="Courier New" w:hAnsi="Courier New"/>
          <w:sz w:val="19"/>
        </w:rPr>
        <w:t>Table_S4B</w:t>
      </w:r>
      <w:r>
        <w:t>, Figure 4A–D).</w:t>
      </w:r>
    </w:p>
    <w:p>
      <w:pPr>
        <w:jc w:val="center"/>
      </w:pPr>
      <w:r>
        <w:drawing>
          <wp:inline xmlns:a="http://schemas.openxmlformats.org/drawingml/2006/main" xmlns:pic="http://schemas.openxmlformats.org/drawingml/2006/picture">
            <wp:extent cx="5760720" cy="3769899"/>
            <wp:docPr id="4" name="Picture 4"/>
            <wp:cNvGraphicFramePr>
              <a:graphicFrameLocks noChangeAspect="1"/>
            </wp:cNvGraphicFramePr>
            <a:graphic>
              <a:graphicData uri="http://schemas.openxmlformats.org/drawingml/2006/picture">
                <pic:pic>
                  <pic:nvPicPr>
                    <pic:cNvPr id="0" name="fig4_cellular_tissue_localization.png"/>
                    <pic:cNvPicPr/>
                  </pic:nvPicPr>
                  <pic:blipFill>
                    <a:blip r:embed="rId12"/>
                    <a:stretch>
                      <a:fillRect/>
                    </a:stretch>
                  </pic:blipFill>
                  <pic:spPr>
                    <a:xfrm>
                      <a:off x="0" y="0"/>
                      <a:ext cx="5760720" cy="3769899"/>
                    </a:xfrm>
                    <a:prstGeom prst="rect"/>
                  </pic:spPr>
                </pic:pic>
              </a:graphicData>
            </a:graphic>
          </wp:inline>
        </w:drawing>
      </w:r>
    </w:p>
    <w:p>
      <w:r>
        <w:rPr>
          <w:b/>
        </w:rPr>
        <w:t>Figure 4 | Spatial partitioning of barosensory (P_{total}}) and hypoxia (pO}_2) molecular hubs across cell-type TRAP-seq translatomes (`GSE14502`, `GSE14493`) and 40,860 single-nucleus root-tip transcriptomes (`GSE308672`).</w:t>
      </w:r>
      <w:r>
        <w:t xml:space="preserve"> </w:t>
      </w:r>
      <w:r>
        <w:rPr>
          <w:b/>
        </w:rPr>
        <w:t>(A)</w:t>
      </w:r>
      <w:r>
        <w:t xml:space="preserve"> Baseline cell-type enrichment (Δlog2 relative to whole-organ mean) of 12 core physiological pathways across representative </w:t>
      </w:r>
      <w:r>
        <w:rPr>
          <w:rFonts w:ascii="Courier New" w:hAnsi="Courier New"/>
          <w:sz w:val="19"/>
        </w:rPr>
        <w:t>GSE14502</w:t>
      </w:r>
      <w:r>
        <w:t xml:space="preserve"> TRAP-seq translatome populations (</w:t>
      </w:r>
      <w:r>
        <w:rPr>
          <w:rFonts w:ascii="Courier New" w:hAnsi="Courier New"/>
          <w:sz w:val="19"/>
        </w:rPr>
        <w:t>pCER5</w:t>
      </w:r>
      <w:r>
        <w:t xml:space="preserve"> shoot epidermis, </w:t>
      </w:r>
      <w:r>
        <w:rPr>
          <w:rFonts w:ascii="Courier New" w:hAnsi="Courier New"/>
          <w:sz w:val="19"/>
        </w:rPr>
        <w:t>pGL2</w:t>
      </w:r>
      <w:r>
        <w:t xml:space="preserve"> atrichoblast epidermis, </w:t>
      </w:r>
      <w:r>
        <w:rPr>
          <w:rFonts w:ascii="Courier New" w:hAnsi="Courier New"/>
          <w:sz w:val="19"/>
        </w:rPr>
        <w:t>pRBCS</w:t>
      </w:r>
      <w:r>
        <w:t xml:space="preserve"> photosynthetic mesophyll, </w:t>
      </w:r>
      <w:r>
        <w:rPr>
          <w:rFonts w:ascii="Courier New" w:hAnsi="Courier New"/>
          <w:sz w:val="19"/>
        </w:rPr>
        <w:t>pCO2</w:t>
      </w:r>
      <w:r>
        <w:t>/</w:t>
      </w:r>
      <w:r>
        <w:rPr>
          <w:rFonts w:ascii="Courier New" w:hAnsi="Courier New"/>
          <w:sz w:val="19"/>
        </w:rPr>
        <w:t>pPEP</w:t>
      </w:r>
      <w:r>
        <w:t xml:space="preserve"> root cortex, </w:t>
      </w:r>
      <w:r>
        <w:rPr>
          <w:rFonts w:ascii="Courier New" w:hAnsi="Courier New"/>
          <w:sz w:val="19"/>
        </w:rPr>
        <w:t>pSCR</w:t>
      </w:r>
      <w:r>
        <w:t xml:space="preserve"> endodermis/quiescent center, </w:t>
      </w:r>
      <w:r>
        <w:rPr>
          <w:rFonts w:ascii="Courier New" w:hAnsi="Courier New"/>
          <w:sz w:val="19"/>
        </w:rPr>
        <w:t>pSHR</w:t>
      </w:r>
      <w:r>
        <w:t xml:space="preserve"> stele/endodermis, </w:t>
      </w:r>
      <w:r>
        <w:rPr>
          <w:rFonts w:ascii="Courier New" w:hAnsi="Courier New"/>
          <w:sz w:val="19"/>
        </w:rPr>
        <w:t>pSUC2</w:t>
      </w:r>
      <w:r>
        <w:t>/</w:t>
      </w:r>
      <w:r>
        <w:rPr>
          <w:rFonts w:ascii="Courier New" w:hAnsi="Courier New"/>
          <w:sz w:val="19"/>
        </w:rPr>
        <w:t>pSULTR2;2</w:t>
      </w:r>
      <w:r>
        <w:t xml:space="preserve"> phloem companion cells, and </w:t>
      </w:r>
      <w:r>
        <w:rPr>
          <w:rFonts w:ascii="Courier New" w:hAnsi="Courier New"/>
          <w:sz w:val="19"/>
        </w:rPr>
        <w:t>pWOL</w:t>
      </w:r>
      <w:r>
        <w:t xml:space="preserve"> vasculature). </w:t>
      </w:r>
      <w:r>
        <w:rPr>
          <w:b/>
        </w:rPr>
        <w:t>(B)</w:t>
      </w:r>
      <w:r>
        <w:t xml:space="preserve"> Cell-type-specific hypoxia translatome induction (Δlog2FC} hypoxia vs. control across </w:t>
      </w:r>
      <w:r>
        <w:rPr>
          <w:rFonts w:ascii="Courier New" w:hAnsi="Courier New"/>
          <w:sz w:val="19"/>
        </w:rPr>
        <w:t>GSE14502</w:t>
      </w:r>
      <w:r>
        <w:t xml:space="preserve"> promoters) alongside sucrose-starvation vs. sucrose-rescue translatome shifts (</w:t>
      </w:r>
      <w:r>
        <w:rPr>
          <w:rFonts w:ascii="Courier New" w:hAnsi="Courier New"/>
          <w:sz w:val="19"/>
        </w:rPr>
        <w:t>GSE14493</w:t>
      </w:r>
      <w:r>
        <w:t xml:space="preserve">). </w:t>
      </w:r>
      <w:r>
        <w:rPr>
          <w:b/>
        </w:rPr>
        <w:t>(C)</w:t>
      </w:r>
      <w:r>
        <w:t xml:space="preserve"> Single-nucleus root-tip hypoxia response (Δlog2CPM} at 4\%\ O}_2 vs. 21\%\ O}_2) across </w:t>
      </w:r>
      <w:r>
        <w:rPr>
          <w:b/>
        </w:rPr>
        <w:t>40,860 QC-filtered nuclei</w:t>
      </w:r>
      <w:r>
        <w:t xml:space="preserve"> spanning 9 root lineages in </w:t>
      </w:r>
      <w:r>
        <w:rPr>
          <w:rFonts w:ascii="Courier New" w:hAnsi="Courier New"/>
          <w:sz w:val="19"/>
        </w:rPr>
        <w:t>GSE308672</w:t>
      </w:r>
      <w:r>
        <w:t xml:space="preserve"> (</w:t>
      </w:r>
      <w:r>
        <w:rPr>
          <w:rFonts w:ascii="Courier New" w:hAnsi="Courier New"/>
          <w:sz w:val="19"/>
        </w:rPr>
        <w:t>Meristem_QC</w:t>
      </w:r>
      <w:r>
        <w:t xml:space="preserve">, </w:t>
      </w:r>
      <w:r>
        <w:rPr>
          <w:rFonts w:ascii="Courier New" w:hAnsi="Courier New"/>
          <w:sz w:val="19"/>
        </w:rPr>
        <w:t>Xylem</w:t>
      </w:r>
      <w:r>
        <w:t xml:space="preserve">, </w:t>
      </w:r>
      <w:r>
        <w:rPr>
          <w:rFonts w:ascii="Courier New" w:hAnsi="Courier New"/>
          <w:sz w:val="19"/>
        </w:rPr>
        <w:t>Endodermis</w:t>
      </w:r>
      <w:r>
        <w:t xml:space="preserve">, </w:t>
      </w:r>
      <w:r>
        <w:rPr>
          <w:rFonts w:ascii="Courier New" w:hAnsi="Courier New"/>
          <w:sz w:val="19"/>
        </w:rPr>
        <w:t>Epidermis_Atrichoblast</w:t>
      </w:r>
      <w:r>
        <w:t xml:space="preserve">, </w:t>
      </w:r>
      <w:r>
        <w:rPr>
          <w:rFonts w:ascii="Courier New" w:hAnsi="Courier New"/>
          <w:sz w:val="19"/>
        </w:rPr>
        <w:t>Columella_RootCap</w:t>
      </w:r>
      <w:r>
        <w:t xml:space="preserve">, </w:t>
      </w:r>
      <w:r>
        <w:rPr>
          <w:rFonts w:ascii="Courier New" w:hAnsi="Courier New"/>
          <w:sz w:val="19"/>
        </w:rPr>
        <w:t>Stele_Pericycle</w:t>
      </w:r>
      <w:r>
        <w:t xml:space="preserve">, </w:t>
      </w:r>
      <w:r>
        <w:rPr>
          <w:rFonts w:ascii="Courier New" w:hAnsi="Courier New"/>
          <w:sz w:val="19"/>
        </w:rPr>
        <w:t>Cortex</w:t>
      </w:r>
      <w:r>
        <w:t xml:space="preserve">, </w:t>
      </w:r>
      <w:r>
        <w:rPr>
          <w:rFonts w:ascii="Courier New" w:hAnsi="Courier New"/>
          <w:sz w:val="19"/>
        </w:rPr>
        <w:t>Epidermis_Trichoblast</w:t>
      </w:r>
      <w:r>
        <w:t xml:space="preserve">, </w:t>
      </w:r>
      <w:r>
        <w:rPr>
          <w:rFonts w:ascii="Courier New" w:hAnsi="Courier New"/>
          <w:sz w:val="19"/>
        </w:rPr>
        <w:t>Phloem</w:t>
      </w:r>
      <w:r>
        <w:t xml:space="preserve">), displayed on a calibrated color scale [-0.8, 3.5]\ log2CPM}. </w:t>
      </w:r>
      <w:r>
        <w:rPr>
          <w:b/>
        </w:rPr>
        <w:t>(D)</w:t>
      </w:r>
      <w:r>
        <w:t xml:space="preserve"> Single-nucleus vs. TRAP-seq localization of top individual barosensory and hypoxia hub genes (</w:t>
      </w:r>
      <w:r>
        <w:rPr>
          <w:rFonts w:ascii="Courier New" w:hAnsi="Courier New"/>
          <w:sz w:val="19"/>
        </w:rPr>
        <w:t>Table_S4B</w:t>
      </w:r>
      <w:r>
        <w:t>).</w:t>
      </w:r>
    </w:p>
    <w:p>
      <w:r>
        <w:t>Cell-population TRAP-seq (</w:t>
      </w:r>
      <w:r>
        <w:rPr>
          <w:rFonts w:ascii="Courier New" w:hAnsi="Courier New"/>
          <w:sz w:val="19"/>
        </w:rPr>
        <w:t>GSE14502</w:t>
      </w:r>
      <w:r>
        <w:t xml:space="preserve">) revealed that barosensory and metabolic defense modules are </w:t>
      </w:r>
      <w:r>
        <w:rPr>
          <w:b/>
        </w:rPr>
        <w:t>strictly compartmentalized across specialized tissue layers</w:t>
      </w:r>
      <w:r>
        <w:t xml:space="preserve"> (</w:t>
      </w:r>
      <w:r>
        <w:rPr>
          <w:rFonts w:ascii="Courier New" w:hAnsi="Courier New"/>
          <w:sz w:val="19"/>
        </w:rPr>
        <w:t>Table_S4A</w:t>
      </w:r>
      <w:r>
        <w:t>, Figure 4A):</w:t>
      </w:r>
    </w:p>
    <w:p>
      <w:pPr>
        <w:pStyle w:val="ListBullet"/>
      </w:pPr>
      <w:r>
        <w:rPr>
          <w:b/>
        </w:rPr>
        <w:t>Epidermal Localization of Cuticular Wax &amp; Cell-Wall Mechanosensing Hubs:</w:t>
      </w:r>
      <w:r>
        <w:t xml:space="preserve"> </w:t>
      </w:r>
      <w:r>
        <w:rPr>
          <w:rFonts w:ascii="Courier New" w:hAnsi="Courier New"/>
          <w:sz w:val="19"/>
        </w:rPr>
        <w:t>Cuticle_Epicuticular_Wax_Lipid_Transport</w:t>
      </w:r>
      <w:r>
        <w:t xml:space="preserve"> (</w:t>
      </w:r>
      <w:r>
        <w:rPr>
          <w:rFonts w:ascii="Courier New" w:hAnsi="Courier New"/>
          <w:sz w:val="19"/>
        </w:rPr>
        <w:t>LTP3</w:t>
      </w:r>
      <w:r>
        <w:t xml:space="preserve">, </w:t>
      </w:r>
      <w:r>
        <w:rPr>
          <w:rFonts w:ascii="Courier New" w:hAnsi="Courier New"/>
          <w:sz w:val="19"/>
        </w:rPr>
        <w:t>LTP4</w:t>
      </w:r>
      <w:r>
        <w:t xml:space="preserve">, </w:t>
      </w:r>
      <w:r>
        <w:rPr>
          <w:rFonts w:ascii="Courier New" w:hAnsi="Courier New"/>
          <w:sz w:val="19"/>
        </w:rPr>
        <w:t>CER1</w:t>
      </w:r>
      <w:r>
        <w:t xml:space="preserve">, </w:t>
      </w:r>
      <w:r>
        <w:rPr>
          <w:rFonts w:ascii="Courier New" w:hAnsi="Courier New"/>
          <w:sz w:val="19"/>
        </w:rPr>
        <w:t>LTPG1</w:t>
      </w:r>
      <w:r>
        <w:t xml:space="preserve">) and </w:t>
      </w:r>
      <w:r>
        <w:rPr>
          <w:rFonts w:ascii="Courier New" w:hAnsi="Courier New"/>
          <w:sz w:val="19"/>
        </w:rPr>
        <w:t>Cell_Wall_Mechanosensing_Expansion</w:t>
      </w:r>
      <w:r>
        <w:t xml:space="preserve"> (</w:t>
      </w:r>
      <w:r>
        <w:rPr>
          <w:rFonts w:ascii="Courier New" w:hAnsi="Courier New"/>
          <w:sz w:val="19"/>
        </w:rPr>
        <w:t>TCH4</w:t>
      </w:r>
      <w:r>
        <w:t>/</w:t>
      </w:r>
      <w:r>
        <w:rPr>
          <w:rFonts w:ascii="Courier New" w:hAnsi="Courier New"/>
          <w:sz w:val="19"/>
        </w:rPr>
        <w:t>AtXTH22</w:t>
      </w:r>
      <w:r>
        <w:t xml:space="preserve">, </w:t>
      </w:r>
      <w:r>
        <w:rPr>
          <w:rFonts w:ascii="Courier New" w:hAnsi="Courier New"/>
          <w:sz w:val="19"/>
        </w:rPr>
        <w:t>EXLA1</w:t>
      </w:r>
      <w:r>
        <w:t xml:space="preserve">, </w:t>
      </w:r>
      <w:r>
        <w:rPr>
          <w:rFonts w:ascii="Courier New" w:hAnsi="Courier New"/>
          <w:sz w:val="19"/>
        </w:rPr>
        <w:t>XTH19</w:t>
      </w:r>
      <w:r>
        <w:t xml:space="preserve">) are strongly enriched in the </w:t>
      </w:r>
      <w:r>
        <w:rPr>
          <w:b/>
        </w:rPr>
        <w:t>`pCER5` shoot epidermis translatome</w:t>
      </w:r>
      <w:r>
        <w:t xml:space="preserve"> at </w:t>
      </w:r>
      <w:r>
        <w:rPr>
          <w:b/>
        </w:rPr>
        <w:t>+2.210\ log2</w:t>
      </w:r>
      <w:r>
        <w:t xml:space="preserve"> (4.63×) and </w:t>
      </w:r>
      <w:r>
        <w:rPr>
          <w:b/>
        </w:rPr>
        <w:t>+1.209\ log2</w:t>
      </w:r>
      <w:r>
        <w:t xml:space="preserve"> (2.31×) above the whole-plant mean, respectively (</w:t>
      </w:r>
      <w:r>
        <w:rPr>
          <w:rFonts w:ascii="Courier New" w:hAnsi="Courier New"/>
          <w:sz w:val="19"/>
        </w:rPr>
        <w:t>Table_S4A</w:t>
      </w:r>
      <w:r>
        <w:t>). This places primary barosensory cell-wall and cuticular lipid machinery directly at the epidermal boundary layer where D ∝ P_{total}}^{-1} accelerates water-vapor efflux.</w:t>
      </w:r>
    </w:p>
    <w:p>
      <w:pPr>
        <w:pStyle w:val="ListBullet"/>
      </w:pPr>
      <w:r>
        <w:rPr>
          <w:b/>
        </w:rPr>
        <w:t>Mesophyll Localization of Photosynthetic &amp; Oxylipin Hubs:</w:t>
      </w:r>
      <w:r>
        <w:t xml:space="preserve"> </w:t>
      </w:r>
      <w:r>
        <w:rPr>
          <w:rFonts w:ascii="Courier New" w:hAnsi="Courier New"/>
          <w:sz w:val="19"/>
        </w:rPr>
        <w:t>Photosynthesis_Carbon_Fixation_LHC</w:t>
      </w:r>
      <w:r>
        <w:t xml:space="preserve"> (</w:t>
      </w:r>
      <w:r>
        <w:rPr>
          <w:rFonts w:ascii="Courier New" w:hAnsi="Courier New"/>
          <w:sz w:val="19"/>
        </w:rPr>
        <w:t>+4.322 log2</w:t>
      </w:r>
      <w:r>
        <w:t xml:space="preserve">) and </w:t>
      </w:r>
      <w:r>
        <w:rPr>
          <w:rFonts w:ascii="Courier New" w:hAnsi="Courier New"/>
          <w:sz w:val="19"/>
        </w:rPr>
        <w:t>Oxylipin_JA_Chloroplast_Galactolipid</w:t>
      </w:r>
      <w:r>
        <w:t xml:space="preserve"> (</w:t>
      </w:r>
      <w:r>
        <w:rPr>
          <w:rFonts w:ascii="Courier New" w:hAnsi="Courier New"/>
          <w:sz w:val="19"/>
        </w:rPr>
        <w:t>LOX2</w:t>
      </w:r>
      <w:r>
        <w:t xml:space="preserve">, </w:t>
      </w:r>
      <w:r>
        <w:rPr>
          <w:rFonts w:ascii="Courier New" w:hAnsi="Courier New"/>
          <w:sz w:val="19"/>
        </w:rPr>
        <w:t>AOS</w:t>
      </w:r>
      <w:r>
        <w:t xml:space="preserve">, </w:t>
      </w:r>
      <w:r>
        <w:rPr>
          <w:rFonts w:ascii="Courier New" w:hAnsi="Courier New"/>
          <w:sz w:val="19"/>
        </w:rPr>
        <w:t>MGD1</w:t>
      </w:r>
      <w:r>
        <w:t xml:space="preserve">; </w:t>
      </w:r>
      <w:r>
        <w:rPr>
          <w:rFonts w:ascii="Courier New" w:hAnsi="Courier New"/>
          <w:sz w:val="19"/>
        </w:rPr>
        <w:t>+0.296 log2</w:t>
      </w:r>
      <w:r>
        <w:t xml:space="preserve">) localize to </w:t>
      </w:r>
      <w:r>
        <w:rPr>
          <w:b/>
        </w:rPr>
        <w:t>`pRBCS` photosynthetic mesophyll</w:t>
      </w:r>
      <w:r>
        <w:t xml:space="preserve"> (and guard-cell-containing </w:t>
      </w:r>
      <w:r>
        <w:rPr>
          <w:rFonts w:ascii="Courier New" w:hAnsi="Courier New"/>
          <w:sz w:val="19"/>
        </w:rPr>
        <w:t>pCER5</w:t>
      </w:r>
      <w:r>
        <w:t xml:space="preserve"> epidermis).</w:t>
      </w:r>
    </w:p>
    <w:p>
      <w:pPr>
        <w:pStyle w:val="ListBullet"/>
      </w:pPr>
      <w:r>
        <w:rPr>
          <w:b/>
        </w:rPr>
        <w:t>Cortical, Endodermal &amp; Phloem Companion Localization of Glucosinolate &amp; Phenylpropanoid Defense:</w:t>
      </w:r>
      <w:r>
        <w:t xml:space="preserve"> </w:t>
      </w:r>
      <w:r>
        <w:rPr>
          <w:rFonts w:ascii="Courier New" w:hAnsi="Courier New"/>
          <w:sz w:val="19"/>
        </w:rPr>
        <w:t>Indole_Glucosinolate_Defense</w:t>
      </w:r>
      <w:r>
        <w:t xml:space="preserve"> (</w:t>
      </w:r>
      <w:r>
        <w:rPr>
          <w:rFonts w:ascii="Courier New" w:hAnsi="Courier New"/>
          <w:sz w:val="19"/>
        </w:rPr>
        <w:t>CYP79B2</w:t>
      </w:r>
      <w:r>
        <w:t xml:space="preserve">, </w:t>
      </w:r>
      <w:r>
        <w:rPr>
          <w:rFonts w:ascii="Courier New" w:hAnsi="Courier New"/>
          <w:sz w:val="19"/>
        </w:rPr>
        <w:t>CYP83B1</w:t>
      </w:r>
      <w:r>
        <w:t xml:space="preserve">, </w:t>
      </w:r>
      <w:r>
        <w:rPr>
          <w:rFonts w:ascii="Courier New" w:hAnsi="Courier New"/>
          <w:sz w:val="19"/>
        </w:rPr>
        <w:t>SUR1</w:t>
      </w:r>
      <w:r>
        <w:t xml:space="preserve">) is enriched in </w:t>
      </w:r>
      <w:r>
        <w:rPr>
          <w:b/>
        </w:rPr>
        <w:t>`pPEP` root cortex</w:t>
      </w:r>
      <w:r>
        <w:t xml:space="preserve"> (</w:t>
      </w:r>
      <w:r>
        <w:rPr>
          <w:rFonts w:ascii="Courier New" w:hAnsi="Courier New"/>
          <w:sz w:val="19"/>
        </w:rPr>
        <w:t>+0.826 log2</w:t>
      </w:r>
      <w:r>
        <w:t xml:space="preserve">), </w:t>
      </w:r>
      <w:r>
        <w:rPr>
          <w:b/>
        </w:rPr>
        <w:t>`pCO2` meristematic cortex</w:t>
      </w:r>
      <w:r>
        <w:t xml:space="preserve"> (</w:t>
      </w:r>
      <w:r>
        <w:rPr>
          <w:rFonts w:ascii="Courier New" w:hAnsi="Courier New"/>
          <w:sz w:val="19"/>
        </w:rPr>
        <w:t>+0.423 log2</w:t>
      </w:r>
      <w:r>
        <w:t xml:space="preserve">), and </w:t>
      </w:r>
      <w:r>
        <w:rPr>
          <w:b/>
        </w:rPr>
        <w:t>`pWOL` stele/vasculature</w:t>
      </w:r>
      <w:r>
        <w:t xml:space="preserve"> (</w:t>
      </w:r>
      <w:r>
        <w:rPr>
          <w:rFonts w:ascii="Courier New" w:hAnsi="Courier New"/>
          <w:sz w:val="19"/>
        </w:rPr>
        <w:t>+0.335 log2</w:t>
      </w:r>
      <w:r>
        <w:t xml:space="preserve">), whereas </w:t>
      </w:r>
      <w:r>
        <w:rPr>
          <w:rFonts w:ascii="Courier New" w:hAnsi="Courier New"/>
          <w:sz w:val="19"/>
        </w:rPr>
        <w:t>Aliphatic_Glucosinolate_Biosynthesis</w:t>
      </w:r>
      <w:r>
        <w:t xml:space="preserve"> localizes to </w:t>
      </w:r>
      <w:r>
        <w:rPr>
          <w:b/>
        </w:rPr>
        <w:t>`pWOL` vasculature</w:t>
      </w:r>
      <w:r>
        <w:t xml:space="preserve"> (</w:t>
      </w:r>
      <w:r>
        <w:rPr>
          <w:rFonts w:ascii="Courier New" w:hAnsi="Courier New"/>
          <w:sz w:val="19"/>
        </w:rPr>
        <w:t>+0.628 log2</w:t>
      </w:r>
      <w:r>
        <w:t xml:space="preserve">), </w:t>
      </w:r>
      <w:r>
        <w:rPr>
          <w:b/>
        </w:rPr>
        <w:t>`pSULTR2;2` phloem companion / bundle sheath cells</w:t>
      </w:r>
      <w:r>
        <w:t xml:space="preserve"> (</w:t>
      </w:r>
      <w:r>
        <w:rPr>
          <w:rFonts w:ascii="Courier New" w:hAnsi="Courier New"/>
          <w:sz w:val="19"/>
        </w:rPr>
        <w:t>+0.529 log2</w:t>
      </w:r>
      <w:r>
        <w:t xml:space="preserve">), and </w:t>
      </w:r>
      <w:r>
        <w:rPr>
          <w:b/>
        </w:rPr>
        <w:t>`pGL2` atrichoblast epidermis</w:t>
      </w:r>
      <w:r>
        <w:t xml:space="preserve"> (</w:t>
      </w:r>
      <w:r>
        <w:rPr>
          <w:rFonts w:ascii="Courier New" w:hAnsi="Courier New"/>
          <w:sz w:val="19"/>
        </w:rPr>
        <w:t>+0.472 log2</w:t>
      </w:r>
      <w:r>
        <w:t xml:space="preserve">), and </w:t>
      </w:r>
      <w:r>
        <w:rPr>
          <w:rFonts w:ascii="Courier New" w:hAnsi="Courier New"/>
          <w:sz w:val="19"/>
        </w:rPr>
        <w:t>Phenylpropanoid_Sinapate_Flavonol</w:t>
      </w:r>
      <w:r>
        <w:t xml:space="preserve"> localizes to </w:t>
      </w:r>
      <w:r>
        <w:rPr>
          <w:b/>
        </w:rPr>
        <w:t>`pPEP` cortex</w:t>
      </w:r>
      <w:r>
        <w:t xml:space="preserve"> (</w:t>
      </w:r>
      <w:r>
        <w:rPr>
          <w:rFonts w:ascii="Courier New" w:hAnsi="Courier New"/>
          <w:sz w:val="19"/>
        </w:rPr>
        <w:t>+1.137 log2</w:t>
      </w:r>
      <w:r>
        <w:t xml:space="preserve">) and </w:t>
      </w:r>
      <w:r>
        <w:rPr>
          <w:b/>
        </w:rPr>
        <w:t>`pCER5` shoot epidermis</w:t>
      </w:r>
      <w:r>
        <w:t xml:space="preserve"> (</w:t>
      </w:r>
      <w:r>
        <w:rPr>
          <w:rFonts w:ascii="Courier New" w:hAnsi="Courier New"/>
          <w:sz w:val="19"/>
        </w:rPr>
        <w:t>+0.432 log2</w:t>
      </w:r>
      <w:r>
        <w:t>).</w:t>
      </w:r>
    </w:p>
    <w:p>
      <w:r>
        <w:t xml:space="preserve">Crucially, the </w:t>
      </w:r>
      <w:r>
        <w:rPr>
          <w:b/>
        </w:rPr>
        <w:t>40,860-nucleus root-tip hypoxia atlas (`GSE308672`)</w:t>
      </w:r>
      <w:r>
        <w:t xml:space="preserve"> provided a single-nucleus test of whether cellular O}_2 shortage alone can activate the barosensory ABA/desiccation or cuticular wax cascades (</w:t>
      </w:r>
      <w:r>
        <w:rPr>
          <w:rFonts w:ascii="Courier New" w:hAnsi="Courier New"/>
          <w:sz w:val="19"/>
        </w:rPr>
        <w:t>Table_S4A</w:t>
      </w:r>
      <w:r>
        <w:t xml:space="preserve">, </w:t>
      </w:r>
      <w:r>
        <w:rPr>
          <w:rFonts w:ascii="Courier New" w:hAnsi="Courier New"/>
          <w:sz w:val="19"/>
        </w:rPr>
        <w:t>Table_S4B</w:t>
      </w:r>
      <w:r>
        <w:t>, Figure 4C–D):</w:t>
      </w:r>
    </w:p>
    <w:p>
      <w:pPr>
        <w:pStyle w:val="ListBullet"/>
      </w:pPr>
      <w:r>
        <w:t xml:space="preserve">Under pure normobaric hypoxia (4\%\ O}_2 vs. 21\%\ O}_2), </w:t>
      </w:r>
      <w:r>
        <w:rPr>
          <w:rFonts w:ascii="Courier New" w:hAnsi="Courier New"/>
          <w:sz w:val="19"/>
        </w:rPr>
        <w:t>ERF_VII_Core_Hypoxia_Anaerobic</w:t>
      </w:r>
      <w:r>
        <w:t xml:space="preserve"> was massively induced across all nine root-tip lineages by </w:t>
      </w:r>
      <w:r>
        <w:rPr>
          <w:b/>
        </w:rPr>
        <w:t>+2.648 to +3.174\ log2CPM}</w:t>
      </w:r>
      <w:r>
        <w:t xml:space="preserve"> (6.27× to 9.03×), peaking in </w:t>
      </w:r>
      <w:r>
        <w:rPr>
          <w:b/>
        </w:rPr>
        <w:t>`Meristem_QC`</w:t>
      </w:r>
      <w:r>
        <w:t xml:space="preserve"> (+3.174\ log2CPM}), </w:t>
      </w:r>
      <w:r>
        <w:rPr>
          <w:b/>
        </w:rPr>
        <w:t>`Xylem`</w:t>
      </w:r>
      <w:r>
        <w:t xml:space="preserve"> (+3.035\ log2CPM}), </w:t>
      </w:r>
      <w:r>
        <w:rPr>
          <w:b/>
        </w:rPr>
        <w:t>`Endodermis`</w:t>
      </w:r>
      <w:r>
        <w:t xml:space="preserve"> (+2.938\ log2CPM}), and </w:t>
      </w:r>
      <w:r>
        <w:rPr>
          <w:b/>
        </w:rPr>
        <w:t>`Epidermis_Atrichoblast`</w:t>
      </w:r>
      <w:r>
        <w:t xml:space="preserve"> (+2.930\ log2CPM}). Individual hypoxia hubs showed similarly universal induction (</w:t>
      </w:r>
      <w:r>
        <w:rPr>
          <w:rFonts w:ascii="Courier New" w:hAnsi="Courier New"/>
          <w:sz w:val="19"/>
        </w:rPr>
        <w:t>HRU1</w:t>
      </w:r>
      <w:r>
        <w:t xml:space="preserve"> +3.19 to }+4.29\ log2CPM}; </w:t>
      </w:r>
      <w:r>
        <w:rPr>
          <w:rFonts w:ascii="Courier New" w:hAnsi="Courier New"/>
          <w:sz w:val="19"/>
        </w:rPr>
        <w:t>AtPDC1</w:t>
      </w:r>
      <w:r>
        <w:t xml:space="preserve"> +3.68 to }+4.61\ log2CPM}; </w:t>
      </w:r>
      <w:r>
        <w:rPr>
          <w:rFonts w:ascii="Courier New" w:hAnsi="Courier New"/>
          <w:sz w:val="19"/>
        </w:rPr>
        <w:t>AHB1</w:t>
      </w:r>
      <w:r>
        <w:t xml:space="preserve"> +3.39 to }+4.21\ log2CPM}; </w:t>
      </w:r>
      <w:r>
        <w:rPr>
          <w:rFonts w:ascii="Courier New" w:hAnsi="Courier New"/>
          <w:sz w:val="19"/>
        </w:rPr>
        <w:t>ADH1</w:t>
      </w:r>
      <w:r>
        <w:t xml:space="preserve"> +2.88 to }+3.82\ log2CPM}; </w:t>
      </w:r>
      <w:r>
        <w:rPr>
          <w:rFonts w:ascii="Courier New" w:hAnsi="Courier New"/>
          <w:sz w:val="19"/>
        </w:rPr>
        <w:t>Table_S4B</w:t>
      </w:r>
      <w:r>
        <w:t>).</w:t>
      </w:r>
    </w:p>
    <w:p>
      <w:pPr>
        <w:pStyle w:val="ListBullet"/>
      </w:pPr>
      <w:r>
        <w:t xml:space="preserve">In contrast, </w:t>
      </w:r>
      <w:r>
        <w:rPr>
          <w:b/>
        </w:rPr>
        <w:t>`ABA_Desiccation_Stomatal_Closure` (-0.222 to +0.057\ log2CPM} across all 9 lineages)</w:t>
      </w:r>
      <w:r>
        <w:t xml:space="preserve"> and </w:t>
      </w:r>
      <w:r>
        <w:rPr>
          <w:b/>
        </w:rPr>
        <w:t>`Cuticle_Epicuticular_Wax_Lipid_Transport` (-0.347 to -0.026\ log2CPM} across all 9 lineages)</w:t>
      </w:r>
      <w:r>
        <w:t xml:space="preserve"> were </w:t>
      </w:r>
      <w:r>
        <w:rPr>
          <w:b/>
        </w:rPr>
        <w:t>uninduced or slightly repressed</w:t>
      </w:r>
      <w:r>
        <w:t xml:space="preserve"> by pure normobaric hypoxia across all 40,860 root-tip nuclei (</w:t>
      </w:r>
      <w:r>
        <w:rPr>
          <w:rFonts w:ascii="Courier New" w:hAnsi="Courier New"/>
          <w:sz w:val="19"/>
        </w:rPr>
        <w:t>Table_S4A</w:t>
      </w:r>
      <w:r>
        <w:t xml:space="preserve">, Figure 4C). Importantly, because </w:t>
      </w:r>
      <w:r>
        <w:rPr>
          <w:rFonts w:ascii="Courier New" w:hAnsi="Courier New"/>
          <w:sz w:val="19"/>
        </w:rPr>
        <w:t>GSE308672</w:t>
      </w:r>
      <w:r>
        <w:t xml:space="preserve"> profiled root tips, the lack of cuticular induction reflects root anatomical specificity (cuticular wax synthesis is restricted to shoot epidermis, as confirmed by </w:t>
      </w:r>
      <w:r>
        <w:rPr>
          <w:rFonts w:ascii="Courier New" w:hAnsi="Courier New"/>
          <w:sz w:val="19"/>
        </w:rPr>
        <w:t>pCER5</w:t>
      </w:r>
      <w:r>
        <w:t xml:space="preserve"> TRAP-seq; Figure 4A). This tissue-resolved dissociation confirms that ABA/desiccation and cuticular wax remodeling in hypobaric chambers (</w:t>
      </w:r>
      <w:r>
        <w:rPr>
          <w:rFonts w:ascii="Courier New" w:hAnsi="Courier New"/>
          <w:sz w:val="19"/>
        </w:rPr>
        <w:t>GSE87867</w:t>
      </w:r>
      <w:r>
        <w:t xml:space="preserve">, </w:t>
      </w:r>
      <w:r>
        <w:rPr>
          <w:rFonts w:ascii="Courier New" w:hAnsi="Courier New"/>
          <w:sz w:val="19"/>
        </w:rPr>
        <w:t>GSE87903</w:t>
      </w:r>
      <w:r>
        <w:t xml:space="preserve">, </w:t>
      </w:r>
      <w:r>
        <w:rPr>
          <w:rFonts w:ascii="Courier New" w:hAnsi="Courier New"/>
          <w:sz w:val="19"/>
        </w:rPr>
        <w:t>GSE87904</w:t>
      </w:r>
      <w:r>
        <w:t xml:space="preserve">) is an </w:t>
      </w:r>
      <w:r>
        <w:rPr>
          <w:b/>
        </w:rPr>
        <w:t>independent barosensory (P_{total}}) response</w:t>
      </w:r>
      <w:r>
        <w:t xml:space="preserve"> rather than a downstream consequence of cellular hypoxia.</w:t>
      </w:r>
    </w:p>
    <w:p>
      <w:pPr>
        <w:pStyle w:val="Heading2"/>
      </w:pPr>
      <w:r>
        <w:t>2.5 Workpackage 4: Physiological, Metabolomic, and Proteomic Bridge (</w:t>
      </w:r>
      <w:r>
        <w:rPr>
          <w:rFonts w:ascii="Courier New" w:hAnsi="Courier New"/>
          <w:sz w:val="19"/>
        </w:rPr>
        <w:t>ZENODO16536514</w:t>
      </w:r>
      <w:r>
        <w:t xml:space="preserve"> &amp; </w:t>
      </w:r>
      <w:r>
        <w:rPr>
          <w:rFonts w:ascii="Courier New" w:hAnsi="Courier New"/>
          <w:sz w:val="19"/>
        </w:rPr>
        <w:t>PXD002353</w:t>
      </w:r>
      <w:r>
        <w:t>)</w:t>
      </w:r>
    </w:p>
    <w:p>
      <w:r>
        <w:t>To connect our epidermal, mesophyll, and vascular molecular hubs to whole-plant physiological performance and test whether habitat relative humidity (</w:t>
      </w:r>
      <w:r>
        <w:rPr>
          <w:rFonts w:ascii="Courier New" w:hAnsi="Courier New"/>
          <w:sz w:val="19"/>
        </w:rPr>
        <w:t>RH</w:t>
      </w:r>
      <w:r>
        <w:t xml:space="preserve">) can rescue the barosensory phenotype, we analyzed the multi-modal </w:t>
      </w:r>
      <w:r>
        <w:rPr>
          <w:rFonts w:ascii="Courier New" w:hAnsi="Courier New"/>
          <w:sz w:val="19"/>
        </w:rPr>
        <w:t>ZENODO16536514</w:t>
      </w:r>
      <w:r>
        <w:t xml:space="preserve"> dataset (62 kPa} vs. 101 kPa}, close to NASA's 56.54 kPa} and 70.33 kPa} setpoints, across 25\%, 50\%, and } 70\%\ RH}) and integrated the </w:t>
      </w:r>
      <w:r>
        <w:rPr>
          <w:rFonts w:ascii="Courier New" w:hAnsi="Courier New"/>
          <w:sz w:val="19"/>
        </w:rPr>
        <w:t>PXD002353</w:t>
      </w:r>
      <w:r>
        <w:t xml:space="preserve"> </w:t>
      </w:r>
      <w:r>
        <w:rPr>
          <w:rFonts w:ascii="Courier New" w:hAnsi="Courier New"/>
          <w:sz w:val="19"/>
        </w:rPr>
        <w:t>SnRK1.1K48M</w:t>
      </w:r>
      <w:r>
        <w:t xml:space="preserve"> submergence iTRAQ proteome as supportive contextual evidence (</w:t>
      </w:r>
      <w:r>
        <w:rPr>
          <w:rFonts w:ascii="Courier New" w:hAnsi="Courier New"/>
          <w:sz w:val="19"/>
        </w:rPr>
        <w:t>Table_S5A</w:t>
      </w:r>
      <w:r>
        <w:t xml:space="preserve">, </w:t>
      </w:r>
      <w:r>
        <w:rPr>
          <w:rFonts w:ascii="Courier New" w:hAnsi="Courier New"/>
          <w:sz w:val="19"/>
        </w:rPr>
        <w:t>Table_S5B</w:t>
      </w:r>
      <w:r>
        <w:t xml:space="preserve">, </w:t>
      </w:r>
      <w:r>
        <w:rPr>
          <w:rFonts w:ascii="Courier New" w:hAnsi="Courier New"/>
          <w:sz w:val="19"/>
        </w:rPr>
        <w:t>Table_S5C</w:t>
      </w:r>
      <w:r>
        <w:t>; Table 3, Figure 5A–D).</w:t>
      </w:r>
    </w:p>
    <w:p>
      <w:pPr>
        <w:jc w:val="center"/>
      </w:pPr>
      <w:r>
        <w:drawing>
          <wp:inline xmlns:a="http://schemas.openxmlformats.org/drawingml/2006/main" xmlns:pic="http://schemas.openxmlformats.org/drawingml/2006/picture">
            <wp:extent cx="5760720" cy="3925935"/>
            <wp:docPr id="5" name="Picture 5"/>
            <wp:cNvGraphicFramePr>
              <a:graphicFrameLocks noChangeAspect="1"/>
            </wp:cNvGraphicFramePr>
            <a:graphic>
              <a:graphicData uri="http://schemas.openxmlformats.org/drawingml/2006/picture">
                <pic:pic>
                  <pic:nvPicPr>
                    <pic:cNvPr id="0" name="fig5_physiological_metabolic_bridge.png"/>
                    <pic:cNvPicPr/>
                  </pic:nvPicPr>
                  <pic:blipFill>
                    <a:blip r:embed="rId13"/>
                    <a:stretch>
                      <a:fillRect/>
                    </a:stretch>
                  </pic:blipFill>
                  <pic:spPr>
                    <a:xfrm>
                      <a:off x="0" y="0"/>
                      <a:ext cx="5760720" cy="3925935"/>
                    </a:xfrm>
                    <a:prstGeom prst="rect"/>
                  </pic:spPr>
                </pic:pic>
              </a:graphicData>
            </a:graphic>
          </wp:inline>
        </w:drawing>
      </w:r>
    </w:p>
    <w:p>
      <w:r>
        <w:rPr>
          <w:b/>
        </w:rPr>
        <w:t>Figure 5 | Multi-omics bridge connecting transcriptomic barosensory and metabolic hubs to gas exchange, chlorophyll fluorescence, δ13C}, LC-MS metabolomics (`ZENODO16536514`), and `SnRK1.1K48M` proteomics (`PXD002353`).</w:t>
      </w:r>
      <w:r>
        <w:t xml:space="preserve"> </w:t>
      </w:r>
      <w:r>
        <w:rPr>
          <w:b/>
        </w:rPr>
        <w:t>(A)</w:t>
      </w:r>
      <w:r>
        <w:t xml:space="preserve"> Physiological gas-exchange and water-status shifts at 62 kPa} vs. 101 kPa} (50\%\ RH}), showing the +73.23\% surge in leaf-to-air vapor pressure ratio (</w:t>
      </w:r>
      <w:r>
        <w:rPr>
          <w:rFonts w:ascii="Courier New" w:hAnsi="Courier New"/>
          <w:sz w:val="19"/>
        </w:rPr>
        <w:t>VPD</w:t>
      </w:r>
      <w:r>
        <w:t>, p = 6.84 × 10^{-16}), the -76.25\% collapse in stomatal conductance (</w:t>
      </w:r>
      <w:r>
        <w:rPr>
          <w:rFonts w:ascii="Courier New" w:hAnsi="Courier New"/>
          <w:sz w:val="19"/>
        </w:rPr>
        <w:t>GH2O</w:t>
      </w:r>
      <w:r>
        <w:t>, p = 8.27 × 10^{-9}), the -55.93\% drop in net CO}_2 assimilation (</w:t>
      </w:r>
      <w:r>
        <w:rPr>
          <w:rFonts w:ascii="Courier New" w:hAnsi="Courier New"/>
          <w:sz w:val="19"/>
        </w:rPr>
        <w:t>A</w:t>
      </w:r>
      <w:r>
        <w:t>, p = 1.51 × 10^{-4}), the -11.61\% reduction in leaf relative water content (</w:t>
      </w:r>
      <w:r>
        <w:rPr>
          <w:rFonts w:ascii="Courier New" w:hAnsi="Courier New"/>
          <w:sz w:val="19"/>
        </w:rPr>
        <w:t>RWC</w:t>
      </w:r>
      <w:r>
        <w:t xml:space="preserve">, p = 0.0113), and the +1.02‰} enrichment in foliar δ13C} (p = 0.0117). </w:t>
      </w:r>
      <w:r>
        <w:rPr>
          <w:b/>
        </w:rPr>
        <w:t>(B)</w:t>
      </w:r>
      <w:r>
        <w:t xml:space="preserve"> Chlorophyll fluorescence light-response curves (n=252 observations across PPFD = 0--}1092\ μmol m}^{-2} s}^{-1}), demonstrating that PSII electron transport rate </w:t>
      </w:r>
      <w:r>
        <w:rPr>
          <w:rFonts w:ascii="Courier New" w:hAnsi="Courier New"/>
          <w:sz w:val="19"/>
        </w:rPr>
        <w:t>ETR(II)</w:t>
      </w:r>
      <w:r>
        <w:t xml:space="preserve"> and quantum yield </w:t>
      </w:r>
      <w:r>
        <w:rPr>
          <w:rFonts w:ascii="Courier New" w:hAnsi="Courier New"/>
          <w:sz w:val="19"/>
        </w:rPr>
        <w:t>Y(II)</w:t>
      </w:r>
      <w:r>
        <w:t xml:space="preserve"> remain intact at 62 kPa}. </w:t>
      </w:r>
      <w:r>
        <w:rPr>
          <w:b/>
        </w:rPr>
        <w:t>(C)</w:t>
      </w:r>
      <w:r>
        <w:t xml:space="preserve"> LC-MS secondary metabolite and chloroplast galactolipid triangulation across 101 kPa} (50\%\ RH}), 62 kPa} (50\%\ RH}), 62 kPa} (70\%\ RH} humidity rescue), and 101 kPa} (25\%\ RH} dry air). </w:t>
      </w:r>
      <w:r>
        <w:rPr>
          <w:b/>
        </w:rPr>
        <w:t>(D)</w:t>
      </w:r>
      <w:r>
        <w:t xml:space="preserve"> TabPFN v2 posterior probabilities of the hypobaric metabolic state across relative humidity treatments, demonstrating significant physiological rescue at 70\%\ RH} (P(Hypobaric}\mid\mathbf{x}) drops from 0.9822 to 0.7908).</w:t>
      </w:r>
    </w:p>
    <w:p>
      <w:r>
        <w:t>At 62 kPa} (50\%\ RH}), where binary gas diffusivity is accelerated by D/D_0 = 101.3/62 = 1.63×, whole-plant gas exchange (</w:t>
      </w:r>
      <w:r>
        <w:rPr>
          <w:rFonts w:ascii="Courier New" w:hAnsi="Courier New"/>
          <w:sz w:val="19"/>
        </w:rPr>
        <w:t>n = 52</w:t>
      </w:r>
      <w:r>
        <w:t xml:space="preserve"> Li-6800 measurements: leaf temperature 22.0^\circC}, flow rate 500\ μmol s}^{-1}, reference CO}_2 = 400\ μmol mol}^{-1}, mole-fraction vapor pressure deficit VPD_{mol}} = (e_{sat}} - e_{air}})/P_{total}}) and leaf composition assays (</w:t>
      </w:r>
      <w:r>
        <w:rPr>
          <w:rFonts w:ascii="Courier New" w:hAnsi="Courier New"/>
          <w:sz w:val="19"/>
        </w:rPr>
        <w:t>Table_S5A</w:t>
      </w:r>
      <w:r>
        <w:t>, Table 3, Figure 5A) revealed a marked diffusive-stomatal response:</w:t>
      </w:r>
    </w:p>
    <w:p>
      <w:pPr>
        <w:pStyle w:val="ListNumber"/>
      </w:pPr>
      <w:r>
        <w:rPr>
          <w:b/>
        </w:rPr>
        <w:t>Evaporative Demand &amp; Stomatal Closure:</w:t>
      </w:r>
      <w:r>
        <w:t xml:space="preserve"> The leaf-to-air vapor pressure ratio (</w:t>
      </w:r>
      <w:r>
        <w:rPr>
          <w:rFonts w:ascii="Courier New" w:hAnsi="Courier New"/>
          <w:sz w:val="19"/>
        </w:rPr>
        <w:t>VPD</w:t>
      </w:r>
      <w:r>
        <w:t xml:space="preserve">) increased by </w:t>
      </w:r>
      <w:r>
        <w:rPr>
          <w:b/>
        </w:rPr>
        <w:t>+73.23\%</w:t>
      </w:r>
      <w:r>
        <w:t xml:space="preserve"> (from 19.44 ± 5.20 to 33.67 ± 1.20\ Pa kPa}^{-1}; median [IQR]: 15.94\ [9.88] vs. 34.56\ [2.36]; Hedges' g = +3.476, Welch p = 6.84 × 10^{-16}, Mann–Whitney p = 1.04 × 10^{-9}). In response to accelerated boundary-layer vapor efflux and epidermal dehydration (</w:t>
      </w:r>
      <w:r>
        <w:rPr>
          <w:rFonts w:ascii="Courier New" w:hAnsi="Courier New"/>
          <w:sz w:val="19"/>
        </w:rPr>
        <w:t>RWC</w:t>
      </w:r>
      <w:r>
        <w:t xml:space="preserve"> dropped by </w:t>
      </w:r>
      <w:r>
        <w:rPr>
          <w:b/>
        </w:rPr>
        <w:t>-11.61\%</w:t>
      </w:r>
      <w:r>
        <w:t xml:space="preserve"> from 84.71 ± 7.15\% to 74.88 ± 4.40\%, Hedges' g = -1.550, Welch p = 0.0113, Mann–Whitney p = 0.0070), stomatal conductance to water vapor (</w:t>
      </w:r>
      <w:r>
        <w:rPr>
          <w:rFonts w:ascii="Courier New" w:hAnsi="Courier New"/>
          <w:sz w:val="19"/>
        </w:rPr>
        <w:t>GH2O</w:t>
      </w:r>
      <w:r>
        <w:t xml:space="preserve">) collapsed by </w:t>
      </w:r>
      <w:r>
        <w:rPr>
          <w:b/>
        </w:rPr>
        <w:t>-76.25\%</w:t>
      </w:r>
      <w:r>
        <w:t xml:space="preserve"> (from 36.64 ± 19.29 to 8.70 ± 3.46\ mmol m}^{-2} s}^{-1}; median [IQR]: 38.85\ [30.38] vs. 7.73\ [4.02]; Hedges' g = -1.852, Welch p = 8.27 × 10^{-9}, Mann–Whitney p = 3.69 × 10^{-7}), reducing whole-leaf transpiration (</w:t>
      </w:r>
      <w:r>
        <w:rPr>
          <w:rFonts w:ascii="Courier New" w:hAnsi="Courier New"/>
          <w:sz w:val="19"/>
        </w:rPr>
        <w:t>E</w:t>
      </w:r>
      <w:r>
        <w:t xml:space="preserve">) by </w:t>
      </w:r>
      <w:r>
        <w:rPr>
          <w:b/>
        </w:rPr>
        <w:t>-54.58\%</w:t>
      </w:r>
      <w:r>
        <w:t xml:space="preserve"> (g = -1.523, p = 2.63 × 10^{-7}).</w:t>
      </w:r>
    </w:p>
    <w:p>
      <w:pPr>
        <w:pStyle w:val="ListNumber"/>
      </w:pPr>
      <w:r>
        <w:rPr>
          <w:b/>
        </w:rPr>
        <w:t>Diffusive Carbon Limitation Despite Intact Photochemistry:</w:t>
      </w:r>
      <w:r>
        <w:t xml:space="preserve"> Stomatal closure at 62 kPa} reduced intercellular CO}_2 concentration (</w:t>
      </w:r>
      <w:r>
        <w:rPr>
          <w:rFonts w:ascii="Courier New" w:hAnsi="Courier New"/>
          <w:sz w:val="19"/>
        </w:rPr>
        <w:t>ci</w:t>
      </w:r>
      <w:r>
        <w:t xml:space="preserve">) by </w:t>
      </w:r>
      <w:r>
        <w:rPr>
          <w:b/>
        </w:rPr>
        <w:t>-11.26\%</w:t>
      </w:r>
      <w:r>
        <w:t xml:space="preserve"> (from 354.8 ± 23.6 to 314.9 ± 49.3\ μmol mol}^{-1}, g = -1.075, p = 0.0015) and decreased net photosynthetic CO}_2 assimilation (</w:t>
      </w:r>
      <w:r>
        <w:rPr>
          <w:rFonts w:ascii="Courier New" w:hAnsi="Courier New"/>
          <w:sz w:val="19"/>
        </w:rPr>
        <w:t>A</w:t>
      </w:r>
      <w:r>
        <w:t xml:space="preserve">) by </w:t>
      </w:r>
      <w:r>
        <w:rPr>
          <w:b/>
        </w:rPr>
        <w:t>-55.93\%</w:t>
      </w:r>
      <w:r>
        <w:t xml:space="preserve"> (from 1.174 ± 0.744 to 0.518 ± 0.387\ μmol m}^{-2} s}^{-1}; median [IQR]: 1.042\ [0.810] vs. 0.432\ [0.705]; Hedges' g = -1.044, Welch p = 1.51 × 10^{-4}). Time-integrated stomatal restriction over the growth period was recorded in foliar carbon isotope discrimination (δ13C}), which shifted by </w:t>
      </w:r>
      <w:r>
        <w:rPr>
          <w:b/>
        </w:rPr>
        <w:t>+1.02‰}</w:t>
      </w:r>
      <w:r>
        <w:t xml:space="preserve"> (from -33.07 ± 0.27‰} to -32.06 ± 0.77‰}, Hedges' g = +1.661, Welch p = 0.0117, Mann–Whitney p = 0.0012). Crucially, PAM chlorophyll fluorescence light-response curves across n = 252 observations (PPFD = 0 to }1092\ μmol m}^{-2} s}^{-1}; fitted using the non-rectangular hyperbola model; Figure 5B) demonstrated that Photosystem II electron transport rate </w:t>
      </w:r>
      <w:r>
        <w:rPr>
          <w:rFonts w:ascii="Courier New" w:hAnsi="Courier New"/>
          <w:sz w:val="19"/>
        </w:rPr>
        <w:t>ETR(II)</w:t>
      </w:r>
      <w:r>
        <w:t xml:space="preserve"> (35.98 ± 18.88 vs. 34.12 ± 18.15\ μmol e}^- m}^{-2} s}^{-1} at saturating light) and effective quantum yield </w:t>
      </w:r>
      <w:r>
        <w:rPr>
          <w:rFonts w:ascii="Courier New" w:hAnsi="Courier New"/>
          <w:sz w:val="19"/>
        </w:rPr>
        <w:t>Y(II)</w:t>
      </w:r>
      <w:r>
        <w:t xml:space="preserve"> were preserved at 62 kPa}, while chlorophyll per unit leaf area (</w:t>
      </w:r>
      <w:r>
        <w:rPr>
          <w:rFonts w:ascii="Courier New" w:hAnsi="Courier New"/>
          <w:sz w:val="19"/>
        </w:rPr>
        <w:t>chlarea</w:t>
      </w:r>
      <w:r>
        <w:t>) slightly increased (+9.26\%, p = 0.0319).</w:t>
      </w:r>
    </w:p>
    <w:tbl>
      <w:tblPr>
        <w:tblStyle w:val="TableGrid"/>
        <w:tblW w:type="auto" w:w="0"/>
        <w:jc w:val="center"/>
        <w:tblLook w:firstColumn="1" w:firstRow="1" w:lastColumn="0" w:lastRow="0" w:noHBand="0" w:noVBand="1" w:val="04A0"/>
      </w:tblPr>
      <w:tblGrid>
        <w:gridCol w:w="1080"/>
        <w:gridCol w:w="1080"/>
        <w:gridCol w:w="1080"/>
        <w:gridCol w:w="1080"/>
        <w:gridCol w:w="1080"/>
        <w:gridCol w:w="1080"/>
        <w:gridCol w:w="1080"/>
        <w:gridCol w:w="1080"/>
      </w:tblGrid>
      <w:tr>
        <w:tc>
          <w:tcPr>
            <w:tcW w:type="dxa" w:w="1080"/>
          </w:tcPr>
          <w:p>
            <w:r>
              <w:rPr>
                <w:b/>
                <w:sz w:val="17"/>
              </w:rPr>
              <w:t>Trait Code</w:t>
            </w:r>
          </w:p>
        </w:tc>
        <w:tc>
          <w:tcPr>
            <w:tcW w:type="dxa" w:w="1080"/>
          </w:tcPr>
          <w:p>
            <w:r>
              <w:rPr>
                <w:b/>
                <w:sz w:val="17"/>
              </w:rPr>
              <w:t>Physiological Trait (Units)</w:t>
            </w:r>
          </w:p>
        </w:tc>
        <w:tc>
          <w:tcPr>
            <w:tcW w:type="dxa" w:w="1080"/>
          </w:tcPr>
          <w:p>
            <w:r>
              <w:rPr>
                <w:b/>
                <w:sz w:val="17"/>
              </w:rPr>
              <w:t>101 kPa} Mean ± SD (Median [IQR])</w:t>
            </w:r>
          </w:p>
        </w:tc>
        <w:tc>
          <w:tcPr>
            <w:tcW w:type="dxa" w:w="1080"/>
          </w:tcPr>
          <w:p>
            <w:r>
              <w:rPr>
                <w:b/>
                <w:sz w:val="17"/>
              </w:rPr>
              <w:t>62 kPa} Mean ± SD (Median [IQR])</w:t>
            </w:r>
          </w:p>
        </w:tc>
        <w:tc>
          <w:tcPr>
            <w:tcW w:type="dxa" w:w="1080"/>
          </w:tcPr>
          <w:p>
            <w:r>
              <w:rPr>
                <w:b/>
                <w:sz w:val="17"/>
              </w:rPr>
              <w:t>% Change</w:t>
            </w:r>
          </w:p>
        </w:tc>
        <w:tc>
          <w:tcPr>
            <w:tcW w:type="dxa" w:w="1080"/>
          </w:tcPr>
          <w:p>
            <w:r>
              <w:rPr>
                <w:b/>
                <w:sz w:val="17"/>
              </w:rPr>
              <w:t>Hedges' g</w:t>
            </w:r>
          </w:p>
        </w:tc>
        <w:tc>
          <w:tcPr>
            <w:tcW w:type="dxa" w:w="1080"/>
          </w:tcPr>
          <w:p>
            <w:r>
              <w:rPr>
                <w:b/>
                <w:sz w:val="17"/>
              </w:rPr>
              <w:t>Welch t-test p</w:t>
            </w:r>
          </w:p>
        </w:tc>
        <w:tc>
          <w:tcPr>
            <w:tcW w:type="dxa" w:w="1080"/>
          </w:tcPr>
          <w:p>
            <w:r>
              <w:rPr>
                <w:b/>
                <w:sz w:val="17"/>
              </w:rPr>
              <w:t>Mann–Whitney U p</w:t>
            </w:r>
          </w:p>
        </w:tc>
      </w:tr>
      <w:tr>
        <w:tc>
          <w:tcPr>
            <w:tcW w:type="dxa" w:w="1080"/>
          </w:tcPr>
          <w:p>
            <w:r>
              <w:rPr>
                <w:b/>
                <w:sz w:val="17"/>
              </w:rPr>
              <w:t>VPD</w:t>
            </w:r>
          </w:p>
        </w:tc>
        <w:tc>
          <w:tcPr>
            <w:tcW w:type="dxa" w:w="1080"/>
          </w:tcPr>
          <w:p>
            <w:r>
              <w:rPr>
                <w:sz w:val="17"/>
              </w:rPr>
              <w:t>Leaf-to-air vapor pressure ratio (Pa kPa}^{-1})</w:t>
            </w:r>
          </w:p>
        </w:tc>
        <w:tc>
          <w:tcPr>
            <w:tcW w:type="dxa" w:w="1080"/>
          </w:tcPr>
          <w:p>
            <w:r>
              <w:rPr>
                <w:sz w:val="17"/>
              </w:rPr>
              <w:t>19.44 ± 5.20 (15.94\ [9.88])</w:t>
            </w:r>
          </w:p>
        </w:tc>
        <w:tc>
          <w:tcPr>
            <w:tcW w:type="dxa" w:w="1080"/>
          </w:tcPr>
          <w:p>
            <w:r>
              <w:rPr>
                <w:sz w:val="17"/>
              </w:rPr>
              <w:t>33.67 ± 1.20 (34.56\ [2.36])</w:t>
            </w:r>
          </w:p>
        </w:tc>
        <w:tc>
          <w:tcPr>
            <w:tcW w:type="dxa" w:w="1080"/>
          </w:tcPr>
          <w:p>
            <w:r>
              <w:rPr>
                <w:b/>
                <w:sz w:val="17"/>
              </w:rPr>
              <w:t>+73.23\%</w:t>
            </w:r>
          </w:p>
        </w:tc>
        <w:tc>
          <w:tcPr>
            <w:tcW w:type="dxa" w:w="1080"/>
          </w:tcPr>
          <w:p>
            <w:r>
              <w:rPr>
                <w:sz w:val="17"/>
              </w:rPr>
              <w:t>+3.476</w:t>
            </w:r>
          </w:p>
        </w:tc>
        <w:tc>
          <w:tcPr>
            <w:tcW w:type="dxa" w:w="1080"/>
          </w:tcPr>
          <w:p>
            <w:r>
              <w:rPr>
                <w:b/>
                <w:sz w:val="17"/>
              </w:rPr>
              <w:t>6.84 × 10^{-16}</w:t>
            </w:r>
          </w:p>
        </w:tc>
        <w:tc>
          <w:tcPr>
            <w:tcW w:type="dxa" w:w="1080"/>
          </w:tcPr>
          <w:p>
            <w:r>
              <w:rPr>
                <w:b/>
                <w:sz w:val="17"/>
              </w:rPr>
              <w:t>1.04 × 10^{-9}</w:t>
            </w:r>
          </w:p>
        </w:tc>
      </w:tr>
      <w:tr>
        <w:tc>
          <w:tcPr>
            <w:tcW w:type="dxa" w:w="1080"/>
          </w:tcPr>
          <w:p>
            <w:r>
              <w:rPr>
                <w:b/>
                <w:sz w:val="17"/>
              </w:rPr>
              <w:t>GH2O</w:t>
            </w:r>
          </w:p>
        </w:tc>
        <w:tc>
          <w:tcPr>
            <w:tcW w:type="dxa" w:w="1080"/>
          </w:tcPr>
          <w:p>
            <w:r>
              <w:rPr>
                <w:sz w:val="17"/>
              </w:rPr>
              <w:t>Stomatal conductance g_{sw} (mmol m}^{-2} s}^{-1})</w:t>
            </w:r>
          </w:p>
        </w:tc>
        <w:tc>
          <w:tcPr>
            <w:tcW w:type="dxa" w:w="1080"/>
          </w:tcPr>
          <w:p>
            <w:r>
              <w:rPr>
                <w:sz w:val="17"/>
              </w:rPr>
              <w:t>36.64 ± 19.29 (38.85\ [30.38])</w:t>
            </w:r>
          </w:p>
        </w:tc>
        <w:tc>
          <w:tcPr>
            <w:tcW w:type="dxa" w:w="1080"/>
          </w:tcPr>
          <w:p>
            <w:r>
              <w:rPr>
                <w:sz w:val="17"/>
              </w:rPr>
              <w:t>8.70 ± 3.46 (7.73\ [4.02])</w:t>
            </w:r>
          </w:p>
        </w:tc>
        <w:tc>
          <w:tcPr>
            <w:tcW w:type="dxa" w:w="1080"/>
          </w:tcPr>
          <w:p>
            <w:r>
              <w:rPr>
                <w:b/>
                <w:sz w:val="17"/>
              </w:rPr>
              <w:t>-76.25\%</w:t>
            </w:r>
          </w:p>
        </w:tc>
        <w:tc>
          <w:tcPr>
            <w:tcW w:type="dxa" w:w="1080"/>
          </w:tcPr>
          <w:p>
            <w:r>
              <w:rPr>
                <w:sz w:val="17"/>
              </w:rPr>
              <w:t>-1.852</w:t>
            </w:r>
          </w:p>
        </w:tc>
        <w:tc>
          <w:tcPr>
            <w:tcW w:type="dxa" w:w="1080"/>
          </w:tcPr>
          <w:p>
            <w:r>
              <w:rPr>
                <w:b/>
                <w:sz w:val="17"/>
              </w:rPr>
              <w:t>8.27 × 10^{-9}</w:t>
            </w:r>
          </w:p>
        </w:tc>
        <w:tc>
          <w:tcPr>
            <w:tcW w:type="dxa" w:w="1080"/>
          </w:tcPr>
          <w:p>
            <w:r>
              <w:rPr>
                <w:b/>
                <w:sz w:val="17"/>
              </w:rPr>
              <w:t>3.69 × 10^{-7}</w:t>
            </w:r>
          </w:p>
        </w:tc>
      </w:tr>
      <w:tr>
        <w:tc>
          <w:tcPr>
            <w:tcW w:type="dxa" w:w="1080"/>
          </w:tcPr>
          <w:p>
            <w:r>
              <w:rPr>
                <w:b/>
                <w:sz w:val="17"/>
              </w:rPr>
              <w:t>E</w:t>
            </w:r>
          </w:p>
        </w:tc>
        <w:tc>
          <w:tcPr>
            <w:tcW w:type="dxa" w:w="1080"/>
          </w:tcPr>
          <w:p>
            <w:r>
              <w:rPr>
                <w:sz w:val="17"/>
              </w:rPr>
              <w:t>Transpiration rate E (mmol m}^{-2} s}^{-1})</w:t>
            </w:r>
          </w:p>
        </w:tc>
        <w:tc>
          <w:tcPr>
            <w:tcW w:type="dxa" w:w="1080"/>
          </w:tcPr>
          <w:p>
            <w:r>
              <w:rPr>
                <w:sz w:val="17"/>
              </w:rPr>
              <w:t>0.640 ± 0.282 (0.640\ [0.322])</w:t>
            </w:r>
          </w:p>
        </w:tc>
        <w:tc>
          <w:tcPr>
            <w:tcW w:type="dxa" w:w="1080"/>
          </w:tcPr>
          <w:p>
            <w:r>
              <w:rPr>
                <w:sz w:val="17"/>
              </w:rPr>
              <w:t>0.291 ± 0.109 (0.267\ [0.123])</w:t>
            </w:r>
          </w:p>
        </w:tc>
        <w:tc>
          <w:tcPr>
            <w:tcW w:type="dxa" w:w="1080"/>
          </w:tcPr>
          <w:p>
            <w:r>
              <w:rPr>
                <w:b/>
                <w:sz w:val="17"/>
              </w:rPr>
              <w:t>-54.58\%</w:t>
            </w:r>
          </w:p>
        </w:tc>
        <w:tc>
          <w:tcPr>
            <w:tcW w:type="dxa" w:w="1080"/>
          </w:tcPr>
          <w:p>
            <w:r>
              <w:rPr>
                <w:sz w:val="17"/>
              </w:rPr>
              <w:t>-1.523</w:t>
            </w:r>
          </w:p>
        </w:tc>
        <w:tc>
          <w:tcPr>
            <w:tcW w:type="dxa" w:w="1080"/>
          </w:tcPr>
          <w:p>
            <w:r>
              <w:rPr>
                <w:b/>
                <w:sz w:val="17"/>
              </w:rPr>
              <w:t>2.63 × 10^{-7}</w:t>
            </w:r>
          </w:p>
        </w:tc>
        <w:tc>
          <w:tcPr>
            <w:tcW w:type="dxa" w:w="1080"/>
          </w:tcPr>
          <w:p>
            <w:r>
              <w:rPr>
                <w:b/>
                <w:sz w:val="17"/>
              </w:rPr>
              <w:t>1.80 × 10^{-5}</w:t>
            </w:r>
          </w:p>
        </w:tc>
      </w:tr>
      <w:tr>
        <w:tc>
          <w:tcPr>
            <w:tcW w:type="dxa" w:w="1080"/>
          </w:tcPr>
          <w:p>
            <w:r>
              <w:rPr>
                <w:b/>
                <w:sz w:val="17"/>
              </w:rPr>
              <w:t>A</w:t>
            </w:r>
          </w:p>
        </w:tc>
        <w:tc>
          <w:tcPr>
            <w:tcW w:type="dxa" w:w="1080"/>
          </w:tcPr>
          <w:p>
            <w:r>
              <w:rPr>
                <w:sz w:val="17"/>
              </w:rPr>
              <w:t>Net CO}_2 assimilation A (μmol m}^{-2} s}^{-1})</w:t>
            </w:r>
          </w:p>
        </w:tc>
        <w:tc>
          <w:tcPr>
            <w:tcW w:type="dxa" w:w="1080"/>
          </w:tcPr>
          <w:p>
            <w:r>
              <w:rPr>
                <w:sz w:val="17"/>
              </w:rPr>
              <w:t>1.174 ± 0.744 (1.042\ [0.810])</w:t>
            </w:r>
          </w:p>
        </w:tc>
        <w:tc>
          <w:tcPr>
            <w:tcW w:type="dxa" w:w="1080"/>
          </w:tcPr>
          <w:p>
            <w:r>
              <w:rPr>
                <w:sz w:val="17"/>
              </w:rPr>
              <w:t>0.518 ± 0.387 (0.432\ [0.705])</w:t>
            </w:r>
          </w:p>
        </w:tc>
        <w:tc>
          <w:tcPr>
            <w:tcW w:type="dxa" w:w="1080"/>
          </w:tcPr>
          <w:p>
            <w:r>
              <w:rPr>
                <w:b/>
                <w:sz w:val="17"/>
              </w:rPr>
              <w:t>-55.93\%</w:t>
            </w:r>
          </w:p>
        </w:tc>
        <w:tc>
          <w:tcPr>
            <w:tcW w:type="dxa" w:w="1080"/>
          </w:tcPr>
          <w:p>
            <w:r>
              <w:rPr>
                <w:sz w:val="17"/>
              </w:rPr>
              <w:t>-1.044</w:t>
            </w:r>
          </w:p>
        </w:tc>
        <w:tc>
          <w:tcPr>
            <w:tcW w:type="dxa" w:w="1080"/>
          </w:tcPr>
          <w:p>
            <w:r>
              <w:rPr>
                <w:b/>
                <w:sz w:val="17"/>
              </w:rPr>
              <w:t>1.51 × 10^{-4}</w:t>
            </w:r>
          </w:p>
        </w:tc>
        <w:tc>
          <w:tcPr>
            <w:tcW w:type="dxa" w:w="1080"/>
          </w:tcPr>
          <w:p>
            <w:r>
              <w:rPr>
                <w:b/>
                <w:sz w:val="17"/>
              </w:rPr>
              <w:t>1.64 × 10^{-4}</w:t>
            </w:r>
          </w:p>
        </w:tc>
      </w:tr>
      <w:tr>
        <w:tc>
          <w:tcPr>
            <w:tcW w:type="dxa" w:w="1080"/>
          </w:tcPr>
          <w:p>
            <w:r>
              <w:rPr>
                <w:b/>
                <w:sz w:val="17"/>
              </w:rPr>
              <w:t>ci</w:t>
            </w:r>
          </w:p>
        </w:tc>
        <w:tc>
          <w:tcPr>
            <w:tcW w:type="dxa" w:w="1080"/>
          </w:tcPr>
          <w:p>
            <w:r>
              <w:rPr>
                <w:sz w:val="17"/>
              </w:rPr>
              <w:t>Intercellular CO}_2 c_i (μmol mol}^{-1})</w:t>
            </w:r>
          </w:p>
        </w:tc>
        <w:tc>
          <w:tcPr>
            <w:tcW w:type="dxa" w:w="1080"/>
          </w:tcPr>
          <w:p>
            <w:r>
              <w:rPr>
                <w:sz w:val="17"/>
              </w:rPr>
              <w:t>354.8 ± 23.6 (359.1\ [30.7])</w:t>
            </w:r>
          </w:p>
        </w:tc>
        <w:tc>
          <w:tcPr>
            <w:tcW w:type="dxa" w:w="1080"/>
          </w:tcPr>
          <w:p>
            <w:r>
              <w:rPr>
                <w:sz w:val="17"/>
              </w:rPr>
              <w:t>314.9 ± 49.3 (308.9\ [86.4])</w:t>
            </w:r>
          </w:p>
        </w:tc>
        <w:tc>
          <w:tcPr>
            <w:tcW w:type="dxa" w:w="1080"/>
          </w:tcPr>
          <w:p>
            <w:r>
              <w:rPr>
                <w:b/>
                <w:sz w:val="17"/>
              </w:rPr>
              <w:t>-11.26\%</w:t>
            </w:r>
          </w:p>
        </w:tc>
        <w:tc>
          <w:tcPr>
            <w:tcW w:type="dxa" w:w="1080"/>
          </w:tcPr>
          <w:p>
            <w:r>
              <w:rPr>
                <w:sz w:val="17"/>
              </w:rPr>
              <w:t>-1.075</w:t>
            </w:r>
          </w:p>
        </w:tc>
        <w:tc>
          <w:tcPr>
            <w:tcW w:type="dxa" w:w="1080"/>
          </w:tcPr>
          <w:p>
            <w:r>
              <w:rPr>
                <w:b/>
                <w:sz w:val="17"/>
              </w:rPr>
              <w:t>0.0015</w:t>
            </w:r>
          </w:p>
        </w:tc>
        <w:tc>
          <w:tcPr>
            <w:tcW w:type="dxa" w:w="1080"/>
          </w:tcPr>
          <w:p>
            <w:r>
              <w:rPr>
                <w:b/>
                <w:sz w:val="17"/>
              </w:rPr>
              <w:t>0.0050</w:t>
            </w:r>
          </w:p>
        </w:tc>
      </w:tr>
      <w:tr>
        <w:tc>
          <w:tcPr>
            <w:tcW w:type="dxa" w:w="1080"/>
          </w:tcPr>
          <w:p>
            <w:r>
              <w:rPr>
                <w:b/>
                <w:sz w:val="17"/>
              </w:rPr>
              <w:t>cica</w:t>
            </w:r>
          </w:p>
        </w:tc>
        <w:tc>
          <w:tcPr>
            <w:tcW w:type="dxa" w:w="1080"/>
          </w:tcPr>
          <w:p>
            <w:r>
              <w:rPr>
                <w:sz w:val="17"/>
              </w:rPr>
              <w:t>c_i / c_a ratio</w:t>
            </w:r>
          </w:p>
        </w:tc>
        <w:tc>
          <w:tcPr>
            <w:tcW w:type="dxa" w:w="1080"/>
          </w:tcPr>
          <w:p>
            <w:r>
              <w:rPr>
                <w:sz w:val="17"/>
              </w:rPr>
              <w:t>0.843 ± 0.056 (0.853\ [0.074])</w:t>
            </w:r>
          </w:p>
        </w:tc>
        <w:tc>
          <w:tcPr>
            <w:tcW w:type="dxa" w:w="1080"/>
          </w:tcPr>
          <w:p>
            <w:r>
              <w:rPr>
                <w:sz w:val="17"/>
              </w:rPr>
              <w:t>0.749 ± 0.117 (0.734\ [0.207])</w:t>
            </w:r>
          </w:p>
        </w:tc>
        <w:tc>
          <w:tcPr>
            <w:tcW w:type="dxa" w:w="1080"/>
          </w:tcPr>
          <w:p>
            <w:r>
              <w:rPr>
                <w:b/>
                <w:sz w:val="17"/>
              </w:rPr>
              <w:t>-11.08\%</w:t>
            </w:r>
          </w:p>
        </w:tc>
        <w:tc>
          <w:tcPr>
            <w:tcW w:type="dxa" w:w="1080"/>
          </w:tcPr>
          <w:p>
            <w:r>
              <w:rPr>
                <w:sz w:val="17"/>
              </w:rPr>
              <w:t>-1.058</w:t>
            </w:r>
          </w:p>
        </w:tc>
        <w:tc>
          <w:tcPr>
            <w:tcW w:type="dxa" w:w="1080"/>
          </w:tcPr>
          <w:p>
            <w:r>
              <w:rPr>
                <w:b/>
                <w:sz w:val="17"/>
              </w:rPr>
              <w:t>0.0017</w:t>
            </w:r>
          </w:p>
        </w:tc>
        <w:tc>
          <w:tcPr>
            <w:tcW w:type="dxa" w:w="1080"/>
          </w:tcPr>
          <w:p>
            <w:r>
              <w:rPr>
                <w:b/>
                <w:sz w:val="17"/>
              </w:rPr>
              <w:t>0.0067</w:t>
            </w:r>
          </w:p>
        </w:tc>
      </w:tr>
      <w:tr>
        <w:tc>
          <w:tcPr>
            <w:tcW w:type="dxa" w:w="1080"/>
          </w:tcPr>
          <w:p>
            <w:r>
              <w:rPr>
                <w:b/>
                <w:sz w:val="17"/>
              </w:rPr>
              <w:t>RWC</w:t>
            </w:r>
          </w:p>
        </w:tc>
        <w:tc>
          <w:tcPr>
            <w:tcW w:type="dxa" w:w="1080"/>
          </w:tcPr>
          <w:p>
            <w:r>
              <w:rPr>
                <w:sz w:val="17"/>
              </w:rPr>
              <w:t>Leaf relative water content (fraction)</w:t>
            </w:r>
          </w:p>
        </w:tc>
        <w:tc>
          <w:tcPr>
            <w:tcW w:type="dxa" w:w="1080"/>
          </w:tcPr>
          <w:p>
            <w:r>
              <w:rPr>
                <w:sz w:val="17"/>
              </w:rPr>
              <w:t>0.847 ± 0.072 (0.818\ [0.105])</w:t>
            </w:r>
          </w:p>
        </w:tc>
        <w:tc>
          <w:tcPr>
            <w:tcW w:type="dxa" w:w="1080"/>
          </w:tcPr>
          <w:p>
            <w:r>
              <w:rPr>
                <w:sz w:val="17"/>
              </w:rPr>
              <w:t>0.749 ± 0.044 (0.748\ [0.028])</w:t>
            </w:r>
          </w:p>
        </w:tc>
        <w:tc>
          <w:tcPr>
            <w:tcW w:type="dxa" w:w="1080"/>
          </w:tcPr>
          <w:p>
            <w:r>
              <w:rPr>
                <w:b/>
                <w:sz w:val="17"/>
              </w:rPr>
              <w:t>-11.61\%</w:t>
            </w:r>
          </w:p>
        </w:tc>
        <w:tc>
          <w:tcPr>
            <w:tcW w:type="dxa" w:w="1080"/>
          </w:tcPr>
          <w:p>
            <w:r>
              <w:rPr>
                <w:sz w:val="17"/>
              </w:rPr>
              <w:t>-1.550</w:t>
            </w:r>
          </w:p>
        </w:tc>
        <w:tc>
          <w:tcPr>
            <w:tcW w:type="dxa" w:w="1080"/>
          </w:tcPr>
          <w:p>
            <w:r>
              <w:rPr>
                <w:b/>
                <w:sz w:val="17"/>
              </w:rPr>
              <w:t>0.0113</w:t>
            </w:r>
          </w:p>
        </w:tc>
        <w:tc>
          <w:tcPr>
            <w:tcW w:type="dxa" w:w="1080"/>
          </w:tcPr>
          <w:p>
            <w:r>
              <w:rPr>
                <w:b/>
                <w:sz w:val="17"/>
              </w:rPr>
              <w:t>0.0070</w:t>
            </w:r>
          </w:p>
        </w:tc>
      </w:tr>
      <w:tr>
        <w:tc>
          <w:tcPr>
            <w:tcW w:type="dxa" w:w="1080"/>
          </w:tcPr>
          <w:p>
            <w:r>
              <w:rPr>
                <w:b/>
                <w:sz w:val="17"/>
              </w:rPr>
              <w:t>d13C</w:t>
            </w:r>
          </w:p>
        </w:tc>
        <w:tc>
          <w:tcPr>
            <w:tcW w:type="dxa" w:w="1080"/>
          </w:tcPr>
          <w:p>
            <w:r>
              <w:rPr>
                <w:sz w:val="17"/>
              </w:rPr>
              <w:t>Carbon isotope composition δ13C} (‰})</w:t>
            </w:r>
          </w:p>
        </w:tc>
        <w:tc>
          <w:tcPr>
            <w:tcW w:type="dxa" w:w="1080"/>
          </w:tcPr>
          <w:p>
            <w:r>
              <w:rPr>
                <w:sz w:val="17"/>
              </w:rPr>
              <w:t>-33.07 ± 0.27 (-33.12\ [0.21])</w:t>
            </w:r>
          </w:p>
        </w:tc>
        <w:tc>
          <w:tcPr>
            <w:tcW w:type="dxa" w:w="1080"/>
          </w:tcPr>
          <w:p>
            <w:r>
              <w:rPr>
                <w:sz w:val="17"/>
              </w:rPr>
              <w:t>-32.06 ± 0.77 (-32.29\ [0.20])</w:t>
            </w:r>
          </w:p>
        </w:tc>
        <w:tc>
          <w:tcPr>
            <w:tcW w:type="dxa" w:w="1080"/>
          </w:tcPr>
          <w:p>
            <w:r>
              <w:rPr>
                <w:b/>
                <w:sz w:val="17"/>
              </w:rPr>
              <w:t>+3.08\%</w:t>
            </w:r>
            <w:r>
              <w:rPr>
                <w:sz w:val="17"/>
              </w:rPr>
              <w:t xml:space="preserve"> (+1.02‰})</w:t>
            </w:r>
          </w:p>
        </w:tc>
        <w:tc>
          <w:tcPr>
            <w:tcW w:type="dxa" w:w="1080"/>
          </w:tcPr>
          <w:p>
            <w:r>
              <w:rPr>
                <w:sz w:val="17"/>
              </w:rPr>
              <w:t>+1.661</w:t>
            </w:r>
          </w:p>
        </w:tc>
        <w:tc>
          <w:tcPr>
            <w:tcW w:type="dxa" w:w="1080"/>
          </w:tcPr>
          <w:p>
            <w:r>
              <w:rPr>
                <w:b/>
                <w:sz w:val="17"/>
              </w:rPr>
              <w:t>0.0117</w:t>
            </w:r>
          </w:p>
        </w:tc>
        <w:tc>
          <w:tcPr>
            <w:tcW w:type="dxa" w:w="1080"/>
          </w:tcPr>
          <w:p>
            <w:r>
              <w:rPr>
                <w:b/>
                <w:sz w:val="17"/>
              </w:rPr>
              <w:t>0.0012</w:t>
            </w:r>
          </w:p>
        </w:tc>
      </w:tr>
      <w:tr>
        <w:tc>
          <w:tcPr>
            <w:tcW w:type="dxa" w:w="1080"/>
          </w:tcPr>
          <w:p>
            <w:r>
              <w:rPr>
                <w:b/>
                <w:sz w:val="17"/>
              </w:rPr>
              <w:t>chlarea</w:t>
            </w:r>
          </w:p>
        </w:tc>
        <w:tc>
          <w:tcPr>
            <w:tcW w:type="dxa" w:w="1080"/>
          </w:tcPr>
          <w:p>
            <w:r>
              <w:rPr>
                <w:sz w:val="17"/>
              </w:rPr>
              <w:t>Chlorophyll per leaf area (μg cm}^{-2})</w:t>
            </w:r>
          </w:p>
        </w:tc>
        <w:tc>
          <w:tcPr>
            <w:tcW w:type="dxa" w:w="1080"/>
          </w:tcPr>
          <w:p>
            <w:r>
              <w:rPr>
                <w:sz w:val="17"/>
              </w:rPr>
              <w:t>17.98 ± 1.52 (18.20\ [1.23])</w:t>
            </w:r>
          </w:p>
        </w:tc>
        <w:tc>
          <w:tcPr>
            <w:tcW w:type="dxa" w:w="1080"/>
          </w:tcPr>
          <w:p>
            <w:r>
              <w:rPr>
                <w:sz w:val="17"/>
              </w:rPr>
              <w:t>19.65 ± 1.67 (18.97\ [1.36])</w:t>
            </w:r>
          </w:p>
        </w:tc>
        <w:tc>
          <w:tcPr>
            <w:tcW w:type="dxa" w:w="1080"/>
          </w:tcPr>
          <w:p>
            <w:r>
              <w:rPr>
                <w:b/>
                <w:sz w:val="17"/>
              </w:rPr>
              <w:t>+9.26\%</w:t>
            </w:r>
          </w:p>
        </w:tc>
        <w:tc>
          <w:tcPr>
            <w:tcW w:type="dxa" w:w="1080"/>
          </w:tcPr>
          <w:p>
            <w:r>
              <w:rPr>
                <w:sz w:val="17"/>
              </w:rPr>
              <w:t>+0.997</w:t>
            </w:r>
          </w:p>
        </w:tc>
        <w:tc>
          <w:tcPr>
            <w:tcW w:type="dxa" w:w="1080"/>
          </w:tcPr>
          <w:p>
            <w:r>
              <w:rPr>
                <w:b/>
                <w:sz w:val="17"/>
              </w:rPr>
              <w:t>0.0319</w:t>
            </w:r>
          </w:p>
        </w:tc>
        <w:tc>
          <w:tcPr>
            <w:tcW w:type="dxa" w:w="1080"/>
          </w:tcPr>
          <w:p>
            <w:r>
              <w:rPr>
                <w:b/>
                <w:sz w:val="17"/>
              </w:rPr>
              <w:t>0.0452</w:t>
            </w:r>
          </w:p>
        </w:tc>
      </w:tr>
    </w:tbl>
    <w:p/>
    <w:p>
      <w:r>
        <w:rPr>
          <w:b/>
        </w:rPr>
        <w:t>Table 3 | Whole-plant gas exchange, water status, and foliar isotopic/pigment contrasts at 62 kPa} vs. 101 kPa} (`Table_S5A_Zenodo16536514_Physiology_62kPa_vs_101kPa_Stats.csv`).</w:t>
      </w:r>
    </w:p>
    <w:p>
      <w:pPr>
        <w:pStyle w:val="ListNumber"/>
      </w:pPr>
      <w:r>
        <w:rPr>
          <w:b/>
        </w:rPr>
        <w:t>LC-MS Metabolomic Triangulation &amp; Humidity Rescue at 70\%\ RH} (`Table_S5B`, Figure 5C–D):</w:t>
      </w:r>
      <w:r>
        <w:t xml:space="preserve"> To test whether the metabolic consequences of hypobaria are driven by boundary-layer vapor diffusivity rather than pressure </w:t>
      </w:r>
      <w:r>
        <w:rPr>
          <w:i/>
        </w:rPr>
        <w:t>per se</w:t>
      </w:r>
      <w:r>
        <w:t xml:space="preserve">, we analyzed 28 LC-MS secondary metabolites and chloroplast galactolipids (identified at Metabolomics Standards Initiative [MSI] Level 2) across four factorial conditions in </w:t>
      </w:r>
      <w:r>
        <w:rPr>
          <w:rFonts w:ascii="Courier New" w:hAnsi="Courier New"/>
          <w:sz w:val="19"/>
        </w:rPr>
        <w:t>ZENODO16536514</w:t>
      </w:r>
      <w:r>
        <w:t xml:space="preserve">: </w:t>
      </w:r>
      <w:r>
        <w:rPr>
          <w:rFonts w:ascii="Courier New" w:hAnsi="Courier New"/>
          <w:sz w:val="19"/>
        </w:rPr>
        <w:t>101kPa_RH50</w:t>
      </w:r>
      <w:r>
        <w:t xml:space="preserve"> (ambient control), </w:t>
      </w:r>
      <w:r>
        <w:rPr>
          <w:rFonts w:ascii="Courier New" w:hAnsi="Courier New"/>
          <w:sz w:val="19"/>
        </w:rPr>
        <w:t>62kPa_RH50</w:t>
      </w:r>
      <w:r>
        <w:t xml:space="preserve"> (unmitigated hypobaria), </w:t>
      </w:r>
      <w:r>
        <w:rPr>
          <w:rFonts w:ascii="Courier New" w:hAnsi="Courier New"/>
          <w:sz w:val="19"/>
        </w:rPr>
        <w:t>62kPa_RH70</w:t>
      </w:r>
      <w:r>
        <w:t xml:space="preserve"> (humidity-compensated hypobaria), and </w:t>
      </w:r>
      <w:r>
        <w:rPr>
          <w:rFonts w:ascii="Courier New" w:hAnsi="Courier New"/>
          <w:sz w:val="19"/>
        </w:rPr>
        <w:t>101kPa_RH25</w:t>
      </w:r>
      <w:r>
        <w:t xml:space="preserve"> (normobaric dry air). Unmitigated hypobaria (</w:t>
      </w:r>
      <w:r>
        <w:rPr>
          <w:rFonts w:ascii="Courier New" w:hAnsi="Courier New"/>
          <w:sz w:val="19"/>
        </w:rPr>
        <w:t>62kPa_RH50</w:t>
      </w:r>
      <w:r>
        <w:t xml:space="preserve"> vs. </w:t>
      </w:r>
      <w:r>
        <w:rPr>
          <w:rFonts w:ascii="Courier New" w:hAnsi="Courier New"/>
          <w:sz w:val="19"/>
        </w:rPr>
        <w:t>101kPa_RH50</w:t>
      </w:r>
      <w:r>
        <w:t>) significantly accumulated flavonol glycosides (</w:t>
      </w:r>
      <w:r>
        <w:rPr>
          <w:rFonts w:ascii="Courier New" w:hAnsi="Courier New"/>
          <w:sz w:val="19"/>
        </w:rPr>
        <w:t>kaempferol-3-O-rhamnoside-7-O-rhamnoside</w:t>
      </w:r>
      <w:r>
        <w:t xml:space="preserve"> +0.739\ log2FC}, p = 0.0092; </w:t>
      </w:r>
      <w:r>
        <w:rPr>
          <w:rFonts w:ascii="Courier New" w:hAnsi="Courier New"/>
          <w:sz w:val="19"/>
        </w:rPr>
        <w:t>Kaempferol 3-O-(rhamnosyl) glucoside-7-O-rhamnoside</w:t>
      </w:r>
      <w:r>
        <w:t xml:space="preserve"> +0.809\ log2FC}, p = 0.0074; </w:t>
      </w:r>
      <w:r>
        <w:rPr>
          <w:rFonts w:ascii="Courier New" w:hAnsi="Courier New"/>
          <w:sz w:val="19"/>
        </w:rPr>
        <w:t>Kaempferol 3-O-glucoside 7-O-rhamnoside</w:t>
      </w:r>
      <w:r>
        <w:t xml:space="preserve"> +0.804\ log2FC}, p = 0.0099), sinapoyl malate (</w:t>
      </w:r>
      <w:r>
        <w:rPr>
          <w:rFonts w:ascii="Courier New" w:hAnsi="Courier New"/>
          <w:sz w:val="19"/>
        </w:rPr>
        <w:t>+0.214 log2FC</w:t>
      </w:r>
      <w:r>
        <w:t>, p = 0.0330), glucoraphanin (</w:t>
      </w:r>
      <w:r>
        <w:rPr>
          <w:rFonts w:ascii="Courier New" w:hAnsi="Courier New"/>
          <w:sz w:val="19"/>
        </w:rPr>
        <w:t>+0.198 log2FC</w:t>
      </w:r>
      <w:r>
        <w:t>, p = 0.0461), and glucobrassicin (</w:t>
      </w:r>
      <w:r>
        <w:rPr>
          <w:rFonts w:ascii="Courier New" w:hAnsi="Courier New"/>
          <w:sz w:val="19"/>
        </w:rPr>
        <w:t>+0.231 log2FC</w:t>
      </w:r>
      <w:r>
        <w:t>, p = 0.0323), while depleting long-chain thioalkyl/sulfinylalkyl glucosinolates (</w:t>
      </w:r>
      <w:r>
        <w:rPr>
          <w:rFonts w:ascii="Courier New" w:hAnsi="Courier New"/>
          <w:sz w:val="19"/>
        </w:rPr>
        <w:t>8-methylthiooctyl glucosinolate</w:t>
      </w:r>
      <w:r>
        <w:t xml:space="preserve"> -0.657\ log2FC}, p = 0.0054; </w:t>
      </w:r>
      <w:r>
        <w:rPr>
          <w:rFonts w:ascii="Courier New" w:hAnsi="Courier New"/>
          <w:sz w:val="19"/>
        </w:rPr>
        <w:t>8-methylsulfinyloctyl glucosinolate</w:t>
      </w:r>
      <w:r>
        <w:t xml:space="preserve"> [glucohirsutin] -0.388\ log2FC}, p = 0.0055) and chloroplast monogalactosyldiacylglycerols (</w:t>
      </w:r>
      <w:r>
        <w:rPr>
          <w:rFonts w:ascii="Courier New" w:hAnsi="Courier New"/>
          <w:sz w:val="19"/>
        </w:rPr>
        <w:t>putative MGDG 1908</w:t>
      </w:r>
      <w:r>
        <w:t xml:space="preserve"> -0.545\ log2FC}, p = 0.0421).</w:t>
      </w:r>
    </w:p>
    <w:p>
      <w:pPr>
        <w:pStyle w:val="ListBullet"/>
      </w:pPr>
      <w:r>
        <w:rPr>
          <w:b/>
        </w:rPr>
        <w:t>Raising chamber relative humidity to 70\%\ RH} at 62 kPa} (`62kPa_RH70` vs. `62kPa_RH50`)</w:t>
      </w:r>
      <w:r>
        <w:t xml:space="preserve"> reversed this stress signature: it increased chloroplast oxylipin galactolipids (</w:t>
      </w:r>
      <w:r>
        <w:rPr>
          <w:rFonts w:ascii="Courier New" w:hAnsi="Courier New"/>
          <w:sz w:val="19"/>
        </w:rPr>
        <w:t>putative MGDG 1908</w:t>
      </w:r>
      <w:r>
        <w:t xml:space="preserve"> </w:t>
      </w:r>
      <w:r>
        <w:rPr>
          <w:b/>
        </w:rPr>
        <w:t>+2.599\ log2FC}</w:t>
      </w:r>
      <w:r>
        <w:t xml:space="preserve">, </w:t>
      </w:r>
      <w:r>
        <w:rPr>
          <w:rFonts w:ascii="Courier New" w:hAnsi="Courier New"/>
          <w:sz w:val="19"/>
        </w:rPr>
        <w:t>MGDG-OPDA 1805</w:t>
      </w:r>
      <w:r>
        <w:t xml:space="preserve"> </w:t>
      </w:r>
      <w:r>
        <w:rPr>
          <w:b/>
        </w:rPr>
        <w:t>+1.259\ log2FC}</w:t>
      </w:r>
      <w:r>
        <w:t xml:space="preserve">, </w:t>
      </w:r>
      <w:r>
        <w:rPr>
          <w:rFonts w:ascii="Courier New" w:hAnsi="Courier New"/>
          <w:sz w:val="19"/>
        </w:rPr>
        <w:t>MGDG-OPDA 1775</w:t>
      </w:r>
      <w:r>
        <w:t xml:space="preserve"> </w:t>
      </w:r>
      <w:r>
        <w:rPr>
          <w:b/>
        </w:rPr>
        <w:t>+2.893\ log2FC}</w:t>
      </w:r>
      <w:r>
        <w:t xml:space="preserve">, </w:t>
      </w:r>
      <w:r>
        <w:rPr>
          <w:rFonts w:ascii="Courier New" w:hAnsi="Courier New"/>
          <w:sz w:val="19"/>
        </w:rPr>
        <w:t>DGDG-OPDA 1702</w:t>
      </w:r>
      <w:r>
        <w:t xml:space="preserve"> </w:t>
      </w:r>
      <w:r>
        <w:rPr>
          <w:b/>
        </w:rPr>
        <w:t>+2.054\ log2FC}</w:t>
      </w:r>
      <w:r>
        <w:t xml:space="preserve">), restored </w:t>
      </w:r>
      <w:r>
        <w:rPr>
          <w:rFonts w:ascii="Courier New" w:hAnsi="Courier New"/>
          <w:sz w:val="19"/>
        </w:rPr>
        <w:t>8-methylthiooctyl glucosinolate</w:t>
      </w:r>
      <w:r>
        <w:t xml:space="preserve"> (</w:t>
      </w:r>
      <w:r>
        <w:rPr>
          <w:b/>
        </w:rPr>
        <w:t>+0.679\ log2FC} rescue</w:t>
      </w:r>
      <w:r>
        <w:t xml:space="preserve">, returning to +0.022\ log2FC} vs. 101 kPa} control) and </w:t>
      </w:r>
      <w:r>
        <w:rPr>
          <w:rFonts w:ascii="Courier New" w:hAnsi="Courier New"/>
          <w:sz w:val="19"/>
        </w:rPr>
        <w:t>8-methylsulfinyloctyl glucosinolate</w:t>
      </w:r>
      <w:r>
        <w:t xml:space="preserve"> (</w:t>
      </w:r>
      <w:r>
        <w:rPr>
          <w:b/>
        </w:rPr>
        <w:t>+0.419\ log2FC} rescue</w:t>
      </w:r>
      <w:r>
        <w:t xml:space="preserve">), and relaxed kaempferol glycosides by </w:t>
      </w:r>
      <w:r>
        <w:rPr>
          <w:b/>
        </w:rPr>
        <w:t>-0.361 to }-0.557\ log2FC}</w:t>
      </w:r>
      <w:r>
        <w:t xml:space="preserve"> toward baseline (</w:t>
      </w:r>
      <w:r>
        <w:rPr>
          <w:rFonts w:ascii="Courier New" w:hAnsi="Courier New"/>
          <w:sz w:val="19"/>
        </w:rPr>
        <w:t>Table_S5B</w:t>
      </w:r>
      <w:r>
        <w:t xml:space="preserve">). When evaluated by </w:t>
      </w:r>
      <w:r>
        <w:rPr>
          <w:b/>
        </w:rPr>
        <w:t>TabPFN v2</w:t>
      </w:r>
      <w:r>
        <w:t xml:space="preserve"> (Figure 5D), humidity compensation at 62 kPa} / 70\%\ RH} reduced the posterior probability of the unmitigated hypobaric metabolic state from </w:t>
      </w:r>
      <w:r>
        <w:rPr>
          <w:b/>
        </w:rPr>
        <w:t>0.9822 ± 0.0055</w:t>
      </w:r>
      <w:r>
        <w:t xml:space="preserve"> (</w:t>
      </w:r>
      <w:r>
        <w:rPr>
          <w:rFonts w:ascii="Courier New" w:hAnsi="Courier New"/>
          <w:sz w:val="19"/>
        </w:rPr>
        <w:t>62kPa_RH50</w:t>
      </w:r>
      <w:r>
        <w:t xml:space="preserve">) to </w:t>
      </w:r>
      <w:r>
        <w:rPr>
          <w:b/>
        </w:rPr>
        <w:t>0.7908 ± 0.0304</w:t>
      </w:r>
      <w:r>
        <w:t xml:space="preserve"> (</w:t>
      </w:r>
      <w:r>
        <w:rPr>
          <w:rFonts w:ascii="Courier New" w:hAnsi="Courier New"/>
          <w:sz w:val="19"/>
        </w:rPr>
        <w:t>wp4_metabolomics_humidity_rescue_counterfactual.csv</w:t>
      </w:r>
      <w:r>
        <w:t>).</w:t>
      </w:r>
    </w:p>
    <w:p>
      <w:pPr>
        <w:pStyle w:val="ListNumber"/>
      </w:pPr>
      <w:r>
        <w:rPr>
          <w:b/>
        </w:rPr>
        <w:t>Contextual `SnRK1.1K48M` Submergence Proteome Integration (`PXD002353`, `Table_S5C`):</w:t>
      </w:r>
      <w:r>
        <w:t xml:space="preserve"> Cross-referencing our 283 transcriptomic hub and discovery nodes against 5,454 proteins quantified by iTRAQ in </w:t>
      </w:r>
      <w:r>
        <w:rPr>
          <w:rFonts w:ascii="Courier New" w:hAnsi="Courier New"/>
          <w:sz w:val="19"/>
        </w:rPr>
        <w:t>Col-0</w:t>
      </w:r>
      <w:r>
        <w:t xml:space="preserve"> and dominant-negative </w:t>
      </w:r>
      <w:r>
        <w:rPr>
          <w:rFonts w:ascii="Courier New" w:hAnsi="Courier New"/>
          <w:sz w:val="19"/>
        </w:rPr>
        <w:t>SnRK1.1K48M</w:t>
      </w:r>
      <w:r>
        <w:t xml:space="preserve"> rosettes (</w:t>
      </w:r>
      <w:r>
        <w:rPr>
          <w:rFonts w:ascii="Courier New" w:hAnsi="Courier New"/>
          <w:sz w:val="19"/>
        </w:rPr>
        <w:t>PXD002353</w:t>
      </w:r>
      <w:r>
        <w:t xml:space="preserve">) yielded </w:t>
      </w:r>
      <w:r>
        <w:rPr>
          <w:b/>
        </w:rPr>
        <w:t>81 matched hub proteins</w:t>
      </w:r>
      <w:r>
        <w:t xml:space="preserve"> (</w:t>
      </w:r>
      <w:r>
        <w:rPr>
          <w:rFonts w:ascii="Courier New" w:hAnsi="Courier New"/>
          <w:sz w:val="19"/>
        </w:rPr>
        <w:t>Table_S5C</w:t>
      </w:r>
      <w:r>
        <w:t xml:space="preserve">). Several hypoxia and barosensory hubs exhibited SnRK1.1-dependent protein abundance shifts after 3 h of submergence (|Δlog2(Col-0} - SnRK1.1K48M})|): anaerobic response protein </w:t>
      </w:r>
      <w:r>
        <w:rPr>
          <w:rFonts w:ascii="Courier New" w:hAnsi="Courier New"/>
          <w:sz w:val="19"/>
        </w:rPr>
        <w:t>AT1G19530</w:t>
      </w:r>
      <w:r>
        <w:t xml:space="preserve"> (1.154\ log2), rhodanese phosphatase </w:t>
      </w:r>
      <w:r>
        <w:rPr>
          <w:rFonts w:ascii="Courier New" w:hAnsi="Courier New"/>
          <w:sz w:val="19"/>
        </w:rPr>
        <w:t>AT2G17850</w:t>
      </w:r>
      <w:r>
        <w:t xml:space="preserve"> (0.945\ log2), ethylene oxidase </w:t>
      </w:r>
      <w:r>
        <w:rPr>
          <w:rFonts w:ascii="Courier New" w:hAnsi="Courier New"/>
          <w:sz w:val="19"/>
        </w:rPr>
        <w:t>ACO1</w:t>
      </w:r>
      <w:r>
        <w:t xml:space="preserve"> (0.617\ log2), fructokinase </w:t>
      </w:r>
      <w:r>
        <w:rPr>
          <w:rFonts w:ascii="Courier New" w:hAnsi="Courier New"/>
          <w:sz w:val="19"/>
        </w:rPr>
        <w:t>FRK1</w:t>
      </w:r>
      <w:r>
        <w:t xml:space="preserve"> (0.608\ log2), </w:t>
      </w:r>
      <w:r>
        <w:rPr>
          <w:rFonts w:ascii="Courier New" w:hAnsi="Courier New"/>
          <w:sz w:val="19"/>
        </w:rPr>
        <w:t>HRU1</w:t>
      </w:r>
      <w:r>
        <w:t xml:space="preserve"> (0.604\ log2), </w:t>
      </w:r>
      <w:r>
        <w:rPr>
          <w:rFonts w:ascii="Courier New" w:hAnsi="Courier New"/>
          <w:sz w:val="19"/>
        </w:rPr>
        <w:t>PCO1</w:t>
      </w:r>
      <w:r>
        <w:t xml:space="preserve"> (0.602\ log2), aspartate aminotransferase </w:t>
      </w:r>
      <w:r>
        <w:rPr>
          <w:rFonts w:ascii="Courier New" w:hAnsi="Courier New"/>
          <w:sz w:val="19"/>
        </w:rPr>
        <w:t>AAT2</w:t>
      </w:r>
      <w:r>
        <w:t xml:space="preserve"> (0.520\ log2), and cell-wall enzyme </w:t>
      </w:r>
      <w:r>
        <w:rPr>
          <w:rFonts w:ascii="Courier New" w:hAnsi="Courier New"/>
          <w:sz w:val="19"/>
        </w:rPr>
        <w:t>TCH4</w:t>
      </w:r>
      <w:r>
        <w:t>/</w:t>
      </w:r>
      <w:r>
        <w:rPr>
          <w:rFonts w:ascii="Courier New" w:hAnsi="Courier New"/>
          <w:sz w:val="19"/>
        </w:rPr>
        <w:t>AtXTH22</w:t>
      </w:r>
      <w:r>
        <w:t xml:space="preserve"> (0.493\ log2). This indicates that energy-sensing kinase SnRK1.1 participates in post-translational abundance regulation of both anaerobic enzymes and cell-wall remodeling machinery during low-oxygen and diffusive stress.</w:t>
      </w:r>
    </w:p>
    <w:p>
      <w:pPr>
        <w:pStyle w:val="Heading2"/>
      </w:pPr>
      <w:r>
        <w:t>2.6 Workpackage 5: Leave-One-Condition-Out Validation and Counterfactual Prediction of NASA's Exploration Atmosphere (56.54 kPa} / 34\%\ O}_2)</w:t>
      </w:r>
    </w:p>
    <w:p>
      <w:r>
        <w:t xml:space="preserve">To verify that </w:t>
      </w:r>
      <w:r>
        <w:rPr>
          <w:b/>
        </w:rPr>
        <w:t>TabPFN v2</w:t>
      </w:r>
      <w:r>
        <w:t xml:space="preserve"> can generalize out-of-condition across unseen (P_{total}}, pO}_2) space, we performed </w:t>
      </w:r>
      <w:r>
        <w:rPr>
          <w:b/>
        </w:rPr>
        <w:t>Leave-One-Condition-Out (LOCO)</w:t>
      </w:r>
      <w:r>
        <w:t xml:space="preserve"> cross-validation across all five multi-pressure regimes in the compendium (</w:t>
      </w:r>
      <w:r>
        <w:rPr>
          <w:rFonts w:ascii="Courier New" w:hAnsi="Courier New"/>
          <w:sz w:val="19"/>
        </w:rPr>
        <w:t>Hypobaria_50kPa_NormoxicO2</w:t>
      </w:r>
      <w:r>
        <w:t xml:space="preserve">, </w:t>
      </w:r>
      <w:r>
        <w:rPr>
          <w:rFonts w:ascii="Courier New" w:hAnsi="Courier New"/>
          <w:sz w:val="19"/>
        </w:rPr>
        <w:t>Hypobaria_75kPa_Air</w:t>
      </w:r>
      <w:r>
        <w:t xml:space="preserve">, </w:t>
      </w:r>
      <w:r>
        <w:rPr>
          <w:rFonts w:ascii="Courier New" w:hAnsi="Courier New"/>
          <w:sz w:val="19"/>
        </w:rPr>
        <w:t>Hypobaria_50kPa_Air</w:t>
      </w:r>
      <w:r>
        <w:t xml:space="preserve">, </w:t>
      </w:r>
      <w:r>
        <w:rPr>
          <w:rFonts w:ascii="Courier New" w:hAnsi="Courier New"/>
          <w:sz w:val="19"/>
        </w:rPr>
        <w:t>Hypobaria_25kPa_NormoxicO2</w:t>
      </w:r>
      <w:r>
        <w:t xml:space="preserve">, and </w:t>
      </w:r>
      <w:r>
        <w:rPr>
          <w:rFonts w:ascii="Courier New" w:hAnsi="Courier New"/>
          <w:sz w:val="19"/>
        </w:rPr>
        <w:t>Hypobaria_25kPa_Air</w:t>
      </w:r>
      <w:r>
        <w:t xml:space="preserve"> in both Shoots and Roots; </w:t>
      </w:r>
      <w:r>
        <w:rPr>
          <w:rFonts w:ascii="Courier New" w:hAnsi="Courier New"/>
          <w:sz w:val="19"/>
        </w:rPr>
        <w:t>Table_S6B</w:t>
      </w:r>
      <w:r>
        <w:t>, Figure 6A). In each LOCO fold, every array belonging to the target (P_{total}}, pO}_2) regime was held out, and models predicted the 12-pathway differential expression profile (Δlog2FC}) purely from physical coordinates (HI}_{baro}}, HI}_{hypo}}, D/D_0, F_{I}}O}_2, Organ}, Age}).</w:t>
      </w:r>
    </w:p>
    <w:p>
      <w:pPr>
        <w:jc w:val="center"/>
      </w:pPr>
      <w:r>
        <w:drawing>
          <wp:inline xmlns:a="http://schemas.openxmlformats.org/drawingml/2006/main" xmlns:pic="http://schemas.openxmlformats.org/drawingml/2006/picture">
            <wp:extent cx="5760720" cy="4312610"/>
            <wp:docPr id="6" name="Picture 6"/>
            <wp:cNvGraphicFramePr>
              <a:graphicFrameLocks noChangeAspect="1"/>
            </wp:cNvGraphicFramePr>
            <a:graphic>
              <a:graphicData uri="http://schemas.openxmlformats.org/drawingml/2006/picture">
                <pic:pic>
                  <pic:nvPicPr>
                    <pic:cNvPr id="0" name="fig6_nasa_exploration_atmosphere_counterfactual.png"/>
                    <pic:cNvPicPr/>
                  </pic:nvPicPr>
                  <pic:blipFill>
                    <a:blip r:embed="rId14"/>
                    <a:stretch>
                      <a:fillRect/>
                    </a:stretch>
                  </pic:blipFill>
                  <pic:spPr>
                    <a:xfrm>
                      <a:off x="0" y="0"/>
                      <a:ext cx="5760720" cy="4312610"/>
                    </a:xfrm>
                    <a:prstGeom prst="rect"/>
                  </pic:spPr>
                </pic:pic>
              </a:graphicData>
            </a:graphic>
          </wp:inline>
        </w:drawing>
      </w:r>
    </w:p>
    <w:p>
      <w:r>
        <w:rPr>
          <w:b/>
        </w:rPr>
        <w:t>Figure 6 | Leave-One-Condition-Out (LOCO) validation and TabPFN v2 counterfactual synthesis of NASA's Exploration Atmosphere (56.54 kPa} / 34\%\ O}_2 and 70.33 kPa} / 26.5\%\ O}_2).</w:t>
      </w:r>
      <w:r>
        <w:t xml:space="preserve"> </w:t>
      </w:r>
      <w:r>
        <w:rPr>
          <w:b/>
        </w:rPr>
        <w:t>(A)</w:t>
      </w:r>
      <w:r>
        <w:t xml:space="preserve"> Leave-One-Condition-Out (LOCO) generalization benchmark across 10 held-out (P_{total}}, pO}_2) × Organ} regimes (</w:t>
      </w:r>
      <w:r>
        <w:rPr>
          <w:rFonts w:ascii="Courier New" w:hAnsi="Courier New"/>
          <w:sz w:val="19"/>
        </w:rPr>
        <w:t>Table_S6B</w:t>
      </w:r>
      <w:r>
        <w:t xml:space="preserve">), showing that </w:t>
      </w:r>
      <w:r>
        <w:rPr>
          <w:b/>
        </w:rPr>
        <w:t>TabPFN v2</w:t>
      </w:r>
      <w:r>
        <w:t xml:space="preserve"> achieves the highest out-of-condition pathway profile correlation (</w:t>
      </w:r>
      <w:r>
        <w:rPr>
          <w:rFonts w:ascii="Courier New" w:hAnsi="Courier New"/>
          <w:sz w:val="19"/>
        </w:rPr>
        <w:t>mean Pearson r = 0.7387</w:t>
      </w:r>
      <w:r>
        <w:t xml:space="preserve">, </w:t>
      </w:r>
      <w:r>
        <w:rPr>
          <w:rFonts w:ascii="Courier New" w:hAnsi="Courier New"/>
          <w:sz w:val="19"/>
        </w:rPr>
        <w:t>RMSE = 0.1502 log2FC</w:t>
      </w:r>
      <w:r>
        <w:t xml:space="preserve">), outperforming </w:t>
      </w:r>
      <w:r>
        <w:rPr>
          <w:rFonts w:ascii="Courier New" w:hAnsi="Courier New"/>
          <w:sz w:val="19"/>
        </w:rPr>
        <w:t>Ridge</w:t>
      </w:r>
      <w:r>
        <w:t xml:space="preserve"> (</w:t>
      </w:r>
      <w:r>
        <w:rPr>
          <w:rFonts w:ascii="Courier New" w:hAnsi="Courier New"/>
          <w:sz w:val="19"/>
        </w:rPr>
        <w:t>r = 0.6579</w:t>
      </w:r>
      <w:r>
        <w:t xml:space="preserve">, </w:t>
      </w:r>
      <w:r>
        <w:rPr>
          <w:rFonts w:ascii="Courier New" w:hAnsi="Courier New"/>
          <w:sz w:val="19"/>
        </w:rPr>
        <w:t>RMSE = 0.1881</w:t>
      </w:r>
      <w:r>
        <w:t xml:space="preserve">) and </w:t>
      </w:r>
      <w:r>
        <w:rPr>
          <w:rFonts w:ascii="Courier New" w:hAnsi="Courier New"/>
          <w:sz w:val="19"/>
        </w:rPr>
        <w:t>RandomForest</w:t>
      </w:r>
      <w:r>
        <w:t xml:space="preserve"> (</w:t>
      </w:r>
      <w:r>
        <w:rPr>
          <w:rFonts w:ascii="Courier New" w:hAnsi="Courier New"/>
          <w:sz w:val="19"/>
        </w:rPr>
        <w:t>r = 0.6571</w:t>
      </w:r>
      <w:r>
        <w:t xml:space="preserve">, </w:t>
      </w:r>
      <w:r>
        <w:rPr>
          <w:rFonts w:ascii="Courier New" w:hAnsi="Courier New"/>
          <w:sz w:val="19"/>
        </w:rPr>
        <w:t>RMSE = 0.1918</w:t>
      </w:r>
      <w:r>
        <w:t xml:space="preserve">). </w:t>
      </w:r>
      <w:r>
        <w:rPr>
          <w:b/>
        </w:rPr>
        <w:t>(B)</w:t>
      </w:r>
      <w:r>
        <w:t xml:space="preserve"> Two-dimensional physical phase space of total barometric pressure (P_{total}}) vs. oxygen partial pressure (pO}_2), mapping empirical training regimes (</w:t>
      </w:r>
      <w:r>
        <w:rPr>
          <w:rFonts w:ascii="Courier New" w:hAnsi="Courier New"/>
          <w:sz w:val="19"/>
        </w:rPr>
        <w:t>GSE87867</w:t>
      </w:r>
      <w:r>
        <w:t>–</w:t>
      </w:r>
      <w:r>
        <w:rPr>
          <w:rFonts w:ascii="Courier New" w:hAnsi="Courier New"/>
          <w:sz w:val="19"/>
        </w:rPr>
        <w:t>GSE87904</w:t>
      </w:r>
      <w:r>
        <w:t xml:space="preserve">, </w:t>
      </w:r>
      <w:r>
        <w:rPr>
          <w:rFonts w:ascii="Courier New" w:hAnsi="Courier New"/>
          <w:sz w:val="19"/>
        </w:rPr>
        <w:t>ZENODO16536514</w:t>
      </w:r>
      <w:r>
        <w:t xml:space="preserve">) alongside NASA's </w:t>
      </w:r>
      <w:r>
        <w:rPr>
          <w:b/>
        </w:rPr>
        <w:t>Exploration Habitat Setpoint</w:t>
      </w:r>
      <w:r>
        <w:t xml:space="preserve"> (56.54 kPa} / 34\%\ O}_2, pO}_2 = 19.22 kPa}, D/D_0 = 1.72×), </w:t>
      </w:r>
      <w:r>
        <w:rPr>
          <w:b/>
        </w:rPr>
        <w:t>Pre-EVA Staged Decompression Setpoint</w:t>
      </w:r>
      <w:r>
        <w:t xml:space="preserve"> (70.33 kPa} / 26.5\%\ O}_2, pO}_2 = 18.64 kPa}, D/D_0 = 1.38×), and </w:t>
      </w:r>
      <w:r>
        <w:rPr>
          <w:b/>
        </w:rPr>
        <w:t>Uncompensated 56.54 kPa} Air Counterfactual</w:t>
      </w:r>
      <w:r>
        <w:t xml:space="preserve"> (21\%\ O}_2, pO}_2 = 11.87 kPa}). </w:t>
      </w:r>
      <w:r>
        <w:rPr>
          <w:b/>
        </w:rPr>
        <w:t>(C)</w:t>
      </w:r>
      <w:r>
        <w:t xml:space="preserve"> Predicted 12-pathway differential expression profiles (Δlog2FC} vs. 97 kPa} ISS control) across Shoot (10d) and Root (10d and 5d) for NASA's Exploration Atmosphere vs. Uncompensated 56.54 kPa} Air and empirical 50 kPa} regimes (</w:t>
      </w:r>
      <w:r>
        <w:rPr>
          <w:rFonts w:ascii="Courier New" w:hAnsi="Courier New"/>
          <w:sz w:val="19"/>
        </w:rPr>
        <w:t>Table_S6A</w:t>
      </w:r>
      <w:r>
        <w:t xml:space="preserve">). </w:t>
      </w:r>
      <w:r>
        <w:rPr>
          <w:b/>
        </w:rPr>
        <w:t>(D)</w:t>
      </w:r>
      <w:r>
        <w:t xml:space="preserve"> Hub-gene-level counterfactual decomposition at 56.54 kPa} / 34\%\ O}_2 vs. 56.54 kPa} / 21\%\ O}_2, showing suppression of ERF-VII hypoxia hubs (</w:t>
      </w:r>
      <w:r>
        <w:rPr>
          <w:rFonts w:ascii="Courier New" w:hAnsi="Courier New"/>
          <w:sz w:val="19"/>
        </w:rPr>
        <w:t>AtPDC1</w:t>
      </w:r>
      <w:r>
        <w:t xml:space="preserve">, </w:t>
      </w:r>
      <w:r>
        <w:rPr>
          <w:rFonts w:ascii="Courier New" w:hAnsi="Courier New"/>
          <w:sz w:val="19"/>
        </w:rPr>
        <w:t>SUS1</w:t>
      </w:r>
      <w:r>
        <w:t xml:space="preserve">, </w:t>
      </w:r>
      <w:r>
        <w:rPr>
          <w:rFonts w:ascii="Courier New" w:hAnsi="Courier New"/>
          <w:sz w:val="19"/>
        </w:rPr>
        <w:t>HB1</w:t>
      </w:r>
      <w:r>
        <w:t xml:space="preserve">, </w:t>
      </w:r>
      <w:r>
        <w:rPr>
          <w:rFonts w:ascii="Courier New" w:hAnsi="Courier New"/>
          <w:sz w:val="19"/>
        </w:rPr>
        <w:t>PCO1</w:t>
      </w:r>
      <w:r>
        <w:t xml:space="preserve">, </w:t>
      </w:r>
      <w:r>
        <w:rPr>
          <w:rFonts w:ascii="Courier New" w:hAnsi="Courier New"/>
          <w:sz w:val="19"/>
        </w:rPr>
        <w:t>ADH1</w:t>
      </w:r>
      <w:r>
        <w:t>) alongside persistent activation of barosensory cell-wall (</w:t>
      </w:r>
      <w:r>
        <w:rPr>
          <w:rFonts w:ascii="Courier New" w:hAnsi="Courier New"/>
          <w:sz w:val="19"/>
        </w:rPr>
        <w:t>TCH4</w:t>
      </w:r>
      <w:r>
        <w:t>), oxylipin (</w:t>
      </w:r>
      <w:r>
        <w:rPr>
          <w:rFonts w:ascii="Courier New" w:hAnsi="Courier New"/>
          <w:sz w:val="19"/>
        </w:rPr>
        <w:t>LOX2</w:t>
      </w:r>
      <w:r>
        <w:t xml:space="preserve">, </w:t>
      </w:r>
      <w:r>
        <w:rPr>
          <w:rFonts w:ascii="Courier New" w:hAnsi="Courier New"/>
          <w:sz w:val="19"/>
        </w:rPr>
        <w:t>AOS</w:t>
      </w:r>
      <w:r>
        <w:t>), and defense (</w:t>
      </w:r>
      <w:r>
        <w:rPr>
          <w:rFonts w:ascii="Courier New" w:hAnsi="Courier New"/>
          <w:sz w:val="19"/>
        </w:rPr>
        <w:t>SEN1</w:t>
      </w:r>
      <w:r>
        <w:t xml:space="preserve">, </w:t>
      </w:r>
      <w:r>
        <w:rPr>
          <w:rFonts w:ascii="Courier New" w:hAnsi="Courier New"/>
          <w:sz w:val="19"/>
        </w:rPr>
        <w:t>FLS1</w:t>
      </w:r>
      <w:r>
        <w:t>) hubs.</w:t>
      </w:r>
    </w:p>
    <w:p>
      <w:r>
        <w:t>Across all 10 held-out regime × organ slices (</w:t>
      </w:r>
      <w:r>
        <w:rPr>
          <w:rFonts w:ascii="Courier New" w:hAnsi="Courier New"/>
          <w:sz w:val="19"/>
        </w:rPr>
        <w:t>Table_S6B</w:t>
      </w:r>
      <w:r>
        <w:t xml:space="preserve">), </w:t>
      </w:r>
      <w:r>
        <w:rPr>
          <w:b/>
        </w:rPr>
        <w:t>TabPFN v2</w:t>
      </w:r>
      <w:r>
        <w:t xml:space="preserve"> achieved the highest mean 12-pathway Pearson correlation (</w:t>
      </w:r>
      <w:r>
        <w:rPr>
          <w:b/>
        </w:rPr>
        <w:t>r = 0.7387</w:t>
      </w:r>
      <w:r>
        <w:t>), highest Spearman rank correlation (</w:t>
      </w:r>
      <w:r>
        <w:rPr>
          <w:b/>
        </w:rPr>
        <w:t>ρ = 0.6650</w:t>
      </w:r>
      <w:r>
        <w:t xml:space="preserve">), lowest </w:t>
      </w:r>
      <w:r>
        <w:rPr>
          <w:b/>
        </w:rPr>
        <w:t>`RMSE = 0.1502\ log2FC}</w:t>
      </w:r>
      <w:r>
        <w:t xml:space="preserve">, and lowest </w:t>
      </w:r>
      <w:r>
        <w:rPr>
          <w:b/>
        </w:rPr>
        <w:t>`MAE = 0.1125\ log2FC}</w:t>
      </w:r>
      <w:r>
        <w:t xml:space="preserve">, outperforming </w:t>
      </w:r>
      <w:r>
        <w:rPr>
          <w:b/>
        </w:rPr>
        <w:t>TabPFN v2 (PHE)</w:t>
      </w:r>
      <w:r>
        <w:t xml:space="preserve"> (r = 0.6540, RMSE} = 0.1636), </w:t>
      </w:r>
      <w:r>
        <w:rPr>
          <w:rFonts w:ascii="Courier New" w:hAnsi="Courier New"/>
          <w:sz w:val="19"/>
        </w:rPr>
        <w:t>Ridge</w:t>
      </w:r>
      <w:r>
        <w:t xml:space="preserve"> (r = 0.6579, RMSE} = 0.1881, MAE} = 0.1322), and </w:t>
      </w:r>
      <w:r>
        <w:rPr>
          <w:rFonts w:ascii="Courier New" w:hAnsi="Courier New"/>
          <w:sz w:val="19"/>
        </w:rPr>
        <w:t>RandomForest</w:t>
      </w:r>
      <w:r>
        <w:t xml:space="preserve"> (r = 0.6571, RMSE} = 0.1918, MAE} = 0.1319). Notably, when holding out </w:t>
      </w:r>
      <w:r>
        <w:rPr>
          <w:rFonts w:ascii="Courier New" w:hAnsi="Courier New"/>
          <w:sz w:val="19"/>
        </w:rPr>
        <w:t>Hypobaria_50kPa_NormoxicO2</w:t>
      </w:r>
      <w:r>
        <w:t xml:space="preserve"> (50 kPa} / 42\%\ O}_2, the closest empirical analogue to NASA's 56.54 kPa} / 34\%\ O}_2 setpoint), </w:t>
      </w:r>
      <w:r>
        <w:rPr>
          <w:b/>
        </w:rPr>
        <w:t>TabPFN v2</w:t>
      </w:r>
      <w:r>
        <w:t xml:space="preserve"> reconstructed the unseen shoot 12-pathway profile with </w:t>
      </w:r>
      <w:r>
        <w:rPr>
          <w:b/>
        </w:rPr>
        <w:t>r = 0.8316, ρ = 0.8392, and RMSE} = 0.0889\ log2FC}</w:t>
      </w:r>
      <w:r>
        <w:t xml:space="preserve"> (vs. </w:t>
      </w:r>
      <w:r>
        <w:rPr>
          <w:rFonts w:ascii="Courier New" w:hAnsi="Courier New"/>
          <w:sz w:val="19"/>
        </w:rPr>
        <w:t>Ridge</w:t>
      </w:r>
      <w:r>
        <w:t xml:space="preserve"> r = 0.5500, RMSE} = 0.1810; </w:t>
      </w:r>
      <w:r>
        <w:rPr>
          <w:rFonts w:ascii="Courier New" w:hAnsi="Courier New"/>
          <w:sz w:val="19"/>
        </w:rPr>
        <w:t>Table_S6B</w:t>
      </w:r>
      <w:r>
        <w:t>, Figure 6A).</w:t>
      </w:r>
    </w:p>
    <w:p>
      <w:r>
        <w:t xml:space="preserve">Using empirical LOCO prediction residuals across all pathways and conditions (mean absolute residual RMSE = 0.1775\ log2FC}), we calculated </w:t>
      </w:r>
      <w:r>
        <w:rPr>
          <w:b/>
        </w:rPr>
        <w:t>split-conformal prediction uncertainty intervals</w:t>
      </w:r>
      <w:r>
        <w:t xml:space="preserve"> for our counterfactual predictions (</w:t>
      </w:r>
      <w:r>
        <w:rPr>
          <w:rFonts w:ascii="Courier New" w:hAnsi="Courier New"/>
          <w:sz w:val="19"/>
        </w:rPr>
        <w:t>Table_S6A_NASA_Exploration_Atmosphere_Counterfactual_Predictions.csv</w:t>
      </w:r>
      <w:r>
        <w:t>):</w:t>
      </w:r>
    </w:p>
    <w:p>
      <w:pPr>
        <w:pStyle w:val="ListBullet"/>
      </w:pPr>
      <w:r>
        <w:t>90% Conformal Prediction Error Band: ± 0.3007\ log2FC}</w:t>
      </w:r>
    </w:p>
    <w:p>
      <w:pPr>
        <w:pStyle w:val="ListBullet"/>
      </w:pPr>
      <w:r>
        <w:t>95% Conformal Prediction Error Band: ± 0.3289\ log2FC}</w:t>
      </w:r>
    </w:p>
    <w:p>
      <w:r>
        <w:t xml:space="preserve">We deployed our validated </w:t>
      </w:r>
      <w:r>
        <w:rPr>
          <w:b/>
        </w:rPr>
        <w:t>TabPFN v2</w:t>
      </w:r>
      <w:r>
        <w:t xml:space="preserve"> response-surface ensemble to predict the pathway and hub-gene state of </w:t>
      </w:r>
      <w:r>
        <w:rPr>
          <w:i/>
        </w:rPr>
        <w:t>Arabidopsis</w:t>
      </w:r>
      <w:r>
        <w:t xml:space="preserve"> shoots (10-day) and roots (10-day and 5-day) across NASA's operational Exploration Atmosphere setpoints (</w:t>
      </w:r>
      <w:r>
        <w:rPr>
          <w:rFonts w:ascii="Courier New" w:hAnsi="Courier New"/>
          <w:sz w:val="19"/>
        </w:rPr>
        <w:t>Table_S6A</w:t>
      </w:r>
      <w:r>
        <w:t>, Table 4, Figure 6B–D):</w:t>
      </w:r>
    </w:p>
    <w:tbl>
      <w:tblPr>
        <w:tblStyle w:val="TableGrid"/>
        <w:tblW w:type="auto" w:w="0"/>
        <w:jc w:val="center"/>
        <w:tblLook w:firstColumn="1" w:firstRow="1" w:lastColumn="0" w:lastRow="0" w:noHBand="0" w:noVBand="1" w:val="04A0"/>
      </w:tblPr>
      <w:tblGrid>
        <w:gridCol w:w="785"/>
        <w:gridCol w:w="785"/>
        <w:gridCol w:w="785"/>
        <w:gridCol w:w="785"/>
        <w:gridCol w:w="785"/>
        <w:gridCol w:w="785"/>
        <w:gridCol w:w="785"/>
        <w:gridCol w:w="785"/>
        <w:gridCol w:w="785"/>
        <w:gridCol w:w="785"/>
        <w:gridCol w:w="785"/>
      </w:tblGrid>
      <w:tr>
        <w:tc>
          <w:tcPr>
            <w:tcW w:type="dxa" w:w="785"/>
          </w:tcPr>
          <w:p>
            <w:r>
              <w:rPr>
                <w:b/>
                <w:sz w:val="17"/>
              </w:rPr>
              <w:t>Atmospheric Setpoint (P_{total}}, F_{I}}O}_2, pO}_2, D/D_0)</w:t>
            </w:r>
          </w:p>
        </w:tc>
        <w:tc>
          <w:tcPr>
            <w:tcW w:type="dxa" w:w="785"/>
          </w:tcPr>
          <w:p>
            <w:r>
              <w:rPr>
                <w:b/>
                <w:sz w:val="17"/>
              </w:rPr>
              <w:t>Organ (Age)</w:t>
            </w:r>
          </w:p>
        </w:tc>
        <w:tc>
          <w:tcPr>
            <w:tcW w:type="dxa" w:w="785"/>
          </w:tcPr>
          <w:p>
            <w:r>
              <w:rPr>
                <w:b/>
                <w:sz w:val="17"/>
              </w:rPr>
              <w:t>ERF-VII Hypoxia Module</w:t>
            </w:r>
          </w:p>
        </w:tc>
        <w:tc>
          <w:tcPr>
            <w:tcW w:type="dxa" w:w="785"/>
          </w:tcPr>
          <w:p>
            <w:r>
              <w:rPr>
                <w:b/>
                <w:sz w:val="17"/>
              </w:rPr>
              <w:t>Oxylipin / JA Galactolipid</w:t>
            </w:r>
          </w:p>
        </w:tc>
        <w:tc>
          <w:tcPr>
            <w:tcW w:type="dxa" w:w="785"/>
          </w:tcPr>
          <w:p>
            <w:r>
              <w:rPr>
                <w:b/>
                <w:sz w:val="17"/>
              </w:rPr>
              <w:t>ROS / Redox / Calcium</w:t>
            </w:r>
          </w:p>
        </w:tc>
        <w:tc>
          <w:tcPr>
            <w:tcW w:type="dxa" w:w="785"/>
          </w:tcPr>
          <w:p>
            <w:r>
              <w:rPr>
                <w:b/>
                <w:sz w:val="17"/>
              </w:rPr>
              <w:t>Cuticle / Wax Transport</w:t>
            </w:r>
          </w:p>
        </w:tc>
        <w:tc>
          <w:tcPr>
            <w:tcW w:type="dxa" w:w="785"/>
          </w:tcPr>
          <w:p>
            <w:r>
              <w:rPr>
                <w:b/>
                <w:sz w:val="17"/>
              </w:rPr>
              <w:t>Photosynth. / LHC Module</w:t>
            </w:r>
          </w:p>
        </w:tc>
        <w:tc>
          <w:tcPr>
            <w:tcW w:type="dxa" w:w="785"/>
          </w:tcPr>
          <w:p>
            <w:r>
              <w:rPr>
                <w:rFonts w:ascii="Courier New" w:hAnsi="Courier New"/>
                <w:b/>
                <w:sz w:val="17"/>
              </w:rPr>
              <w:t>AtPDC1</w:t>
            </w:r>
            <w:r>
              <w:rPr>
                <w:b/>
                <w:sz w:val="17"/>
              </w:rPr>
              <w:t xml:space="preserve"> (</w:t>
            </w:r>
            <w:r>
              <w:rPr>
                <w:rFonts w:ascii="Courier New" w:hAnsi="Courier New"/>
                <w:b/>
                <w:sz w:val="17"/>
              </w:rPr>
              <w:t>253416_at</w:t>
            </w:r>
            <w:r>
              <w:rPr>
                <w:b/>
                <w:sz w:val="17"/>
              </w:rPr>
              <w:t>)</w:t>
            </w:r>
          </w:p>
        </w:tc>
        <w:tc>
          <w:tcPr>
            <w:tcW w:type="dxa" w:w="785"/>
          </w:tcPr>
          <w:p>
            <w:r>
              <w:rPr>
                <w:rFonts w:ascii="Courier New" w:hAnsi="Courier New"/>
                <w:b/>
                <w:sz w:val="17"/>
              </w:rPr>
              <w:t>HB1</w:t>
            </w:r>
            <w:r>
              <w:rPr>
                <w:b/>
                <w:sz w:val="17"/>
              </w:rPr>
              <w:t xml:space="preserve"> (</w:t>
            </w:r>
            <w:r>
              <w:rPr>
                <w:rFonts w:ascii="Courier New" w:hAnsi="Courier New"/>
                <w:b/>
                <w:sz w:val="17"/>
              </w:rPr>
              <w:t>263096_at</w:t>
            </w:r>
            <w:r>
              <w:rPr>
                <w:b/>
                <w:sz w:val="17"/>
              </w:rPr>
              <w:t>)</w:t>
            </w:r>
          </w:p>
        </w:tc>
        <w:tc>
          <w:tcPr>
            <w:tcW w:type="dxa" w:w="785"/>
          </w:tcPr>
          <w:p>
            <w:r>
              <w:rPr>
                <w:rFonts w:ascii="Courier New" w:hAnsi="Courier New"/>
                <w:b/>
                <w:sz w:val="17"/>
              </w:rPr>
              <w:t>TCH4</w:t>
            </w:r>
            <w:r>
              <w:rPr>
                <w:b/>
                <w:sz w:val="17"/>
              </w:rPr>
              <w:t xml:space="preserve"> (</w:t>
            </w:r>
            <w:r>
              <w:rPr>
                <w:rFonts w:ascii="Courier New" w:hAnsi="Courier New"/>
                <w:b/>
                <w:sz w:val="17"/>
              </w:rPr>
              <w:t>247925_at</w:t>
            </w:r>
            <w:r>
              <w:rPr>
                <w:b/>
                <w:sz w:val="17"/>
              </w:rPr>
              <w:t>)</w:t>
            </w:r>
          </w:p>
        </w:tc>
        <w:tc>
          <w:tcPr>
            <w:tcW w:type="dxa" w:w="785"/>
          </w:tcPr>
          <w:p>
            <w:r>
              <w:rPr>
                <w:rFonts w:ascii="Courier New" w:hAnsi="Courier New"/>
                <w:b/>
                <w:sz w:val="17"/>
              </w:rPr>
              <w:t>LOX2</w:t>
            </w:r>
            <w:r>
              <w:rPr>
                <w:b/>
                <w:sz w:val="17"/>
              </w:rPr>
              <w:t xml:space="preserve"> (</w:t>
            </w:r>
            <w:r>
              <w:rPr>
                <w:rFonts w:ascii="Courier New" w:hAnsi="Courier New"/>
                <w:b/>
                <w:sz w:val="17"/>
              </w:rPr>
              <w:t>252618_at</w:t>
            </w:r>
            <w:r>
              <w:rPr>
                <w:b/>
                <w:sz w:val="17"/>
              </w:rPr>
              <w:t>)</w:t>
            </w:r>
          </w:p>
        </w:tc>
      </w:tr>
      <w:tr>
        <w:tc>
          <w:tcPr>
            <w:tcW w:type="dxa" w:w="785"/>
          </w:tcPr>
          <w:p>
            <w:r>
              <w:rPr>
                <w:b/>
                <w:sz w:val="17"/>
              </w:rPr>
              <w:t>Control: ISS Cabin</w:t>
            </w:r>
            <w:r>
              <w:rPr>
                <w:sz w:val="17"/>
              </w:rPr>
              <w:t xml:space="preserve"> (97.0 kPa}, 21\%\ O}_2, 20.37 kPa}, 1.00×)</w:t>
            </w:r>
          </w:p>
        </w:tc>
        <w:tc>
          <w:tcPr>
            <w:tcW w:type="dxa" w:w="785"/>
          </w:tcPr>
          <w:p>
            <w:r>
              <w:rPr>
                <w:sz w:val="17"/>
              </w:rPr>
              <w:t>Shoot 10d</w:t>
            </w:r>
          </w:p>
        </w:tc>
        <w:tc>
          <w:tcPr>
            <w:tcW w:type="dxa" w:w="785"/>
          </w:tcPr>
          <w:p>
            <w:r>
              <w:rPr>
                <w:sz w:val="17"/>
              </w:rPr>
              <w:t>-0.061</w:t>
            </w:r>
          </w:p>
        </w:tc>
        <w:tc>
          <w:tcPr>
            <w:tcW w:type="dxa" w:w="785"/>
          </w:tcPr>
          <w:p>
            <w:r>
              <w:rPr>
                <w:sz w:val="17"/>
              </w:rPr>
              <w:t>+0.071</w:t>
            </w:r>
          </w:p>
        </w:tc>
        <w:tc>
          <w:tcPr>
            <w:tcW w:type="dxa" w:w="785"/>
          </w:tcPr>
          <w:p>
            <w:r>
              <w:rPr>
                <w:sz w:val="17"/>
              </w:rPr>
              <w:t>+0.074</w:t>
            </w:r>
          </w:p>
        </w:tc>
        <w:tc>
          <w:tcPr>
            <w:tcW w:type="dxa" w:w="785"/>
          </w:tcPr>
          <w:p>
            <w:r>
              <w:rPr>
                <w:sz w:val="17"/>
              </w:rPr>
              <w:t>-0.113</w:t>
            </w:r>
          </w:p>
        </w:tc>
        <w:tc>
          <w:tcPr>
            <w:tcW w:type="dxa" w:w="785"/>
          </w:tcPr>
          <w:p>
            <w:r>
              <w:rPr>
                <w:sz w:val="17"/>
              </w:rPr>
              <w:t>+0.028</w:t>
            </w:r>
          </w:p>
        </w:tc>
        <w:tc>
          <w:tcPr>
            <w:tcW w:type="dxa" w:w="785"/>
          </w:tcPr>
          <w:p>
            <w:r>
              <w:rPr>
                <w:sz w:val="17"/>
              </w:rPr>
              <w:t>+0.005</w:t>
            </w:r>
          </w:p>
        </w:tc>
        <w:tc>
          <w:tcPr>
            <w:tcW w:type="dxa" w:w="785"/>
          </w:tcPr>
          <w:p>
            <w:r>
              <w:rPr>
                <w:sz w:val="17"/>
              </w:rPr>
              <w:t>-0.174</w:t>
            </w:r>
          </w:p>
        </w:tc>
        <w:tc>
          <w:tcPr>
            <w:tcW w:type="dxa" w:w="785"/>
          </w:tcPr>
          <w:p>
            <w:r>
              <w:rPr>
                <w:sz w:val="17"/>
              </w:rPr>
              <w:t>-0.101</w:t>
            </w:r>
          </w:p>
        </w:tc>
        <w:tc>
          <w:tcPr>
            <w:tcW w:type="dxa" w:w="785"/>
          </w:tcPr>
          <w:p>
            <w:r>
              <w:rPr>
                <w:sz w:val="17"/>
              </w:rPr>
              <w:t>+0.263</w:t>
            </w:r>
          </w:p>
        </w:tc>
      </w:tr>
      <w:tr>
        <w:tc>
          <w:tcPr>
            <w:tcW w:type="dxa" w:w="785"/>
          </w:tcPr>
          <w:p/>
        </w:tc>
        <w:tc>
          <w:tcPr>
            <w:tcW w:type="dxa" w:w="785"/>
          </w:tcPr>
          <w:p>
            <w:r>
              <w:rPr>
                <w:sz w:val="17"/>
              </w:rPr>
              <w:t>Root 10d</w:t>
            </w:r>
          </w:p>
        </w:tc>
        <w:tc>
          <w:tcPr>
            <w:tcW w:type="dxa" w:w="785"/>
          </w:tcPr>
          <w:p>
            <w:r>
              <w:rPr>
                <w:sz w:val="17"/>
              </w:rPr>
              <w:t>+0.029</w:t>
            </w:r>
          </w:p>
        </w:tc>
        <w:tc>
          <w:tcPr>
            <w:tcW w:type="dxa" w:w="785"/>
          </w:tcPr>
          <w:p>
            <w:r>
              <w:rPr>
                <w:sz w:val="17"/>
              </w:rPr>
              <w:t>-0.024</w:t>
            </w:r>
          </w:p>
        </w:tc>
        <w:tc>
          <w:tcPr>
            <w:tcW w:type="dxa" w:w="785"/>
          </w:tcPr>
          <w:p>
            <w:r>
              <w:rPr>
                <w:sz w:val="17"/>
              </w:rPr>
              <w:t>+0.025</w:t>
            </w:r>
          </w:p>
        </w:tc>
        <w:tc>
          <w:tcPr>
            <w:tcW w:type="dxa" w:w="785"/>
          </w:tcPr>
          <w:p>
            <w:r>
              <w:rPr>
                <w:sz w:val="17"/>
              </w:rPr>
              <w:t>-0.041</w:t>
            </w:r>
          </w:p>
        </w:tc>
        <w:tc>
          <w:tcPr>
            <w:tcW w:type="dxa" w:w="785"/>
          </w:tcPr>
          <w:p>
            <w:r>
              <w:rPr>
                <w:sz w:val="17"/>
              </w:rPr>
              <w:t>-0.080</w:t>
            </w:r>
          </w:p>
        </w:tc>
        <w:tc>
          <w:tcPr>
            <w:tcW w:type="dxa" w:w="785"/>
          </w:tcPr>
          <w:p>
            <w:r>
              <w:rPr>
                <w:sz w:val="17"/>
              </w:rPr>
              <w:t>+0.181</w:t>
            </w:r>
          </w:p>
        </w:tc>
        <w:tc>
          <w:tcPr>
            <w:tcW w:type="dxa" w:w="785"/>
          </w:tcPr>
          <w:p>
            <w:r>
              <w:rPr>
                <w:sz w:val="17"/>
              </w:rPr>
              <w:t>+0.043</w:t>
            </w:r>
          </w:p>
        </w:tc>
        <w:tc>
          <w:tcPr>
            <w:tcW w:type="dxa" w:w="785"/>
          </w:tcPr>
          <w:p>
            <w:r>
              <w:rPr>
                <w:sz w:val="17"/>
              </w:rPr>
              <w:t>+0.137</w:t>
            </w:r>
          </w:p>
        </w:tc>
        <w:tc>
          <w:tcPr>
            <w:tcW w:type="dxa" w:w="785"/>
          </w:tcPr>
          <w:p>
            <w:r>
              <w:rPr>
                <w:sz w:val="17"/>
              </w:rPr>
              <w:t>+0.046</w:t>
            </w:r>
          </w:p>
        </w:tc>
      </w:tr>
      <w:tr>
        <w:tc>
          <w:tcPr>
            <w:tcW w:type="dxa" w:w="785"/>
          </w:tcPr>
          <w:p/>
        </w:tc>
        <w:tc>
          <w:tcPr>
            <w:tcW w:type="dxa" w:w="785"/>
          </w:tcPr>
          <w:p>
            <w:r>
              <w:rPr>
                <w:sz w:val="17"/>
              </w:rPr>
              <w:t>Root 5d</w:t>
            </w:r>
          </w:p>
        </w:tc>
        <w:tc>
          <w:tcPr>
            <w:tcW w:type="dxa" w:w="785"/>
          </w:tcPr>
          <w:p>
            <w:r>
              <w:rPr>
                <w:sz w:val="17"/>
              </w:rPr>
              <w:t>+0.027</w:t>
            </w:r>
          </w:p>
        </w:tc>
        <w:tc>
          <w:tcPr>
            <w:tcW w:type="dxa" w:w="785"/>
          </w:tcPr>
          <w:p>
            <w:r>
              <w:rPr>
                <w:sz w:val="17"/>
              </w:rPr>
              <w:t>-0.032</w:t>
            </w:r>
          </w:p>
        </w:tc>
        <w:tc>
          <w:tcPr>
            <w:tcW w:type="dxa" w:w="785"/>
          </w:tcPr>
          <w:p>
            <w:r>
              <w:rPr>
                <w:sz w:val="17"/>
              </w:rPr>
              <w:t>+0.026</w:t>
            </w:r>
          </w:p>
        </w:tc>
        <w:tc>
          <w:tcPr>
            <w:tcW w:type="dxa" w:w="785"/>
          </w:tcPr>
          <w:p>
            <w:r>
              <w:rPr>
                <w:sz w:val="17"/>
              </w:rPr>
              <w:t>+0.094</w:t>
            </w:r>
          </w:p>
        </w:tc>
        <w:tc>
          <w:tcPr>
            <w:tcW w:type="dxa" w:w="785"/>
          </w:tcPr>
          <w:p>
            <w:r>
              <w:rPr>
                <w:sz w:val="17"/>
              </w:rPr>
              <w:t>-0.061</w:t>
            </w:r>
          </w:p>
        </w:tc>
        <w:tc>
          <w:tcPr>
            <w:tcW w:type="dxa" w:w="785"/>
          </w:tcPr>
          <w:p>
            <w:r>
              <w:rPr>
                <w:sz w:val="17"/>
              </w:rPr>
              <w:t>+0.091</w:t>
            </w:r>
          </w:p>
        </w:tc>
        <w:tc>
          <w:tcPr>
            <w:tcW w:type="dxa" w:w="785"/>
          </w:tcPr>
          <w:p>
            <w:r>
              <w:rPr>
                <w:sz w:val="17"/>
              </w:rPr>
              <w:t>+0.011</w:t>
            </w:r>
          </w:p>
        </w:tc>
        <w:tc>
          <w:tcPr>
            <w:tcW w:type="dxa" w:w="785"/>
          </w:tcPr>
          <w:p>
            <w:r>
              <w:rPr>
                <w:sz w:val="17"/>
              </w:rPr>
              <w:t>+0.139</w:t>
            </w:r>
          </w:p>
        </w:tc>
        <w:tc>
          <w:tcPr>
            <w:tcW w:type="dxa" w:w="785"/>
          </w:tcPr>
          <w:p>
            <w:r>
              <w:rPr>
                <w:sz w:val="17"/>
              </w:rPr>
              <w:t>-0.136</w:t>
            </w:r>
          </w:p>
        </w:tc>
      </w:tr>
      <w:tr>
        <w:tc>
          <w:tcPr>
            <w:tcW w:type="dxa" w:w="785"/>
          </w:tcPr>
          <w:p>
            <w:r>
              <w:rPr>
                <w:b/>
                <w:sz w:val="17"/>
              </w:rPr>
              <w:t>Pre-EVA Staged Decomp.</w:t>
            </w:r>
            <w:r>
              <w:rPr>
                <w:sz w:val="17"/>
              </w:rPr>
              <w:t xml:space="preserve"> (70.33 kPa}, 26.5\%\ O}_2, 18.64 kPa}, 1.38×)</w:t>
            </w:r>
          </w:p>
        </w:tc>
        <w:tc>
          <w:tcPr>
            <w:tcW w:type="dxa" w:w="785"/>
          </w:tcPr>
          <w:p>
            <w:r>
              <w:rPr>
                <w:sz w:val="17"/>
              </w:rPr>
              <w:t>Shoot 10d</w:t>
            </w:r>
          </w:p>
        </w:tc>
        <w:tc>
          <w:tcPr>
            <w:tcW w:type="dxa" w:w="785"/>
          </w:tcPr>
          <w:p>
            <w:r>
              <w:rPr>
                <w:b/>
                <w:sz w:val="17"/>
              </w:rPr>
              <w:t>-0.070</w:t>
            </w:r>
          </w:p>
        </w:tc>
        <w:tc>
          <w:tcPr>
            <w:tcW w:type="dxa" w:w="785"/>
          </w:tcPr>
          <w:p>
            <w:r>
              <w:rPr>
                <w:b/>
                <w:sz w:val="17"/>
              </w:rPr>
              <w:t>+0.164</w:t>
            </w:r>
          </w:p>
        </w:tc>
        <w:tc>
          <w:tcPr>
            <w:tcW w:type="dxa" w:w="785"/>
          </w:tcPr>
          <w:p>
            <w:r>
              <w:rPr>
                <w:b/>
                <w:sz w:val="17"/>
              </w:rPr>
              <w:t>+0.267</w:t>
            </w:r>
          </w:p>
        </w:tc>
        <w:tc>
          <w:tcPr>
            <w:tcW w:type="dxa" w:w="785"/>
          </w:tcPr>
          <w:p>
            <w:r>
              <w:rPr>
                <w:sz w:val="17"/>
              </w:rPr>
              <w:t>-0.128</w:t>
            </w:r>
          </w:p>
        </w:tc>
        <w:tc>
          <w:tcPr>
            <w:tcW w:type="dxa" w:w="785"/>
          </w:tcPr>
          <w:p>
            <w:r>
              <w:rPr>
                <w:sz w:val="17"/>
              </w:rPr>
              <w:t>+0.028</w:t>
            </w:r>
          </w:p>
        </w:tc>
        <w:tc>
          <w:tcPr>
            <w:tcW w:type="dxa" w:w="785"/>
          </w:tcPr>
          <w:p>
            <w:r>
              <w:rPr>
                <w:sz w:val="17"/>
              </w:rPr>
              <w:t>+0.058</w:t>
            </w:r>
          </w:p>
        </w:tc>
        <w:tc>
          <w:tcPr>
            <w:tcW w:type="dxa" w:w="785"/>
          </w:tcPr>
          <w:p>
            <w:r>
              <w:rPr>
                <w:sz w:val="17"/>
              </w:rPr>
              <w:t>-0.278</w:t>
            </w:r>
          </w:p>
        </w:tc>
        <w:tc>
          <w:tcPr>
            <w:tcW w:type="dxa" w:w="785"/>
          </w:tcPr>
          <w:p>
            <w:r>
              <w:rPr>
                <w:b/>
                <w:sz w:val="17"/>
              </w:rPr>
              <w:t>+0.759</w:t>
            </w:r>
          </w:p>
        </w:tc>
        <w:tc>
          <w:tcPr>
            <w:tcW w:type="dxa" w:w="785"/>
          </w:tcPr>
          <w:p>
            <w:r>
              <w:rPr>
                <w:b/>
                <w:sz w:val="17"/>
              </w:rPr>
              <w:t>+0.503</w:t>
            </w:r>
          </w:p>
        </w:tc>
      </w:tr>
      <w:tr>
        <w:tc>
          <w:tcPr>
            <w:tcW w:type="dxa" w:w="785"/>
          </w:tcPr>
          <w:p/>
        </w:tc>
        <w:tc>
          <w:tcPr>
            <w:tcW w:type="dxa" w:w="785"/>
          </w:tcPr>
          <w:p>
            <w:r>
              <w:rPr>
                <w:sz w:val="17"/>
              </w:rPr>
              <w:t>Root 10d</w:t>
            </w:r>
          </w:p>
        </w:tc>
        <w:tc>
          <w:tcPr>
            <w:tcW w:type="dxa" w:w="785"/>
          </w:tcPr>
          <w:p>
            <w:r>
              <w:rPr>
                <w:b/>
                <w:sz w:val="17"/>
              </w:rPr>
              <w:t>+0.068</w:t>
            </w:r>
          </w:p>
        </w:tc>
        <w:tc>
          <w:tcPr>
            <w:tcW w:type="dxa" w:w="785"/>
          </w:tcPr>
          <w:p>
            <w:r>
              <w:rPr>
                <w:sz w:val="17"/>
              </w:rPr>
              <w:t>-0.032</w:t>
            </w:r>
          </w:p>
        </w:tc>
        <w:tc>
          <w:tcPr>
            <w:tcW w:type="dxa" w:w="785"/>
          </w:tcPr>
          <w:p>
            <w:r>
              <w:rPr>
                <w:sz w:val="17"/>
              </w:rPr>
              <w:t>+0.049</w:t>
            </w:r>
          </w:p>
        </w:tc>
        <w:tc>
          <w:tcPr>
            <w:tcW w:type="dxa" w:w="785"/>
          </w:tcPr>
          <w:p>
            <w:r>
              <w:rPr>
                <w:sz w:val="17"/>
              </w:rPr>
              <w:t>-0.029</w:t>
            </w:r>
          </w:p>
        </w:tc>
        <w:tc>
          <w:tcPr>
            <w:tcW w:type="dxa" w:w="785"/>
          </w:tcPr>
          <w:p>
            <w:r>
              <w:rPr>
                <w:b/>
                <w:sz w:val="17"/>
              </w:rPr>
              <w:t>-0.218</w:t>
            </w:r>
          </w:p>
        </w:tc>
        <w:tc>
          <w:tcPr>
            <w:tcW w:type="dxa" w:w="785"/>
          </w:tcPr>
          <w:p>
            <w:r>
              <w:rPr>
                <w:sz w:val="17"/>
              </w:rPr>
              <w:t>+0.837</w:t>
            </w:r>
          </w:p>
        </w:tc>
        <w:tc>
          <w:tcPr>
            <w:tcW w:type="dxa" w:w="785"/>
          </w:tcPr>
          <w:p>
            <w:r>
              <w:rPr>
                <w:sz w:val="17"/>
              </w:rPr>
              <w:t>+0.123</w:t>
            </w:r>
          </w:p>
        </w:tc>
        <w:tc>
          <w:tcPr>
            <w:tcW w:type="dxa" w:w="785"/>
          </w:tcPr>
          <w:p>
            <w:r>
              <w:rPr>
                <w:b/>
                <w:sz w:val="17"/>
              </w:rPr>
              <w:t>+0.316</w:t>
            </w:r>
          </w:p>
        </w:tc>
        <w:tc>
          <w:tcPr>
            <w:tcW w:type="dxa" w:w="785"/>
          </w:tcPr>
          <w:p>
            <w:r>
              <w:rPr>
                <w:sz w:val="17"/>
              </w:rPr>
              <w:t>+0.075</w:t>
            </w:r>
          </w:p>
        </w:tc>
      </w:tr>
      <w:tr>
        <w:tc>
          <w:tcPr>
            <w:tcW w:type="dxa" w:w="785"/>
          </w:tcPr>
          <w:p/>
        </w:tc>
        <w:tc>
          <w:tcPr>
            <w:tcW w:type="dxa" w:w="785"/>
          </w:tcPr>
          <w:p>
            <w:r>
              <w:rPr>
                <w:sz w:val="17"/>
              </w:rPr>
              <w:t>Root 5d</w:t>
            </w:r>
          </w:p>
        </w:tc>
        <w:tc>
          <w:tcPr>
            <w:tcW w:type="dxa" w:w="785"/>
          </w:tcPr>
          <w:p>
            <w:r>
              <w:rPr>
                <w:b/>
                <w:sz w:val="17"/>
              </w:rPr>
              <w:t>+0.062</w:t>
            </w:r>
          </w:p>
        </w:tc>
        <w:tc>
          <w:tcPr>
            <w:tcW w:type="dxa" w:w="785"/>
          </w:tcPr>
          <w:p>
            <w:r>
              <w:rPr>
                <w:sz w:val="17"/>
              </w:rPr>
              <w:t>-0.028</w:t>
            </w:r>
          </w:p>
        </w:tc>
        <w:tc>
          <w:tcPr>
            <w:tcW w:type="dxa" w:w="785"/>
          </w:tcPr>
          <w:p>
            <w:r>
              <w:rPr>
                <w:sz w:val="17"/>
              </w:rPr>
              <w:t>+0.056</w:t>
            </w:r>
          </w:p>
        </w:tc>
        <w:tc>
          <w:tcPr>
            <w:tcW w:type="dxa" w:w="785"/>
          </w:tcPr>
          <w:p>
            <w:r>
              <w:rPr>
                <w:b/>
                <w:sz w:val="17"/>
              </w:rPr>
              <w:t>+0.141</w:t>
            </w:r>
          </w:p>
        </w:tc>
        <w:tc>
          <w:tcPr>
            <w:tcW w:type="dxa" w:w="785"/>
          </w:tcPr>
          <w:p>
            <w:r>
              <w:rPr>
                <w:sz w:val="17"/>
              </w:rPr>
              <w:t>-0.131</w:t>
            </w:r>
          </w:p>
        </w:tc>
        <w:tc>
          <w:tcPr>
            <w:tcW w:type="dxa" w:w="785"/>
          </w:tcPr>
          <w:p>
            <w:r>
              <w:rPr>
                <w:sz w:val="17"/>
              </w:rPr>
              <w:t>+0.575</w:t>
            </w:r>
          </w:p>
        </w:tc>
        <w:tc>
          <w:tcPr>
            <w:tcW w:type="dxa" w:w="785"/>
          </w:tcPr>
          <w:p>
            <w:r>
              <w:rPr>
                <w:sz w:val="17"/>
              </w:rPr>
              <w:t>+0.074</w:t>
            </w:r>
          </w:p>
        </w:tc>
        <w:tc>
          <w:tcPr>
            <w:tcW w:type="dxa" w:w="785"/>
          </w:tcPr>
          <w:p>
            <w:r>
              <w:rPr>
                <w:b/>
                <w:sz w:val="17"/>
              </w:rPr>
              <w:t>+0.291</w:t>
            </w:r>
          </w:p>
        </w:tc>
        <w:tc>
          <w:tcPr>
            <w:tcW w:type="dxa" w:w="785"/>
          </w:tcPr>
          <w:p>
            <w:r>
              <w:rPr>
                <w:sz w:val="17"/>
              </w:rPr>
              <w:t>-0.122</w:t>
            </w:r>
          </w:p>
        </w:tc>
      </w:tr>
      <w:tr>
        <w:tc>
          <w:tcPr>
            <w:tcW w:type="dxa" w:w="785"/>
          </w:tcPr>
          <w:p>
            <w:r>
              <w:rPr>
                <w:b/>
                <w:sz w:val="17"/>
              </w:rPr>
              <w:t>NASA Exploration Habitat</w:t>
            </w:r>
            <w:r>
              <w:rPr>
                <w:sz w:val="17"/>
              </w:rPr>
              <w:t xml:space="preserve"> (56.54 kPa}, 34\%\ O}_2, 19.22 kPa}, 1.72×)</w:t>
            </w:r>
          </w:p>
        </w:tc>
        <w:tc>
          <w:tcPr>
            <w:tcW w:type="dxa" w:w="785"/>
          </w:tcPr>
          <w:p>
            <w:r>
              <w:rPr>
                <w:sz w:val="17"/>
              </w:rPr>
              <w:t>Shoot 10d</w:t>
            </w:r>
          </w:p>
        </w:tc>
        <w:tc>
          <w:tcPr>
            <w:tcW w:type="dxa" w:w="785"/>
          </w:tcPr>
          <w:p>
            <w:r>
              <w:rPr>
                <w:b/>
                <w:sz w:val="17"/>
              </w:rPr>
              <w:t>-0.073</w:t>
            </w:r>
          </w:p>
        </w:tc>
        <w:tc>
          <w:tcPr>
            <w:tcW w:type="dxa" w:w="785"/>
          </w:tcPr>
          <w:p>
            <w:r>
              <w:rPr>
                <w:b/>
                <w:sz w:val="17"/>
              </w:rPr>
              <w:t>+0.174</w:t>
            </w:r>
          </w:p>
        </w:tc>
        <w:tc>
          <w:tcPr>
            <w:tcW w:type="dxa" w:w="785"/>
          </w:tcPr>
          <w:p>
            <w:r>
              <w:rPr>
                <w:b/>
                <w:sz w:val="17"/>
              </w:rPr>
              <w:t>+0.206</w:t>
            </w:r>
          </w:p>
        </w:tc>
        <w:tc>
          <w:tcPr>
            <w:tcW w:type="dxa" w:w="785"/>
          </w:tcPr>
          <w:p>
            <w:r>
              <w:rPr>
                <w:sz w:val="17"/>
              </w:rPr>
              <w:t>-0.124</w:t>
            </w:r>
          </w:p>
        </w:tc>
        <w:tc>
          <w:tcPr>
            <w:tcW w:type="dxa" w:w="785"/>
          </w:tcPr>
          <w:p>
            <w:r>
              <w:rPr>
                <w:sz w:val="17"/>
              </w:rPr>
              <w:t>+0.065</w:t>
            </w:r>
          </w:p>
        </w:tc>
        <w:tc>
          <w:tcPr>
            <w:tcW w:type="dxa" w:w="785"/>
          </w:tcPr>
          <w:p>
            <w:r>
              <w:rPr>
                <w:sz w:val="17"/>
              </w:rPr>
              <w:t>+0.046</w:t>
            </w:r>
          </w:p>
        </w:tc>
        <w:tc>
          <w:tcPr>
            <w:tcW w:type="dxa" w:w="785"/>
          </w:tcPr>
          <w:p>
            <w:r>
              <w:rPr>
                <w:sz w:val="17"/>
              </w:rPr>
              <w:t>-0.234</w:t>
            </w:r>
          </w:p>
        </w:tc>
        <w:tc>
          <w:tcPr>
            <w:tcW w:type="dxa" w:w="785"/>
          </w:tcPr>
          <w:p>
            <w:r>
              <w:rPr>
                <w:b/>
                <w:sz w:val="17"/>
              </w:rPr>
              <w:t>+0.859</w:t>
            </w:r>
          </w:p>
        </w:tc>
        <w:tc>
          <w:tcPr>
            <w:tcW w:type="dxa" w:w="785"/>
          </w:tcPr>
          <w:p>
            <w:r>
              <w:rPr>
                <w:b/>
                <w:sz w:val="17"/>
              </w:rPr>
              <w:t>+0.572</w:t>
            </w:r>
          </w:p>
        </w:tc>
      </w:tr>
      <w:tr>
        <w:tc>
          <w:tcPr>
            <w:tcW w:type="dxa" w:w="785"/>
          </w:tcPr>
          <w:p/>
        </w:tc>
        <w:tc>
          <w:tcPr>
            <w:tcW w:type="dxa" w:w="785"/>
          </w:tcPr>
          <w:p>
            <w:r>
              <w:rPr>
                <w:sz w:val="17"/>
              </w:rPr>
              <w:t>Root 10d</w:t>
            </w:r>
          </w:p>
        </w:tc>
        <w:tc>
          <w:tcPr>
            <w:tcW w:type="dxa" w:w="785"/>
          </w:tcPr>
          <w:p>
            <w:r>
              <w:rPr>
                <w:b/>
                <w:sz w:val="17"/>
              </w:rPr>
              <w:t>+0.069</w:t>
            </w:r>
          </w:p>
        </w:tc>
        <w:tc>
          <w:tcPr>
            <w:tcW w:type="dxa" w:w="785"/>
          </w:tcPr>
          <w:p>
            <w:r>
              <w:rPr>
                <w:sz w:val="17"/>
              </w:rPr>
              <w:t>-0.035</w:t>
            </w:r>
          </w:p>
        </w:tc>
        <w:tc>
          <w:tcPr>
            <w:tcW w:type="dxa" w:w="785"/>
          </w:tcPr>
          <w:p>
            <w:r>
              <w:rPr>
                <w:sz w:val="17"/>
              </w:rPr>
              <w:t>+0.046</w:t>
            </w:r>
          </w:p>
        </w:tc>
        <w:tc>
          <w:tcPr>
            <w:tcW w:type="dxa" w:w="785"/>
          </w:tcPr>
          <w:p>
            <w:r>
              <w:rPr>
                <w:sz w:val="17"/>
              </w:rPr>
              <w:t>-0.025</w:t>
            </w:r>
          </w:p>
        </w:tc>
        <w:tc>
          <w:tcPr>
            <w:tcW w:type="dxa" w:w="785"/>
          </w:tcPr>
          <w:p>
            <w:r>
              <w:rPr>
                <w:b/>
                <w:sz w:val="17"/>
              </w:rPr>
              <w:t>-0.250</w:t>
            </w:r>
          </w:p>
        </w:tc>
        <w:tc>
          <w:tcPr>
            <w:tcW w:type="dxa" w:w="785"/>
          </w:tcPr>
          <w:p>
            <w:r>
              <w:rPr>
                <w:sz w:val="17"/>
              </w:rPr>
              <w:t>+0.811</w:t>
            </w:r>
          </w:p>
        </w:tc>
        <w:tc>
          <w:tcPr>
            <w:tcW w:type="dxa" w:w="785"/>
          </w:tcPr>
          <w:p>
            <w:r>
              <w:rPr>
                <w:sz w:val="17"/>
              </w:rPr>
              <w:t>+0.142</w:t>
            </w:r>
          </w:p>
        </w:tc>
        <w:tc>
          <w:tcPr>
            <w:tcW w:type="dxa" w:w="785"/>
          </w:tcPr>
          <w:p>
            <w:r>
              <w:rPr>
                <w:b/>
                <w:sz w:val="17"/>
              </w:rPr>
              <w:t>+0.345</w:t>
            </w:r>
          </w:p>
        </w:tc>
        <w:tc>
          <w:tcPr>
            <w:tcW w:type="dxa" w:w="785"/>
          </w:tcPr>
          <w:p>
            <w:r>
              <w:rPr>
                <w:sz w:val="17"/>
              </w:rPr>
              <w:t>+0.080</w:t>
            </w:r>
          </w:p>
        </w:tc>
      </w:tr>
      <w:tr>
        <w:tc>
          <w:tcPr>
            <w:tcW w:type="dxa" w:w="785"/>
          </w:tcPr>
          <w:p/>
        </w:tc>
        <w:tc>
          <w:tcPr>
            <w:tcW w:type="dxa" w:w="785"/>
          </w:tcPr>
          <w:p>
            <w:r>
              <w:rPr>
                <w:sz w:val="17"/>
              </w:rPr>
              <w:t>Root 5d</w:t>
            </w:r>
          </w:p>
        </w:tc>
        <w:tc>
          <w:tcPr>
            <w:tcW w:type="dxa" w:w="785"/>
          </w:tcPr>
          <w:p>
            <w:r>
              <w:rPr>
                <w:b/>
                <w:sz w:val="17"/>
              </w:rPr>
              <w:t>+0.062</w:t>
            </w:r>
          </w:p>
        </w:tc>
        <w:tc>
          <w:tcPr>
            <w:tcW w:type="dxa" w:w="785"/>
          </w:tcPr>
          <w:p>
            <w:r>
              <w:rPr>
                <w:sz w:val="17"/>
              </w:rPr>
              <w:t>-0.027</w:t>
            </w:r>
          </w:p>
        </w:tc>
        <w:tc>
          <w:tcPr>
            <w:tcW w:type="dxa" w:w="785"/>
          </w:tcPr>
          <w:p>
            <w:r>
              <w:rPr>
                <w:sz w:val="17"/>
              </w:rPr>
              <w:t>+0.064</w:t>
            </w:r>
          </w:p>
        </w:tc>
        <w:tc>
          <w:tcPr>
            <w:tcW w:type="dxa" w:w="785"/>
          </w:tcPr>
          <w:p>
            <w:r>
              <w:rPr>
                <w:b/>
                <w:sz w:val="17"/>
              </w:rPr>
              <w:t>+0.148</w:t>
            </w:r>
          </w:p>
        </w:tc>
        <w:tc>
          <w:tcPr>
            <w:tcW w:type="dxa" w:w="785"/>
          </w:tcPr>
          <w:p>
            <w:r>
              <w:rPr>
                <w:sz w:val="17"/>
              </w:rPr>
              <w:t>-0.112</w:t>
            </w:r>
          </w:p>
        </w:tc>
        <w:tc>
          <w:tcPr>
            <w:tcW w:type="dxa" w:w="785"/>
          </w:tcPr>
          <w:p>
            <w:r>
              <w:rPr>
                <w:sz w:val="17"/>
              </w:rPr>
              <w:t>+0.549</w:t>
            </w:r>
          </w:p>
        </w:tc>
        <w:tc>
          <w:tcPr>
            <w:tcW w:type="dxa" w:w="785"/>
          </w:tcPr>
          <w:p>
            <w:r>
              <w:rPr>
                <w:sz w:val="17"/>
              </w:rPr>
              <w:t>+0.088</w:t>
            </w:r>
          </w:p>
        </w:tc>
        <w:tc>
          <w:tcPr>
            <w:tcW w:type="dxa" w:w="785"/>
          </w:tcPr>
          <w:p>
            <w:r>
              <w:rPr>
                <w:b/>
                <w:sz w:val="17"/>
              </w:rPr>
              <w:t>+0.305</w:t>
            </w:r>
          </w:p>
        </w:tc>
        <w:tc>
          <w:tcPr>
            <w:tcW w:type="dxa" w:w="785"/>
          </w:tcPr>
          <w:p>
            <w:r>
              <w:rPr>
                <w:sz w:val="17"/>
              </w:rPr>
              <w:t>-0.133</w:t>
            </w:r>
          </w:p>
        </w:tc>
      </w:tr>
      <w:tr>
        <w:tc>
          <w:tcPr>
            <w:tcW w:type="dxa" w:w="785"/>
          </w:tcPr>
          <w:p>
            <w:r>
              <w:rPr>
                <w:b/>
                <w:sz w:val="17"/>
              </w:rPr>
              <w:t>Counterfactual: 56.54 kPa} Air</w:t>
            </w:r>
            <w:r>
              <w:rPr>
                <w:sz w:val="17"/>
              </w:rPr>
              <w:t xml:space="preserve"> (56.54 kPa}, 21\%\ O}_2, 11.87 kPa}, 1.72×)</w:t>
            </w:r>
          </w:p>
        </w:tc>
        <w:tc>
          <w:tcPr>
            <w:tcW w:type="dxa" w:w="785"/>
          </w:tcPr>
          <w:p>
            <w:r>
              <w:rPr>
                <w:sz w:val="17"/>
              </w:rPr>
              <w:t>Shoot 10d</w:t>
            </w:r>
          </w:p>
        </w:tc>
        <w:tc>
          <w:tcPr>
            <w:tcW w:type="dxa" w:w="785"/>
          </w:tcPr>
          <w:p>
            <w:r>
              <w:rPr>
                <w:b/>
                <w:sz w:val="17"/>
              </w:rPr>
              <w:t>+0.066</w:t>
            </w:r>
          </w:p>
        </w:tc>
        <w:tc>
          <w:tcPr>
            <w:tcW w:type="dxa" w:w="785"/>
          </w:tcPr>
          <w:p>
            <w:r>
              <w:rPr>
                <w:b/>
                <w:sz w:val="17"/>
              </w:rPr>
              <w:t>+0.272</w:t>
            </w:r>
          </w:p>
        </w:tc>
        <w:tc>
          <w:tcPr>
            <w:tcW w:type="dxa" w:w="785"/>
          </w:tcPr>
          <w:p>
            <w:r>
              <w:rPr>
                <w:b/>
                <w:sz w:val="17"/>
              </w:rPr>
              <w:t>+0.281</w:t>
            </w:r>
          </w:p>
        </w:tc>
        <w:tc>
          <w:tcPr>
            <w:tcW w:type="dxa" w:w="785"/>
          </w:tcPr>
          <w:p>
            <w:r>
              <w:rPr>
                <w:sz w:val="17"/>
              </w:rPr>
              <w:t>-0.154</w:t>
            </w:r>
          </w:p>
        </w:tc>
        <w:tc>
          <w:tcPr>
            <w:tcW w:type="dxa" w:w="785"/>
          </w:tcPr>
          <w:p>
            <w:r>
              <w:rPr>
                <w:sz w:val="17"/>
              </w:rPr>
              <w:t>+0.048</w:t>
            </w:r>
          </w:p>
        </w:tc>
        <w:tc>
          <w:tcPr>
            <w:tcW w:type="dxa" w:w="785"/>
          </w:tcPr>
          <w:p>
            <w:r>
              <w:rPr>
                <w:sz w:val="17"/>
              </w:rPr>
              <w:t>+0.247</w:t>
            </w:r>
          </w:p>
        </w:tc>
        <w:tc>
          <w:tcPr>
            <w:tcW w:type="dxa" w:w="785"/>
          </w:tcPr>
          <w:p>
            <w:r>
              <w:rPr>
                <w:sz w:val="17"/>
              </w:rPr>
              <w:t>+0.260</w:t>
            </w:r>
          </w:p>
        </w:tc>
        <w:tc>
          <w:tcPr>
            <w:tcW w:type="dxa" w:w="785"/>
          </w:tcPr>
          <w:p>
            <w:r>
              <w:rPr>
                <w:sz w:val="17"/>
              </w:rPr>
              <w:t>+0.445</w:t>
            </w:r>
          </w:p>
        </w:tc>
        <w:tc>
          <w:tcPr>
            <w:tcW w:type="dxa" w:w="785"/>
          </w:tcPr>
          <w:p>
            <w:r>
              <w:rPr>
                <w:b/>
                <w:sz w:val="17"/>
              </w:rPr>
              <w:t>+0.775</w:t>
            </w:r>
          </w:p>
        </w:tc>
      </w:tr>
      <w:tr>
        <w:tc>
          <w:tcPr>
            <w:tcW w:type="dxa" w:w="785"/>
          </w:tcPr>
          <w:p/>
        </w:tc>
        <w:tc>
          <w:tcPr>
            <w:tcW w:type="dxa" w:w="785"/>
          </w:tcPr>
          <w:p>
            <w:r>
              <w:rPr>
                <w:sz w:val="17"/>
              </w:rPr>
              <w:t>Root 10d</w:t>
            </w:r>
          </w:p>
        </w:tc>
        <w:tc>
          <w:tcPr>
            <w:tcW w:type="dxa" w:w="785"/>
          </w:tcPr>
          <w:p>
            <w:r>
              <w:rPr>
                <w:b/>
                <w:sz w:val="17"/>
              </w:rPr>
              <w:t>+0.649</w:t>
            </w:r>
          </w:p>
        </w:tc>
        <w:tc>
          <w:tcPr>
            <w:tcW w:type="dxa" w:w="785"/>
          </w:tcPr>
          <w:p>
            <w:r>
              <w:rPr>
                <w:sz w:val="17"/>
              </w:rPr>
              <w:t>-0.062</w:t>
            </w:r>
          </w:p>
        </w:tc>
        <w:tc>
          <w:tcPr>
            <w:tcW w:type="dxa" w:w="785"/>
          </w:tcPr>
          <w:p>
            <w:r>
              <w:rPr>
                <w:sz w:val="17"/>
              </w:rPr>
              <w:t>+0.069</w:t>
            </w:r>
          </w:p>
        </w:tc>
        <w:tc>
          <w:tcPr>
            <w:tcW w:type="dxa" w:w="785"/>
          </w:tcPr>
          <w:p>
            <w:r>
              <w:rPr>
                <w:sz w:val="17"/>
              </w:rPr>
              <w:t>-0.007</w:t>
            </w:r>
          </w:p>
        </w:tc>
        <w:tc>
          <w:tcPr>
            <w:tcW w:type="dxa" w:w="785"/>
          </w:tcPr>
          <w:p>
            <w:r>
              <w:rPr>
                <w:b/>
                <w:sz w:val="17"/>
              </w:rPr>
              <w:t>-0.256</w:t>
            </w:r>
          </w:p>
        </w:tc>
        <w:tc>
          <w:tcPr>
            <w:tcW w:type="dxa" w:w="785"/>
          </w:tcPr>
          <w:p>
            <w:r>
              <w:rPr>
                <w:b/>
                <w:sz w:val="17"/>
              </w:rPr>
              <w:t>+2.255</w:t>
            </w:r>
          </w:p>
        </w:tc>
        <w:tc>
          <w:tcPr>
            <w:tcW w:type="dxa" w:w="785"/>
          </w:tcPr>
          <w:p>
            <w:r>
              <w:rPr>
                <w:b/>
                <w:sz w:val="17"/>
              </w:rPr>
              <w:t>+1.088</w:t>
            </w:r>
          </w:p>
        </w:tc>
        <w:tc>
          <w:tcPr>
            <w:tcW w:type="dxa" w:w="785"/>
          </w:tcPr>
          <w:p>
            <w:r>
              <w:rPr>
                <w:sz w:val="17"/>
              </w:rPr>
              <w:t>+0.300</w:t>
            </w:r>
          </w:p>
        </w:tc>
        <w:tc>
          <w:tcPr>
            <w:tcW w:type="dxa" w:w="785"/>
          </w:tcPr>
          <w:p>
            <w:r>
              <w:rPr>
                <w:sz w:val="17"/>
              </w:rPr>
              <w:t>+0.118</w:t>
            </w:r>
          </w:p>
        </w:tc>
      </w:tr>
      <w:tr>
        <w:tc>
          <w:tcPr>
            <w:tcW w:type="dxa" w:w="785"/>
          </w:tcPr>
          <w:p/>
        </w:tc>
        <w:tc>
          <w:tcPr>
            <w:tcW w:type="dxa" w:w="785"/>
          </w:tcPr>
          <w:p>
            <w:r>
              <w:rPr>
                <w:sz w:val="17"/>
              </w:rPr>
              <w:t>Root 5d</w:t>
            </w:r>
          </w:p>
        </w:tc>
        <w:tc>
          <w:tcPr>
            <w:tcW w:type="dxa" w:w="785"/>
          </w:tcPr>
          <w:p>
            <w:r>
              <w:rPr>
                <w:b/>
                <w:sz w:val="17"/>
              </w:rPr>
              <w:t>+0.642</w:t>
            </w:r>
          </w:p>
        </w:tc>
        <w:tc>
          <w:tcPr>
            <w:tcW w:type="dxa" w:w="785"/>
          </w:tcPr>
          <w:p>
            <w:r>
              <w:rPr>
                <w:sz w:val="17"/>
              </w:rPr>
              <w:t>-0.021</w:t>
            </w:r>
          </w:p>
        </w:tc>
        <w:tc>
          <w:tcPr>
            <w:tcW w:type="dxa" w:w="785"/>
          </w:tcPr>
          <w:p>
            <w:r>
              <w:rPr>
                <w:sz w:val="17"/>
              </w:rPr>
              <w:t>+0.112</w:t>
            </w:r>
          </w:p>
        </w:tc>
        <w:tc>
          <w:tcPr>
            <w:tcW w:type="dxa" w:w="785"/>
          </w:tcPr>
          <w:p>
            <w:r>
              <w:rPr>
                <w:b/>
                <w:sz w:val="17"/>
              </w:rPr>
              <w:t>+0.155</w:t>
            </w:r>
          </w:p>
        </w:tc>
        <w:tc>
          <w:tcPr>
            <w:tcW w:type="dxa" w:w="785"/>
          </w:tcPr>
          <w:p>
            <w:r>
              <w:rPr>
                <w:sz w:val="17"/>
              </w:rPr>
              <w:t>-0.014</w:t>
            </w:r>
          </w:p>
        </w:tc>
        <w:tc>
          <w:tcPr>
            <w:tcW w:type="dxa" w:w="785"/>
          </w:tcPr>
          <w:p>
            <w:r>
              <w:rPr>
                <w:b/>
                <w:sz w:val="17"/>
              </w:rPr>
              <w:t>+2.229</w:t>
            </w:r>
          </w:p>
        </w:tc>
        <w:tc>
          <w:tcPr>
            <w:tcW w:type="dxa" w:w="785"/>
          </w:tcPr>
          <w:p>
            <w:r>
              <w:rPr>
                <w:b/>
                <w:sz w:val="17"/>
              </w:rPr>
              <w:t>+1.049</w:t>
            </w:r>
          </w:p>
        </w:tc>
        <w:tc>
          <w:tcPr>
            <w:tcW w:type="dxa" w:w="785"/>
          </w:tcPr>
          <w:p>
            <w:r>
              <w:rPr>
                <w:sz w:val="17"/>
              </w:rPr>
              <w:t>+0.287</w:t>
            </w:r>
          </w:p>
        </w:tc>
        <w:tc>
          <w:tcPr>
            <w:tcW w:type="dxa" w:w="785"/>
          </w:tcPr>
          <w:p>
            <w:r>
              <w:rPr>
                <w:sz w:val="17"/>
              </w:rPr>
              <w:t>-0.018</w:t>
            </w:r>
          </w:p>
        </w:tc>
      </w:tr>
    </w:tbl>
    <w:p/>
    <w:p>
      <w:r>
        <w:rPr>
          <w:b/>
        </w:rPr>
        <w:t>Table 4 | TabPFN v2 counterfactual predictions (Δlog2FC} relative to 97 kPa} baseline; SD across seed/temperature ensemble ≤ 0.062, split-conformal 95% error band ± 0.3289\ log2FC}; `Table_S6A_NASA_Exploration_Atmosphere_Counterfactual_Predictions.csv`) at NASA's Exploration Atmosphere setpoints vs. uncompensated 56.54 kPa} Air.</w:t>
      </w:r>
    </w:p>
    <w:p>
      <w:r>
        <w:t xml:space="preserve">Comparing the </w:t>
      </w:r>
      <w:r>
        <w:rPr>
          <w:b/>
        </w:rPr>
        <w:t>NASA Exploration Habitat Setpoint (56.54 kPa} / 34\%\ O}_2, pO}_2 = 19.22 kPa})</w:t>
      </w:r>
      <w:r>
        <w:t xml:space="preserve"> against the </w:t>
      </w:r>
      <w:r>
        <w:rPr>
          <w:b/>
        </w:rPr>
        <w:t>Uncompensated 56.54 kPa} Air Counterfactual (56.54 kPa} / 21\%\ O}_2, pO}_2 = 11.87 kPa})</w:t>
      </w:r>
      <w:r>
        <w:t xml:space="preserve"> indicates:</w:t>
      </w:r>
    </w:p>
    <w:p>
      <w:pPr>
        <w:pStyle w:val="ListNumber"/>
      </w:pPr>
      <w:r>
        <w:rPr>
          <w:b/>
        </w:rPr>
        <w:t>Substantial Mitigation of the ERF-VII Anaerobic Hypoxia Regulon by 34\%\ O}_2 Enrichment:</w:t>
      </w:r>
      <w:r>
        <w:t xml:space="preserve"> In uncompensated 56.54 kPa} Air, root </w:t>
      </w:r>
      <w:r>
        <w:rPr>
          <w:rFonts w:ascii="Courier New" w:hAnsi="Courier New"/>
          <w:sz w:val="19"/>
        </w:rPr>
        <w:t>ERF_VII_Core_Hypoxia_Anaerobic</w:t>
      </w:r>
      <w:r>
        <w:t xml:space="preserve"> is induced (+0.6490 ± 0.0138\ Δlog2FC} in Root 10d; +0.6421 ± 0.0174 in Root 5d), driven by increases in </w:t>
      </w:r>
      <w:r>
        <w:rPr>
          <w:rFonts w:ascii="Courier New" w:hAnsi="Courier New"/>
          <w:sz w:val="19"/>
        </w:rPr>
        <w:t>AtPDC1</w:t>
      </w:r>
      <w:r>
        <w:t xml:space="preserve"> (+2.255 ± 0.016\ Δlog2FC}), </w:t>
      </w:r>
      <w:r>
        <w:rPr>
          <w:rFonts w:ascii="Courier New" w:hAnsi="Courier New"/>
          <w:sz w:val="19"/>
        </w:rPr>
        <w:t>SUS1</w:t>
      </w:r>
      <w:r>
        <w:t xml:space="preserve"> (+1.184 ± 0.043), </w:t>
      </w:r>
      <w:r>
        <w:rPr>
          <w:rFonts w:ascii="Courier New" w:hAnsi="Courier New"/>
          <w:sz w:val="19"/>
        </w:rPr>
        <w:t>HB1</w:t>
      </w:r>
      <w:r>
        <w:t>/</w:t>
      </w:r>
      <w:r>
        <w:rPr>
          <w:rFonts w:ascii="Courier New" w:hAnsi="Courier New"/>
          <w:sz w:val="19"/>
        </w:rPr>
        <w:t>AHB1</w:t>
      </w:r>
      <w:r>
        <w:t xml:space="preserve"> (+1.088 ± 0.007), </w:t>
      </w:r>
      <w:r>
        <w:rPr>
          <w:rFonts w:ascii="Courier New" w:hAnsi="Courier New"/>
          <w:sz w:val="19"/>
        </w:rPr>
        <w:t>PCO1</w:t>
      </w:r>
      <w:r>
        <w:t xml:space="preserve"> (+1.004 ± 0.037), </w:t>
      </w:r>
      <w:r>
        <w:rPr>
          <w:rFonts w:ascii="Courier New" w:hAnsi="Courier New"/>
          <w:sz w:val="19"/>
        </w:rPr>
        <w:t>LBD41</w:t>
      </w:r>
      <w:r>
        <w:t xml:space="preserve"> (+0.561 ± 0.047), and </w:t>
      </w:r>
      <w:r>
        <w:rPr>
          <w:rFonts w:ascii="Courier New" w:hAnsi="Courier New"/>
          <w:sz w:val="19"/>
        </w:rPr>
        <w:t>CML38</w:t>
      </w:r>
      <w:r>
        <w:t xml:space="preserve"> (+0.683 ± 0.021). Raising O}_2 to 34\% at 56.54 kPa} (pO}_2 = 19.22 kPa}) is projected to </w:t>
      </w:r>
      <w:r>
        <w:rPr>
          <w:b/>
        </w:rPr>
        <w:t>mitigate 89.4\% of root ERF-VII pathway induction</w:t>
      </w:r>
      <w:r>
        <w:t xml:space="preserve"> (reducing Root 10d </w:t>
      </w:r>
      <w:r>
        <w:rPr>
          <w:rFonts w:ascii="Courier New" w:hAnsi="Courier New"/>
          <w:sz w:val="19"/>
        </w:rPr>
        <w:t>ERF_VII_Core_Hypoxia_Anaerobic</w:t>
      </w:r>
      <w:r>
        <w:t xml:space="preserve"> to +0.0689 ± 0.0016\ Δlog2FC} and Shoot 10d to -0.0732 ± 0.0056), suppressing </w:t>
      </w:r>
      <w:r>
        <w:rPr>
          <w:rFonts w:ascii="Courier New" w:hAnsi="Courier New"/>
          <w:sz w:val="19"/>
        </w:rPr>
        <w:t>HB1</w:t>
      </w:r>
      <w:r>
        <w:t xml:space="preserve"> from +1.088 to +0.142 in Root 10d (and -0.234 in Shoot 10d), suppressing </w:t>
      </w:r>
      <w:r>
        <w:rPr>
          <w:rFonts w:ascii="Courier New" w:hAnsi="Courier New"/>
          <w:sz w:val="19"/>
        </w:rPr>
        <w:t>PCO1</w:t>
      </w:r>
      <w:r>
        <w:t xml:space="preserve"> from +1.004 to -0.049, suppressing </w:t>
      </w:r>
      <w:r>
        <w:rPr>
          <w:rFonts w:ascii="Courier New" w:hAnsi="Courier New"/>
          <w:sz w:val="19"/>
        </w:rPr>
        <w:t>LBD41</w:t>
      </w:r>
      <w:r>
        <w:t xml:space="preserve"> from +0.561 to -0.433, and reducing </w:t>
      </w:r>
      <w:r>
        <w:rPr>
          <w:rFonts w:ascii="Courier New" w:hAnsi="Courier New"/>
          <w:sz w:val="19"/>
        </w:rPr>
        <w:t>AtPDC1</w:t>
      </w:r>
      <w:r>
        <w:t xml:space="preserve"> by 64.0\% in Root 10d (+0.811) and 81.3\% in Shoot 10d (+0.046).</w:t>
      </w:r>
    </w:p>
    <w:p>
      <w:pPr>
        <w:pStyle w:val="ListNumber"/>
      </w:pPr>
      <w:r>
        <w:rPr>
          <w:b/>
        </w:rPr>
        <w:t>Persistence of the Physical Barosensory Cascade at 56.54 kPa} / 34\%\ O}_2:</w:t>
      </w:r>
      <w:r>
        <w:t xml:space="preserve"> Because 34\%\ O}_2 enrichment does not alter total barometric pressure (P_{total}} = 56.54 kPa}) or binary gas diffusivity (D/D_0 = 1.72×), barosensory modules remain active under NASA's Exploration Atmosphere:</w:t>
      </w:r>
    </w:p>
    <w:p>
      <w:pPr>
        <w:pStyle w:val="ListBullet"/>
      </w:pPr>
      <w:r>
        <w:t xml:space="preserve">In </w:t>
      </w:r>
      <w:r>
        <w:rPr>
          <w:b/>
        </w:rPr>
        <w:t>10-day Shoots at 56.54 kPa} / 34\%\ O}_2</w:t>
      </w:r>
      <w:r>
        <w:t xml:space="preserve">, cell-wall xyloglucan endotransglucosylase </w:t>
      </w:r>
      <w:r>
        <w:rPr>
          <w:rFonts w:ascii="Courier New" w:hAnsi="Courier New"/>
          <w:sz w:val="19"/>
        </w:rPr>
        <w:t>TCH4</w:t>
      </w:r>
      <w:r>
        <w:t>/</w:t>
      </w:r>
      <w:r>
        <w:rPr>
          <w:rFonts w:ascii="Courier New" w:hAnsi="Courier New"/>
          <w:sz w:val="19"/>
        </w:rPr>
        <w:t>AtXTH22</w:t>
      </w:r>
      <w:r>
        <w:t xml:space="preserve"> is induced (</w:t>
      </w:r>
      <w:r>
        <w:rPr>
          <w:b/>
        </w:rPr>
        <w:t>+0.8587 ± 0.0599\ Δlog2FC}</w:t>
      </w:r>
      <w:r>
        <w:t xml:space="preserve">, compared with +0.4446 in hypoxic 56.54 kPa} Air where metabolic ATP limitation constrains cell-wall remodeling), chloroplast lipoxygenase </w:t>
      </w:r>
      <w:r>
        <w:rPr>
          <w:rFonts w:ascii="Courier New" w:hAnsi="Courier New"/>
          <w:sz w:val="19"/>
        </w:rPr>
        <w:t>LOX2</w:t>
      </w:r>
      <w:r>
        <w:t xml:space="preserve"> (</w:t>
      </w:r>
      <w:r>
        <w:rPr>
          <w:rFonts w:ascii="Courier New" w:hAnsi="Courier New"/>
          <w:sz w:val="19"/>
        </w:rPr>
        <w:t>+0.5716 ± 0.0622</w:t>
      </w:r>
      <w:r>
        <w:t xml:space="preserve">) and </w:t>
      </w:r>
      <w:r>
        <w:rPr>
          <w:rFonts w:ascii="Courier New" w:hAnsi="Courier New"/>
          <w:sz w:val="19"/>
        </w:rPr>
        <w:t>AOS</w:t>
      </w:r>
      <w:r>
        <w:t xml:space="preserve"> (</w:t>
      </w:r>
      <w:r>
        <w:rPr>
          <w:rFonts w:ascii="Courier New" w:hAnsi="Courier New"/>
          <w:sz w:val="19"/>
        </w:rPr>
        <w:t>+0.2898 ± 0.0150</w:t>
      </w:r>
      <w:r>
        <w:t xml:space="preserve">) drive </w:t>
      </w:r>
      <w:r>
        <w:rPr>
          <w:rFonts w:ascii="Courier New" w:hAnsi="Courier New"/>
          <w:sz w:val="19"/>
        </w:rPr>
        <w:t>Oxylipin_JA_Chloroplast_Galactolipid</w:t>
      </w:r>
      <w:r>
        <w:t xml:space="preserve"> (</w:t>
      </w:r>
      <w:r>
        <w:rPr>
          <w:rFonts w:ascii="Courier New" w:hAnsi="Courier New"/>
          <w:sz w:val="19"/>
        </w:rPr>
        <w:t>+0.1740 ± 0.0111</w:t>
      </w:r>
      <w:r>
        <w:t xml:space="preserve">), and </w:t>
      </w:r>
      <w:r>
        <w:rPr>
          <w:rFonts w:ascii="Courier New" w:hAnsi="Courier New"/>
          <w:sz w:val="19"/>
        </w:rPr>
        <w:t>ROS_Redox_Calcium_HeatShock</w:t>
      </w:r>
      <w:r>
        <w:t xml:space="preserve"> (</w:t>
      </w:r>
      <w:r>
        <w:rPr>
          <w:rFonts w:ascii="Courier New" w:hAnsi="Courier New"/>
          <w:sz w:val="19"/>
        </w:rPr>
        <w:t>+0.2063 ± 0.0055</w:t>
      </w:r>
      <w:r>
        <w:t xml:space="preserve">), </w:t>
      </w:r>
      <w:r>
        <w:rPr>
          <w:rFonts w:ascii="Courier New" w:hAnsi="Courier New"/>
          <w:sz w:val="19"/>
        </w:rPr>
        <w:t>Indole_Glucosinolate_Defense</w:t>
      </w:r>
      <w:r>
        <w:t xml:space="preserve"> (</w:t>
      </w:r>
      <w:r>
        <w:rPr>
          <w:rFonts w:ascii="Courier New" w:hAnsi="Courier New"/>
          <w:sz w:val="19"/>
        </w:rPr>
        <w:t>+0.0646 ± 0.0027</w:t>
      </w:r>
      <w:r>
        <w:t xml:space="preserve">), flavonol synthase </w:t>
      </w:r>
      <w:r>
        <w:rPr>
          <w:rFonts w:ascii="Courier New" w:hAnsi="Courier New"/>
          <w:sz w:val="19"/>
        </w:rPr>
        <w:t>FLS1</w:t>
      </w:r>
      <w:r>
        <w:t xml:space="preserve"> (</w:t>
      </w:r>
      <w:r>
        <w:rPr>
          <w:rFonts w:ascii="Courier New" w:hAnsi="Courier New"/>
          <w:sz w:val="19"/>
        </w:rPr>
        <w:t>+0.1977 ± 0.0021</w:t>
      </w:r>
      <w:r>
        <w:t xml:space="preserve">), and senescence marker </w:t>
      </w:r>
      <w:r>
        <w:rPr>
          <w:rFonts w:ascii="Courier New" w:hAnsi="Courier New"/>
          <w:sz w:val="19"/>
        </w:rPr>
        <w:t>SEN1</w:t>
      </w:r>
      <w:r>
        <w:t xml:space="preserve"> (</w:t>
      </w:r>
      <w:r>
        <w:rPr>
          <w:rFonts w:ascii="Courier New" w:hAnsi="Courier New"/>
          <w:sz w:val="19"/>
        </w:rPr>
        <w:t>+0.1651 ± 0.0016</w:t>
      </w:r>
      <w:r>
        <w:t>) remain elevated (</w:t>
      </w:r>
      <w:r>
        <w:rPr>
          <w:rFonts w:ascii="Courier New" w:hAnsi="Courier New"/>
          <w:sz w:val="19"/>
        </w:rPr>
        <w:t>Table_S6A</w:t>
      </w:r>
      <w:r>
        <w:t>).</w:t>
      </w:r>
    </w:p>
    <w:p>
      <w:pPr>
        <w:pStyle w:val="ListBullet"/>
      </w:pPr>
      <w:r>
        <w:t xml:space="preserve">In </w:t>
      </w:r>
      <w:r>
        <w:rPr>
          <w:b/>
        </w:rPr>
        <w:t>10-day and 5-day Roots at 56.54 kPa} / 34\%\ O}_2</w:t>
      </w:r>
      <w:r>
        <w:t xml:space="preserve">, young-root </w:t>
      </w:r>
      <w:r>
        <w:rPr>
          <w:rFonts w:ascii="Courier New" w:hAnsi="Courier New"/>
          <w:sz w:val="19"/>
        </w:rPr>
        <w:t>Cuticle_Epicuticular_Wax_Lipid_Transport</w:t>
      </w:r>
      <w:r>
        <w:t xml:space="preserve"> (</w:t>
      </w:r>
      <w:r>
        <w:rPr>
          <w:rFonts w:ascii="Courier New" w:hAnsi="Courier New"/>
          <w:sz w:val="19"/>
        </w:rPr>
        <w:t>+0.1478 ± 0.0022</w:t>
      </w:r>
      <w:r>
        <w:t xml:space="preserve"> in Root 5d), </w:t>
      </w:r>
      <w:r>
        <w:rPr>
          <w:rFonts w:ascii="Courier New" w:hAnsi="Courier New"/>
          <w:sz w:val="19"/>
        </w:rPr>
        <w:t>Phenylpropanoid_Sinapate_Flavonol</w:t>
      </w:r>
      <w:r>
        <w:t xml:space="preserve"> (</w:t>
      </w:r>
      <w:r>
        <w:rPr>
          <w:rFonts w:ascii="Courier New" w:hAnsi="Courier New"/>
          <w:sz w:val="19"/>
        </w:rPr>
        <w:t>+0.1322 ± 0.0013</w:t>
      </w:r>
      <w:r>
        <w:t xml:space="preserve"> in Root 10d; </w:t>
      </w:r>
      <w:r>
        <w:rPr>
          <w:rFonts w:ascii="Courier New" w:hAnsi="Courier New"/>
          <w:sz w:val="19"/>
        </w:rPr>
        <w:t>FLS1</w:t>
      </w:r>
      <w:r>
        <w:t xml:space="preserve"> +0.2142 in Root 10d and +0.2396 in Root 5d), ABA-responsive </w:t>
      </w:r>
      <w:r>
        <w:rPr>
          <w:rFonts w:ascii="Courier New" w:hAnsi="Courier New"/>
          <w:sz w:val="19"/>
        </w:rPr>
        <w:t>ATHB7</w:t>
      </w:r>
      <w:r>
        <w:t xml:space="preserve"> (</w:t>
      </w:r>
      <w:r>
        <w:rPr>
          <w:rFonts w:ascii="Courier New" w:hAnsi="Courier New"/>
          <w:sz w:val="19"/>
        </w:rPr>
        <w:t>+0.4652 ± 0.0115</w:t>
      </w:r>
      <w:r>
        <w:t xml:space="preserve"> in Root 10d), lipid transfer protein </w:t>
      </w:r>
      <w:r>
        <w:rPr>
          <w:rFonts w:ascii="Courier New" w:hAnsi="Courier New"/>
          <w:sz w:val="19"/>
        </w:rPr>
        <w:t>LTP3</w:t>
      </w:r>
      <w:r>
        <w:t xml:space="preserve"> (</w:t>
      </w:r>
      <w:r>
        <w:rPr>
          <w:rFonts w:ascii="Courier New" w:hAnsi="Courier New"/>
          <w:sz w:val="19"/>
        </w:rPr>
        <w:t>+0.2917 ± 0.0191</w:t>
      </w:r>
      <w:r>
        <w:t xml:space="preserve"> in Root 10d), </w:t>
      </w:r>
      <w:r>
        <w:rPr>
          <w:rFonts w:ascii="Courier New" w:hAnsi="Courier New"/>
          <w:sz w:val="19"/>
        </w:rPr>
        <w:t>TCH4</w:t>
      </w:r>
      <w:r>
        <w:t xml:space="preserve"> (</w:t>
      </w:r>
      <w:r>
        <w:rPr>
          <w:rFonts w:ascii="Courier New" w:hAnsi="Courier New"/>
          <w:sz w:val="19"/>
        </w:rPr>
        <w:t>+0.3450 ± 0.0135</w:t>
      </w:r>
      <w:r>
        <w:t xml:space="preserve"> in Root 10d; </w:t>
      </w:r>
      <w:r>
        <w:rPr>
          <w:rFonts w:ascii="Courier New" w:hAnsi="Courier New"/>
          <w:sz w:val="19"/>
        </w:rPr>
        <w:t>+0.3053 ± 0.0141</w:t>
      </w:r>
      <w:r>
        <w:t xml:space="preserve"> in Root 5d), and root </w:t>
      </w:r>
      <w:r>
        <w:rPr>
          <w:rFonts w:ascii="Courier New" w:hAnsi="Courier New"/>
          <w:sz w:val="19"/>
        </w:rPr>
        <w:t>Photosynthesis_Carbon_Fixation_LHC</w:t>
      </w:r>
      <w:r>
        <w:t xml:space="preserve"> repression (</w:t>
      </w:r>
      <w:r>
        <w:rPr>
          <w:rFonts w:ascii="Courier New" w:hAnsi="Courier New"/>
          <w:sz w:val="19"/>
        </w:rPr>
        <w:t>-0.2504 ± 0.0160</w:t>
      </w:r>
      <w:r>
        <w:t xml:space="preserve"> in Root 10d) persist at levels comparable to uncompensated 56.54 kPa} Air (</w:t>
      </w:r>
      <w:r>
        <w:rPr>
          <w:rFonts w:ascii="Courier New" w:hAnsi="Courier New"/>
          <w:sz w:val="19"/>
        </w:rPr>
        <w:t>Table_S6A</w:t>
      </w:r>
      <w:r>
        <w:t>).</w:t>
      </w:r>
    </w:p>
    <w:p>
      <w:pPr>
        <w:pStyle w:val="ListNumber"/>
      </w:pPr>
      <w:r>
        <w:rPr>
          <w:b/>
        </w:rPr>
        <w:t>Staged Pre-EVA Decompression (70.33 kPa} / 26.5\%\ O}_2, D/D_0 = 1.38×):</w:t>
      </w:r>
      <w:r>
        <w:t xml:space="preserve"> At 70.33 kPa}, where diffusivity is 1.38× baseline, barosensory shoot </w:t>
      </w:r>
      <w:r>
        <w:rPr>
          <w:rFonts w:ascii="Courier New" w:hAnsi="Courier New"/>
          <w:sz w:val="19"/>
        </w:rPr>
        <w:t>TCH4</w:t>
      </w:r>
      <w:r>
        <w:t xml:space="preserve"> (+0.7590), </w:t>
      </w:r>
      <w:r>
        <w:rPr>
          <w:rFonts w:ascii="Courier New" w:hAnsi="Courier New"/>
          <w:sz w:val="19"/>
        </w:rPr>
        <w:t>LOX2</w:t>
      </w:r>
      <w:r>
        <w:t xml:space="preserve"> (+0.5035), and root </w:t>
      </w:r>
      <w:r>
        <w:rPr>
          <w:rFonts w:ascii="Courier New" w:hAnsi="Courier New"/>
          <w:sz w:val="19"/>
        </w:rPr>
        <w:t>TCH4</w:t>
      </w:r>
      <w:r>
        <w:t xml:space="preserve"> (+0.3162) are moderately attenuated relative to 56.54 kPa}, while ERF-VII hypoxia remains suppressed (</w:t>
      </w:r>
      <w:r>
        <w:rPr>
          <w:rFonts w:ascii="Courier New" w:hAnsi="Courier New"/>
          <w:sz w:val="19"/>
        </w:rPr>
        <w:t>-0.0699</w:t>
      </w:r>
      <w:r>
        <w:t xml:space="preserve"> in Shoot 10d, </w:t>
      </w:r>
      <w:r>
        <w:rPr>
          <w:rFonts w:ascii="Courier New" w:hAnsi="Courier New"/>
          <w:sz w:val="19"/>
        </w:rPr>
        <w:t>+0.0675</w:t>
      </w:r>
      <w:r>
        <w:t xml:space="preserve"> in Root 10d; Table 4).</w:t>
      </w:r>
    </w:p>
    <w:p>
      <w:pPr>
        <w:pStyle w:val="Heading2"/>
      </w:pPr>
      <w:r>
        <w:t>2.7 Workpackage 6: Plant PhysioSpace Stress Autodecoder Across the Spaceflight Mission Profile</w:t>
      </w:r>
    </w:p>
    <w:p>
      <w:r>
        <w:t xml:space="preserve">To synthesize how </w:t>
      </w:r>
      <w:r>
        <w:rPr>
          <w:i/>
        </w:rPr>
        <w:t>Arabidopsis thaliana</w:t>
      </w:r>
      <w:r>
        <w:t xml:space="preserve"> perceives the operational lifecycle of crewed exploration habitats, we mapped our harmonized compendium and counterfactual trajectories onto the </w:t>
      </w:r>
      <w:r>
        <w:rPr>
          <w:b/>
        </w:rPr>
        <w:t>Plant PhysioSpace Stress Autodecoder</w:t>
      </w:r>
      <w:r>
        <w:t xml:space="preserve"> (</w:t>
      </w:r>
      <w:r>
        <w:rPr>
          <w:rFonts w:ascii="Courier New" w:hAnsi="Courier New"/>
          <w:sz w:val="19"/>
        </w:rPr>
        <w:t>Table_S7_PhysioSpace_Stress_Scores.csv</w:t>
      </w:r>
      <w:r>
        <w:t xml:space="preserve">, Figure 7; Esfahani et al., </w:t>
      </w:r>
      <w:r>
        <w:rPr>
          <w:i/>
        </w:rPr>
        <w:t>Plant Physiol.</w:t>
      </w:r>
      <w:r>
        <w:t xml:space="preserve"> 2021). By projecting gene expression profiles across 10 canonical physiological stress dimensions using a continuous diverging colormap (low/suppressed = deep blue, neutral baseline = white, high/activated = deep red), the autodecoder deconstructs the multi-stress experience across the astronautical mission profile:</w:t>
      </w:r>
    </w:p>
    <w:p>
      <w:pPr>
        <w:pStyle w:val="ListNumber"/>
      </w:pPr>
      <w:r>
        <w:rPr>
          <w:b/>
        </w:rPr>
        <w:t>Earth Ground Baseline (M1: 101.3 kPa}, 21\%\ O}_2, 50\%\ RH}):</w:t>
      </w:r>
      <w:r>
        <w:t xml:space="preserve"> Represents a balanced homeostatic reference where all 10 stress dimensions center around zero (z \in [-0.06, +0.05]; Figure 7A).</w:t>
      </w:r>
    </w:p>
    <w:p>
      <w:pPr>
        <w:pStyle w:val="ListNumber"/>
      </w:pPr>
      <w:r>
        <w:rPr>
          <w:b/>
        </w:rPr>
        <w:t>Pre-EVA Staged Habitat (M2: 70.3 kPa}, 26.5\%\ O}_2, 50\%\ RH}):</w:t>
      </w:r>
      <w:r>
        <w:t xml:space="preserve"> Moderate boundary-layer thinning elevates shoot osmotic/dehydration stress (z = +0.82) and cell-wall mechanosensory remodeling (z = +0.95), while core hypoxia remains largely quenched (z = -0.08 in shoots, +0.12 in roots; Figure 7A–B).</w:t>
      </w:r>
    </w:p>
    <w:p>
      <w:pPr>
        <w:pStyle w:val="ListNumber"/>
      </w:pPr>
      <w:r>
        <w:rPr>
          <w:b/>
        </w:rPr>
        <w:t>Nominal Exploration Habitat (M3: 56.5 kPa}, 34\%\ O}_2, 50\%\ RH}):</w:t>
      </w:r>
      <w:r>
        <w:t xml:space="preserve"> The 34\%\ O}_2 enrichment maintains ambient pO}_2 at 19.22 kPa}, suppressing hypoxia stress (z = -0.16 in shoots, +0.18 in roots; Figure 7A). However, in the absence of engineered humidity compensation, accelerated gas diffusivity (D/D_0 = 1.72×) triggers shoot-localized transpiration and boundary-layer desiccation, driving induction of </w:t>
      </w:r>
      <w:r>
        <w:rPr>
          <w:b/>
        </w:rPr>
        <w:t>Osmotic &amp; Dehydration Stress</w:t>
      </w:r>
      <w:r>
        <w:t xml:space="preserve"> (z = +1.86), </w:t>
      </w:r>
      <w:r>
        <w:rPr>
          <w:b/>
        </w:rPr>
        <w:t>Mechanosensory &amp; Cell Wall Strain</w:t>
      </w:r>
      <w:r>
        <w:t xml:space="preserve"> (z = +1.94), </w:t>
      </w:r>
      <w:r>
        <w:rPr>
          <w:b/>
        </w:rPr>
        <w:t>Aquaporin Hydraulic Flux</w:t>
      </w:r>
      <w:r>
        <w:t xml:space="preserve"> (z = +1.72), and </w:t>
      </w:r>
      <w:r>
        <w:rPr>
          <w:b/>
        </w:rPr>
        <w:t>Stomatal Resistance &amp; Closure</w:t>
      </w:r>
      <w:r>
        <w:t xml:space="preserve"> (z = +1.82; Figure 7A, C).</w:t>
      </w:r>
    </w:p>
    <w:p>
      <w:pPr>
        <w:pStyle w:val="ListNumber"/>
      </w:pPr>
      <w:r>
        <w:rPr>
          <w:b/>
        </w:rPr>
        <w:t>Uncompensated Cabin Transient (M4: 50.0 kPa}, 21\%\ O}_2, 50\%\ RH}) &amp; Extreme Depressurization Emergency (M5: 5.0 kPa}, 21\%\ O}_2, 50\%\ RH}):</w:t>
      </w:r>
      <w:r>
        <w:t xml:space="preserve"> When barometric decompression occurs without compensatory O}_2 enrichment, ambient pO}_2 drops (10.5 kPa} in M4; 1.05 kPa} in M5). This shifts the plant state into the compound emergency quadrant (Figure 7B), where hypoxia rises to z = +2.48 (M4) and z = +3.45 (M5) in roots, accompanied by SnRK1 energy stress (z = +1.85 to +3.12) and oxidative stress markers (z = +1.42 to +2.85).</w:t>
      </w:r>
    </w:p>
    <w:p>
      <w:pPr>
        <w:pStyle w:val="ListNumber"/>
      </w:pPr>
      <w:r>
        <w:rPr>
          <w:b/>
        </w:rPr>
        <w:t>BLiSS Engineered Habitat (M6: 56.5 kPa}, 34\%\ O}_2, 80\%\ RH}):</w:t>
      </w:r>
      <w:r>
        <w:t xml:space="preserve"> Elevating chamber relative humidity to 80\%\ RH} suppresses the leaf-to-air vapor pressure deficit by \sim 50\%, counteracting the 1.72× diffusivity acceleration. As demonstrated in Figure 7D, this environmental control parameter attenuates hypobaric stress in shoots: Osmotic stress decreases by Δ z = -1.90 (dropping to z = -0.04), Stomatal resistance relaxes by Δ z = -1.76 (dropping to z = +0.06), Cell-wall mechanostrain drops by Δ z = -1.70 (to z = +0.24), and Aquaporin flux normalizes by Δ z = -1.60 (to z = +0.12). In 2D PhysioSpace ordination (Figure 7B), the countermeasure shifts the plant trajectory out of the boundary-layer dehydration zone toward the terrestrial homeostatic origin.</w:t>
      </w:r>
    </w:p>
    <w:p>
      <w:pPr>
        <w:jc w:val="center"/>
      </w:pPr>
      <w:r>
        <w:drawing>
          <wp:inline xmlns:a="http://schemas.openxmlformats.org/drawingml/2006/main" xmlns:pic="http://schemas.openxmlformats.org/drawingml/2006/picture">
            <wp:extent cx="5760720" cy="3739210"/>
            <wp:docPr id="7" name="Picture 7"/>
            <wp:cNvGraphicFramePr>
              <a:graphicFrameLocks noChangeAspect="1"/>
            </wp:cNvGraphicFramePr>
            <a:graphic>
              <a:graphicData uri="http://schemas.openxmlformats.org/drawingml/2006/picture">
                <pic:pic>
                  <pic:nvPicPr>
                    <pic:cNvPr id="0" name="fig7_physiospace_mission_profile_autodecoder.png"/>
                    <pic:cNvPicPr/>
                  </pic:nvPicPr>
                  <pic:blipFill>
                    <a:blip r:embed="rId15"/>
                    <a:stretch>
                      <a:fillRect/>
                    </a:stretch>
                  </pic:blipFill>
                  <pic:spPr>
                    <a:xfrm>
                      <a:off x="0" y="0"/>
                      <a:ext cx="5760720" cy="3739210"/>
                    </a:xfrm>
                    <a:prstGeom prst="rect"/>
                  </pic:spPr>
                </pic:pic>
              </a:graphicData>
            </a:graphic>
          </wp:inline>
        </w:drawing>
      </w:r>
    </w:p>
    <w:p>
      <w:r>
        <w:rPr>
          <w:b/>
        </w:rPr>
        <w:t>Figure 7 | Plant PhysioSpace Stress Autodecoder across the NASA Exploration Atmosphere mission profile.</w:t>
      </w:r>
      <w:r>
        <w:t xml:space="preserve"> </w:t>
      </w:r>
      <w:r>
        <w:rPr>
          <w:b/>
        </w:rPr>
        <w:t>(A)</w:t>
      </w:r>
      <w:r>
        <w:t xml:space="preserve"> Master heatmap of standardized PhysioSpace stress z-scores (relative to Earth ground baseline) across 10 canonical stress axes, comparing Shoot and Root responses across six astronautical mission phases (M1: Ground Baseline, M2: Staged Decompression, M3: Nominal Exploration Habitat, M6: BLiSS Engineered Habitat, M4: Uncompensated Cabin Transient, M5: Extreme Depressurization Emergency) using a continuous Blue-to-White-to-Red diverging colormap (Low/Suppressed = Blue, Homeostasis/Neutral = White, High/Activated = Red). </w:t>
      </w:r>
      <w:r>
        <w:rPr>
          <w:b/>
        </w:rPr>
        <w:t>(B)</w:t>
      </w:r>
      <w:r>
        <w:t xml:space="preserve"> Two-dimensional PhysioSpace ordination trajectory projecting mission phases along the Hypoxia/Anaerobic dimension vs. the Osmotic/Dehydration dimension, showing that nominal exploration atmosphere (M3) moves into the transpiration/osmotic zone without hypoxia, whereas the engineered 80\%\ RH} countermeasure (M6) returns the plant trajectory toward the homeostatic origin. </w:t>
      </w:r>
      <w:r>
        <w:rPr>
          <w:b/>
        </w:rPr>
        <w:t>(C)</w:t>
      </w:r>
      <w:r>
        <w:t xml:space="preserve"> Organ-specific stress partitioning in Shoot vs. Root under nominal Exploration Atmosphere (M3) vs. BLiSS Humidity Rescue (M6). </w:t>
      </w:r>
      <w:r>
        <w:rPr>
          <w:b/>
        </w:rPr>
        <w:t>(D)</w:t>
      </w:r>
      <w:r>
        <w:t xml:space="preserve"> Quantitative stress score delta (Δ z = z_{M6}} - z_{M3}}) demonstrating hypobaric stress attenuation achieved by engineered relative humidity compensation in shoots.</w:t>
      </w:r>
    </w:p>
    <w:p>
      <w:pPr>
        <w:pStyle w:val="Heading1"/>
      </w:pPr>
      <w:r>
        <w:t>3. Discussion and Bioregenerative Habitat Engineering Recommendations</w:t>
      </w:r>
    </w:p>
    <w:p>
      <w:pPr>
        <w:pStyle w:val="Heading2"/>
      </w:pPr>
      <w:r>
        <w:t>3.1 Methodological Insights: Foundation Models for Small-Sample Spaceflight Omics</w:t>
      </w:r>
    </w:p>
    <w:p>
      <w:r>
        <w:t>Spaceflight and hypobaric chamber biology exemplifies the "small-n, wide-p" regime (n = 58--}130 samples across p = 22,746 genes) where standard machine learning paradigms face constraints. Tree-based ensembles (</w:t>
      </w:r>
      <w:r>
        <w:rPr>
          <w:rFonts w:ascii="Courier New" w:hAnsi="Courier New"/>
          <w:sz w:val="19"/>
        </w:rPr>
        <w:t>LightGBM</w:t>
      </w:r>
      <w:r>
        <w:t xml:space="preserve">, </w:t>
      </w:r>
      <w:r>
        <w:rPr>
          <w:rFonts w:ascii="Courier New" w:hAnsi="Courier New"/>
          <w:sz w:val="19"/>
        </w:rPr>
        <w:t>RandomForest</w:t>
      </w:r>
      <w:r>
        <w:t>) partition features via axis-aligned splits that fragment small sample sizes into low-count leaves, leading to reduced generalization on small developmental slices (n=9 5-day roots) and poorer calibration (</w:t>
      </w:r>
      <w:r>
        <w:rPr>
          <w:rFonts w:ascii="Courier New" w:hAnsi="Courier New"/>
          <w:sz w:val="19"/>
        </w:rPr>
        <w:t>Brier_Score = 0.5670</w:t>
      </w:r>
      <w:r>
        <w:t xml:space="preserve"> for </w:t>
      </w:r>
      <w:r>
        <w:rPr>
          <w:rFonts w:ascii="Courier New" w:hAnsi="Courier New"/>
          <w:sz w:val="19"/>
        </w:rPr>
        <w:t>LightGBM</w:t>
      </w:r>
      <w:r>
        <w:t xml:space="preserve"> in WP2C; Table 2, </w:t>
      </w:r>
      <w:r>
        <w:rPr>
          <w:rFonts w:ascii="Courier New" w:hAnsi="Courier New"/>
          <w:sz w:val="19"/>
        </w:rPr>
        <w:t>Table_S2B</w:t>
      </w:r>
      <w:r>
        <w:t>). Conversely, penalized linear models (</w:t>
      </w:r>
      <w:r>
        <w:rPr>
          <w:rFonts w:ascii="Courier New" w:hAnsi="Courier New"/>
          <w:sz w:val="19"/>
        </w:rPr>
        <w:t>ElasticNet</w:t>
      </w:r>
      <w:r>
        <w:t xml:space="preserve">, </w:t>
      </w:r>
      <w:r>
        <w:rPr>
          <w:rFonts w:ascii="Courier New" w:hAnsi="Courier New"/>
          <w:sz w:val="19"/>
        </w:rPr>
        <w:t>Ridge</w:t>
      </w:r>
      <w:r>
        <w:t>) cannot represent conditional interactions—such as how developmental stage (</w:t>
      </w:r>
      <w:r>
        <w:rPr>
          <w:rFonts w:ascii="Courier New" w:hAnsi="Courier New"/>
          <w:sz w:val="19"/>
        </w:rPr>
        <w:t>5-day</w:t>
      </w:r>
      <w:r>
        <w:t xml:space="preserve"> vs. </w:t>
      </w:r>
      <w:r>
        <w:rPr>
          <w:rFonts w:ascii="Courier New" w:hAnsi="Courier New"/>
          <w:sz w:val="19"/>
        </w:rPr>
        <w:t>10-day</w:t>
      </w:r>
      <w:r>
        <w:t>) or organ identity (</w:t>
      </w:r>
      <w:r>
        <w:rPr>
          <w:rFonts w:ascii="Courier New" w:hAnsi="Courier New"/>
          <w:sz w:val="19"/>
        </w:rPr>
        <w:t>Shoot</w:t>
      </w:r>
      <w:r>
        <w:t xml:space="preserve"> vs. </w:t>
      </w:r>
      <w:r>
        <w:rPr>
          <w:rFonts w:ascii="Courier New" w:hAnsi="Courier New"/>
          <w:sz w:val="19"/>
        </w:rPr>
        <w:t>Root</w:t>
      </w:r>
      <w:r>
        <w:t>) modifies slopes—without explicit interaction engineering.</w:t>
      </w:r>
    </w:p>
    <w:p>
      <w:r>
        <w:t>By pairing a leak-free biological feature compression layer (</w:t>
      </w:r>
      <w:r>
        <w:rPr>
          <w:rFonts w:ascii="Courier New" w:hAnsi="Courier New"/>
          <w:sz w:val="19"/>
        </w:rPr>
        <w:t>TabPFNOmicsFeatureBuilder</w:t>
      </w:r>
      <w:r>
        <w:t xml:space="preserve">, combining 12 curated pathway eigengenes, 8 biophysical pathway interaction ratios, and 40 unsupervised highest-variance discovery genes selected strictly inside each training fold) with </w:t>
      </w:r>
      <w:r>
        <w:rPr>
          <w:b/>
        </w:rPr>
        <w:t>TabPFN v2</w:t>
      </w:r>
      <w:r>
        <w:t xml:space="preserve"> (Hollmann et al., </w:t>
      </w:r>
      <w:r>
        <w:rPr>
          <w:i/>
        </w:rPr>
        <w:t>Nature</w:t>
      </w:r>
      <w:r>
        <w:t xml:space="preserve"> 2025), our framework leverages transformer in-context Bayesian inference over synthetic causal priors. This architecture provided three key capabilities:</w:t>
      </w:r>
    </w:p>
    <w:p>
      <w:pPr>
        <w:pStyle w:val="ListNumber"/>
      </w:pPr>
      <w:r>
        <w:rPr>
          <w:b/>
        </w:rPr>
        <w:t>Forensic Metadata Auditing (WP1):</w:t>
      </w:r>
      <w:r>
        <w:t xml:space="preserve"> Strong posterior calibration (</w:t>
      </w:r>
      <w:r>
        <w:rPr>
          <w:rFonts w:ascii="Courier New" w:hAnsi="Courier New"/>
          <w:sz w:val="19"/>
        </w:rPr>
        <w:t>ECE = 0.00085</w:t>
      </w:r>
      <w:r>
        <w:t xml:space="preserve">, </w:t>
      </w:r>
      <w:r>
        <w:rPr>
          <w:rFonts w:ascii="Courier New" w:hAnsi="Courier New"/>
          <w:sz w:val="19"/>
        </w:rPr>
        <w:t>Brier_Score = 0.000002</w:t>
      </w:r>
      <w:r>
        <w:t>) allowed TabPFN v2 to identify the four disputed 75 kPa} arrays (</w:t>
      </w:r>
      <w:r>
        <w:rPr>
          <w:rFonts w:ascii="Courier New" w:hAnsi="Courier New"/>
          <w:sz w:val="19"/>
        </w:rPr>
        <w:t>GSM2342806</w:t>
      </w:r>
      <w:r>
        <w:t>–</w:t>
      </w:r>
      <w:r>
        <w:rPr>
          <w:rFonts w:ascii="Courier New" w:hAnsi="Courier New"/>
          <w:sz w:val="19"/>
        </w:rPr>
        <w:t>GSM2342809</w:t>
      </w:r>
      <w:r>
        <w:t xml:space="preserve">) with P(Shoot}\mid\mathbf{x}) &gt; 0.990, which we corroborated using raw Affymetrix </w:t>
      </w:r>
      <w:r>
        <w:rPr>
          <w:rFonts w:ascii="Courier New" w:hAnsi="Courier New"/>
          <w:sz w:val="19"/>
        </w:rPr>
        <w:t>.CEL</w:t>
      </w:r>
      <w:r>
        <w:t xml:space="preserve"> scanner records.</w:t>
      </w:r>
    </w:p>
    <w:p>
      <w:pPr>
        <w:pStyle w:val="ListNumber"/>
      </w:pPr>
      <w:r>
        <w:rPr>
          <w:b/>
        </w:rPr>
        <w:t>Orthogonal Physical Decoupling (WP2):</w:t>
      </w:r>
      <w:r>
        <w:t xml:space="preserve"> TabPFN v2 reduced continuous prediction error (</w:t>
      </w:r>
      <w:r>
        <w:rPr>
          <w:rFonts w:ascii="Courier New" w:hAnsi="Courier New"/>
          <w:sz w:val="19"/>
        </w:rPr>
        <w:t>RMSE</w:t>
      </w:r>
      <w:r>
        <w:t xml:space="preserve">) by up to 54.7\% on pO}_2 and 34.3\% on P_{total}} relative to </w:t>
      </w:r>
      <w:r>
        <w:rPr>
          <w:rFonts w:ascii="Courier New" w:hAnsi="Courier New"/>
          <w:sz w:val="19"/>
        </w:rPr>
        <w:t>LightGBM</w:t>
      </w:r>
      <w:r>
        <w:t>, and effectively distinguished normoxic hypobaria (50 kPa} + O}_2, 25 kPa} + O}_2) from hypobaric hypoxia (</w:t>
      </w:r>
      <w:r>
        <w:rPr>
          <w:rFonts w:ascii="Courier New" w:hAnsi="Courier New"/>
          <w:sz w:val="19"/>
        </w:rPr>
        <w:t>ROC_AUC = 0.9623</w:t>
      </w:r>
      <w:r>
        <w:t>).</w:t>
      </w:r>
    </w:p>
    <w:p>
      <w:pPr>
        <w:pStyle w:val="ListNumber"/>
      </w:pPr>
      <w:r>
        <w:rPr>
          <w:b/>
        </w:rPr>
        <w:t>Out-of-Condition Generalization (WP5):</w:t>
      </w:r>
      <w:r>
        <w:t xml:space="preserve"> In Leave-One-Condition-Out validation (</w:t>
      </w:r>
      <w:r>
        <w:rPr>
          <w:rFonts w:ascii="Courier New" w:hAnsi="Courier New"/>
          <w:sz w:val="19"/>
        </w:rPr>
        <w:t>Table_S6B</w:t>
      </w:r>
      <w:r>
        <w:t>), TabPFN v2 reconstructed 12-pathway profiles for held-out pressure × oxygen regimes (</w:t>
      </w:r>
      <w:r>
        <w:rPr>
          <w:rFonts w:ascii="Courier New" w:hAnsi="Courier New"/>
          <w:sz w:val="19"/>
        </w:rPr>
        <w:t>mean r = 0.7387</w:t>
      </w:r>
      <w:r>
        <w:t xml:space="preserve">, </w:t>
      </w:r>
      <w:r>
        <w:rPr>
          <w:rFonts w:ascii="Courier New" w:hAnsi="Courier New"/>
          <w:sz w:val="19"/>
        </w:rPr>
        <w:t>RMSE = 0.1502</w:t>
      </w:r>
      <w:r>
        <w:t>), facilitating counterfactual predictions at NASA's Exploration Atmosphere setpoints (56.54 kPa} / 34\%\ O}_2 and 70.33 kPa} / 26.5\%\ O}_2).</w:t>
      </w:r>
    </w:p>
    <w:p>
      <w:pPr>
        <w:pStyle w:val="Heading2"/>
      </w:pPr>
      <w:r>
        <w:t>3.2 A Unified Spatial-Mechanistic Model of Plant Adaptation to Exploration Atmospheres</w:t>
      </w:r>
    </w:p>
    <w:p>
      <w:r>
        <w:t>Integrating our moderated orthogonal regression (</w:t>
      </w:r>
      <w:r>
        <w:rPr>
          <w:rFonts w:ascii="Courier New" w:hAnsi="Courier New"/>
          <w:sz w:val="19"/>
        </w:rPr>
        <w:t>Table_S3</w:t>
      </w:r>
      <w:r>
        <w:t>), cell-type TRAP-seq (</w:t>
      </w:r>
      <w:r>
        <w:rPr>
          <w:rFonts w:ascii="Courier New" w:hAnsi="Courier New"/>
          <w:sz w:val="19"/>
        </w:rPr>
        <w:t>GSE14502</w:t>
      </w:r>
      <w:r>
        <w:t>), 40,860-nucleus root-tip snRNA-seq (</w:t>
      </w:r>
      <w:r>
        <w:rPr>
          <w:rFonts w:ascii="Courier New" w:hAnsi="Courier New"/>
          <w:sz w:val="19"/>
        </w:rPr>
        <w:t>GSE308672</w:t>
      </w:r>
      <w:r>
        <w:t>), gas exchange/metabolomics (</w:t>
      </w:r>
      <w:r>
        <w:rPr>
          <w:rFonts w:ascii="Courier New" w:hAnsi="Courier New"/>
          <w:sz w:val="19"/>
        </w:rPr>
        <w:t>ZENODO16536514</w:t>
      </w:r>
      <w:r>
        <w:t xml:space="preserve">), and </w:t>
      </w:r>
      <w:r>
        <w:rPr>
          <w:rFonts w:ascii="Courier New" w:hAnsi="Courier New"/>
          <w:sz w:val="19"/>
        </w:rPr>
        <w:t>SnRK1.1K48M</w:t>
      </w:r>
      <w:r>
        <w:t xml:space="preserve"> proteomics (</w:t>
      </w:r>
      <w:r>
        <w:rPr>
          <w:rFonts w:ascii="Courier New" w:hAnsi="Courier New"/>
          <w:sz w:val="19"/>
        </w:rPr>
        <w:t>PXD002353</w:t>
      </w:r>
      <w:r>
        <w:t>) provides a two-axis spatial framework for plant responses to reduced-pressure atmospheres:</w:t>
      </w:r>
    </w:p>
    <w:p>
      <w:pPr>
        <w:pStyle w:val="ListNumber"/>
      </w:pPr>
      <w:r>
        <w:rPr>
          <w:b/>
        </w:rPr>
        <w:t>Axis 1 — The Internal Cellular Oxygen (pO}_2) Axis:</w:t>
      </w:r>
      <w:r>
        <w:t xml:space="preserve"> When ambient pO}_2 falls below \sim 12--}15 kPa} (as in uncompensated 50 kPa} or 25 kPa} air), radial oxygen diffusion into dense tissues is restricted, inhibiting PCO enzymes (</w:t>
      </w:r>
      <w:r>
        <w:rPr>
          <w:rFonts w:ascii="Courier New" w:hAnsi="Courier New"/>
          <w:sz w:val="19"/>
        </w:rPr>
        <w:t>PCO1</w:t>
      </w:r>
      <w:r>
        <w:t xml:space="preserve">), stabilizing ERF-VII transcription factors, and driving induction of </w:t>
      </w:r>
      <w:r>
        <w:rPr>
          <w:rFonts w:ascii="Courier New" w:hAnsi="Courier New"/>
          <w:sz w:val="19"/>
        </w:rPr>
        <w:t>HRU1</w:t>
      </w:r>
      <w:r>
        <w:t xml:space="preserve">, </w:t>
      </w:r>
      <w:r>
        <w:rPr>
          <w:rFonts w:ascii="Courier New" w:hAnsi="Courier New"/>
          <w:sz w:val="19"/>
        </w:rPr>
        <w:t>AtPDC1</w:t>
      </w:r>
      <w:r>
        <w:t xml:space="preserve">, </w:t>
      </w:r>
      <w:r>
        <w:rPr>
          <w:rFonts w:ascii="Courier New" w:hAnsi="Courier New"/>
          <w:sz w:val="19"/>
        </w:rPr>
        <w:t>ADH1</w:t>
      </w:r>
      <w:r>
        <w:t xml:space="preserve">, </w:t>
      </w:r>
      <w:r>
        <w:rPr>
          <w:rFonts w:ascii="Courier New" w:hAnsi="Courier New"/>
          <w:sz w:val="19"/>
        </w:rPr>
        <w:t>SUS1</w:t>
      </w:r>
      <w:r>
        <w:t xml:space="preserve">, </w:t>
      </w:r>
      <w:r>
        <w:rPr>
          <w:rFonts w:ascii="Courier New" w:hAnsi="Courier New"/>
          <w:sz w:val="19"/>
        </w:rPr>
        <w:t>AHB1</w:t>
      </w:r>
      <w:r>
        <w:t>/</w:t>
      </w:r>
      <w:r>
        <w:rPr>
          <w:rFonts w:ascii="Courier New" w:hAnsi="Courier New"/>
          <w:sz w:val="19"/>
        </w:rPr>
        <w:t>HB1</w:t>
      </w:r>
      <w:r>
        <w:t xml:space="preserve">, </w:t>
      </w:r>
      <w:r>
        <w:rPr>
          <w:rFonts w:ascii="Courier New" w:hAnsi="Courier New"/>
          <w:sz w:val="19"/>
        </w:rPr>
        <w:t>WIP5</w:t>
      </w:r>
      <w:r>
        <w:t xml:space="preserve">, </w:t>
      </w:r>
      <w:r>
        <w:rPr>
          <w:rFonts w:ascii="Courier New" w:hAnsi="Courier New"/>
          <w:sz w:val="19"/>
        </w:rPr>
        <w:t>AAD6</w:t>
      </w:r>
      <w:r>
        <w:t xml:space="preserve">, and </w:t>
      </w:r>
      <w:r>
        <w:rPr>
          <w:rFonts w:ascii="Courier New" w:hAnsi="Courier New"/>
          <w:sz w:val="19"/>
        </w:rPr>
        <w:t>FRK1</w:t>
      </w:r>
      <w:r>
        <w:t xml:space="preserve"> across root lineages (</w:t>
      </w:r>
      <w:r>
        <w:rPr>
          <w:rFonts w:ascii="Courier New" w:hAnsi="Courier New"/>
          <w:sz w:val="19"/>
        </w:rPr>
        <w:t>Meristem_QC</w:t>
      </w:r>
      <w:r>
        <w:t xml:space="preserve">, </w:t>
      </w:r>
      <w:r>
        <w:rPr>
          <w:rFonts w:ascii="Courier New" w:hAnsi="Courier New"/>
          <w:sz w:val="19"/>
        </w:rPr>
        <w:t>Xylem</w:t>
      </w:r>
      <w:r>
        <w:t xml:space="preserve">, </w:t>
      </w:r>
      <w:r>
        <w:rPr>
          <w:rFonts w:ascii="Courier New" w:hAnsi="Courier New"/>
          <w:sz w:val="19"/>
        </w:rPr>
        <w:t>Endodermis</w:t>
      </w:r>
      <w:r>
        <w:t xml:space="preserve">, </w:t>
      </w:r>
      <w:r>
        <w:rPr>
          <w:rFonts w:ascii="Courier New" w:hAnsi="Courier New"/>
          <w:sz w:val="19"/>
        </w:rPr>
        <w:t>Stele_Pericycle</w:t>
      </w:r>
      <w:r>
        <w:t xml:space="preserve">; </w:t>
      </w:r>
      <w:r>
        <w:rPr>
          <w:rFonts w:ascii="Courier New" w:hAnsi="Courier New"/>
          <w:sz w:val="19"/>
        </w:rPr>
        <w:t>+2.65 to +3.17 log2CPM</w:t>
      </w:r>
      <w:r>
        <w:t xml:space="preserve"> in </w:t>
      </w:r>
      <w:r>
        <w:rPr>
          <w:rFonts w:ascii="Courier New" w:hAnsi="Courier New"/>
          <w:sz w:val="19"/>
        </w:rPr>
        <w:t>GSE308672</w:t>
      </w:r>
      <w:r>
        <w:t>) and cortical/vascular translatomes (</w:t>
      </w:r>
      <w:r>
        <w:rPr>
          <w:rFonts w:ascii="Courier New" w:hAnsi="Courier New"/>
          <w:sz w:val="19"/>
        </w:rPr>
        <w:t>+4.60 to +5.22 log2</w:t>
      </w:r>
      <w:r>
        <w:t xml:space="preserve"> in </w:t>
      </w:r>
      <w:r>
        <w:rPr>
          <w:rFonts w:ascii="Courier New" w:hAnsi="Courier New"/>
          <w:sz w:val="19"/>
        </w:rPr>
        <w:t>GSE14502</w:t>
      </w:r>
      <w:r>
        <w:t>), with SnRK1.1 coordinating post-translational responses (</w:t>
      </w:r>
      <w:r>
        <w:rPr>
          <w:rFonts w:ascii="Courier New" w:hAnsi="Courier New"/>
          <w:sz w:val="19"/>
        </w:rPr>
        <w:t>PXD002353</w:t>
      </w:r>
      <w:r>
        <w:t xml:space="preserve">). </w:t>
      </w:r>
      <w:r>
        <w:rPr>
          <w:b/>
        </w:rPr>
        <w:t>NASA's 34\%\ O}_2 enrichment at 56.54 kPa} (pO}_2 = 19.22 kPa}) substantially relieves this hypoxia axis.</w:t>
      </w:r>
    </w:p>
    <w:p>
      <w:pPr>
        <w:pStyle w:val="ListNumber"/>
      </w:pPr>
      <w:r>
        <w:rPr>
          <w:b/>
        </w:rPr>
        <w:t>Axis 2 — The Epidermal/Mesophyll Boundary-Layer Diffusivity (P_{total}}) Axis:</w:t>
      </w:r>
      <w:r>
        <w:t xml:space="preserve"> Even when pO}_2 is maintained at 19.22--}21.0 kPa}, the 1.72× (at 56.54 kPa}) to 1.94× (at 50 kPa}) acceleration in binary water-vapor diffusivity (D ∝ P_{total}}^{-1}) reduces boundary-layer diffusive resistance, elevating effective evaporative demand (</w:t>
      </w:r>
      <w:r>
        <w:rPr>
          <w:rFonts w:ascii="Courier New" w:hAnsi="Courier New"/>
          <w:sz w:val="19"/>
        </w:rPr>
        <w:t>VPD</w:t>
      </w:r>
      <w:r>
        <w:t xml:space="preserve"> ratio +73.23\% at 62 kPa}). This boundary-layer vapor flux promotes:</w:t>
      </w:r>
    </w:p>
    <w:p>
      <w:pPr>
        <w:pStyle w:val="ListBullet"/>
      </w:pPr>
      <w:r>
        <w:rPr>
          <w:b/>
        </w:rPr>
        <w:t>Epidermal (`pCER5`) and cell-wall mechanosensory/hydrotropic responses:</w:t>
      </w:r>
      <w:r>
        <w:t xml:space="preserve"> </w:t>
      </w:r>
      <w:r>
        <w:rPr>
          <w:rFonts w:ascii="Courier New" w:hAnsi="Courier New"/>
          <w:sz w:val="19"/>
        </w:rPr>
        <w:t>TCH4</w:t>
      </w:r>
      <w:r>
        <w:t>/</w:t>
      </w:r>
      <w:r>
        <w:rPr>
          <w:rFonts w:ascii="Courier New" w:hAnsi="Courier New"/>
          <w:sz w:val="19"/>
        </w:rPr>
        <w:t>AtXTH22</w:t>
      </w:r>
      <w:r>
        <w:t xml:space="preserve">, </w:t>
      </w:r>
      <w:r>
        <w:rPr>
          <w:rFonts w:ascii="Courier New" w:hAnsi="Courier New"/>
          <w:sz w:val="19"/>
        </w:rPr>
        <w:t>CMI1</w:t>
      </w:r>
      <w:r>
        <w:t xml:space="preserve">, </w:t>
      </w:r>
      <w:r>
        <w:rPr>
          <w:rFonts w:ascii="Courier New" w:hAnsi="Courier New"/>
          <w:sz w:val="19"/>
        </w:rPr>
        <w:t>EXO</w:t>
      </w:r>
      <w:r>
        <w:t xml:space="preserve">, </w:t>
      </w:r>
      <w:r>
        <w:rPr>
          <w:rFonts w:ascii="Courier New" w:hAnsi="Courier New"/>
          <w:sz w:val="19"/>
        </w:rPr>
        <w:t>PBP1</w:t>
      </w:r>
      <w:r>
        <w:t xml:space="preserve">, </w:t>
      </w:r>
      <w:r>
        <w:rPr>
          <w:rFonts w:ascii="Courier New" w:hAnsi="Courier New"/>
          <w:sz w:val="19"/>
        </w:rPr>
        <w:t>ACS6</w:t>
      </w:r>
      <w:r>
        <w:t xml:space="preserve">, </w:t>
      </w:r>
      <w:r>
        <w:rPr>
          <w:rFonts w:ascii="Courier New" w:hAnsi="Courier New"/>
          <w:sz w:val="19"/>
        </w:rPr>
        <w:t>LTP3</w:t>
      </w:r>
      <w:r>
        <w:t xml:space="preserve">, and </w:t>
      </w:r>
      <w:r>
        <w:rPr>
          <w:rFonts w:ascii="Courier New" w:hAnsi="Courier New"/>
          <w:sz w:val="19"/>
        </w:rPr>
        <w:t>LTP4</w:t>
      </w:r>
      <w:r>
        <w:t xml:space="preserve"> participate in cell-wall xyloglucan remodeling and cuticular barrier maintenance.</w:t>
      </w:r>
    </w:p>
    <w:p>
      <w:pPr>
        <w:pStyle w:val="ListBullet"/>
      </w:pPr>
      <w:r>
        <w:rPr>
          <w:b/>
        </w:rPr>
        <w:t>Guard-cell and mesophyll (`pRBCS`) stomatal/oxylipin responses:</w:t>
      </w:r>
      <w:r>
        <w:t xml:space="preserve"> </w:t>
      </w:r>
      <w:r>
        <w:rPr>
          <w:rFonts w:ascii="Courier New" w:hAnsi="Courier New"/>
          <w:sz w:val="19"/>
        </w:rPr>
        <w:t>STZ</w:t>
      </w:r>
      <w:r>
        <w:t>/</w:t>
      </w:r>
      <w:r>
        <w:rPr>
          <w:rFonts w:ascii="Courier New" w:hAnsi="Courier New"/>
          <w:sz w:val="19"/>
        </w:rPr>
        <w:t>ZAT10</w:t>
      </w:r>
      <w:r>
        <w:t xml:space="preserve">, </w:t>
      </w:r>
      <w:r>
        <w:rPr>
          <w:rFonts w:ascii="Courier New" w:hAnsi="Courier New"/>
          <w:sz w:val="19"/>
        </w:rPr>
        <w:t>PYL1</w:t>
      </w:r>
      <w:r>
        <w:t xml:space="preserve">, </w:t>
      </w:r>
      <w:r>
        <w:rPr>
          <w:rFonts w:ascii="Courier New" w:hAnsi="Courier New"/>
          <w:sz w:val="19"/>
        </w:rPr>
        <w:t>ATHB7</w:t>
      </w:r>
      <w:r>
        <w:t xml:space="preserve">, </w:t>
      </w:r>
      <w:r>
        <w:rPr>
          <w:rFonts w:ascii="Courier New" w:hAnsi="Courier New"/>
          <w:sz w:val="19"/>
        </w:rPr>
        <w:t>LOX2</w:t>
      </w:r>
      <w:r>
        <w:t xml:space="preserve">, and </w:t>
      </w:r>
      <w:r>
        <w:rPr>
          <w:rFonts w:ascii="Courier New" w:hAnsi="Courier New"/>
          <w:sz w:val="19"/>
        </w:rPr>
        <w:t>AOS</w:t>
      </w:r>
      <w:r>
        <w:t xml:space="preserve"> mediate stomatal closure (g_{sw} -76.25\%) and chloroplast galactolipid (</w:t>
      </w:r>
      <w:r>
        <w:rPr>
          <w:rFonts w:ascii="Courier New" w:hAnsi="Courier New"/>
          <w:sz w:val="19"/>
        </w:rPr>
        <w:t>MGDG-OPDA</w:t>
      </w:r>
      <w:r>
        <w:t xml:space="preserve"> / </w:t>
      </w:r>
      <w:r>
        <w:rPr>
          <w:rFonts w:ascii="Courier New" w:hAnsi="Courier New"/>
          <w:sz w:val="19"/>
        </w:rPr>
        <w:t>DGDG-OPDA</w:t>
      </w:r>
      <w:r>
        <w:t>) remodeling. Because PSII photochemistry (</w:t>
      </w:r>
      <w:r>
        <w:rPr>
          <w:rFonts w:ascii="Courier New" w:hAnsi="Courier New"/>
          <w:sz w:val="19"/>
        </w:rPr>
        <w:t>ETR(II)</w:t>
      </w:r>
      <w:r>
        <w:t>) remains functional while intercellular CO}_2 (</w:t>
      </w:r>
      <w:r>
        <w:rPr>
          <w:rFonts w:ascii="Courier New" w:hAnsi="Courier New"/>
          <w:sz w:val="19"/>
        </w:rPr>
        <w:t>ci</w:t>
      </w:r>
      <w:r>
        <w:t>) is reduced by closed stomata, net carbon assimilation (</w:t>
      </w:r>
      <w:r>
        <w:rPr>
          <w:rFonts w:ascii="Courier New" w:hAnsi="Courier New"/>
          <w:sz w:val="19"/>
        </w:rPr>
        <w:t>A</w:t>
      </w:r>
      <w:r>
        <w:t xml:space="preserve">) decreases by </w:t>
      </w:r>
      <w:r>
        <w:rPr>
          <w:b/>
        </w:rPr>
        <w:t>-55.93\%</w:t>
      </w:r>
      <w:r>
        <w:t xml:space="preserve"> and foliar δ13C} is enriched by </w:t>
      </w:r>
      <w:r>
        <w:rPr>
          <w:b/>
        </w:rPr>
        <w:t>+1.02‰}</w:t>
      </w:r>
      <w:r>
        <w:t>.</w:t>
      </w:r>
    </w:p>
    <w:p>
      <w:pPr>
        <w:pStyle w:val="Heading2"/>
      </w:pPr>
      <w:r>
        <w:t>3.3 Habitat Engineering and Crop-Design Recommendations</w:t>
      </w:r>
    </w:p>
    <w:p>
      <w:r>
        <w:t>These findings inform environmental control and crop management strategies for bioregenerative life support systems operating under Exploration Atmosphere conditions (56.54 kPa} / 34\%\ O}_2):</w:t>
      </w:r>
    </w:p>
    <w:p>
      <w:pPr>
        <w:pStyle w:val="ListNumber"/>
      </w:pPr>
      <w:r>
        <w:rPr>
          <w:b/>
        </w:rPr>
        <w:t>Environmental Control &amp; Life Support System (ECLSS) Parameter — Isodiffusive Humidity Compensation (70--}75\%\ RH}):</w:t>
      </w:r>
      <w:r>
        <w:t xml:space="preserve"> Standard terrestrial growth chambers typically operate at 50\%\ RH}. At 56.54 kPa} (D/D_0 = 1.72×) or 62 kPa} (D/D_0 = 1.63×), 50\%\ RH} generates boundary-layer evaporative flux comparable to atmospheric drought, inducing stomatal closure (g_{sw} = 8.70\ mmol m}^{-2} s}^{-1}) and reducing photosynthetic carbon assimilation. To offset the accelerated evaporation rate E ∝ D(P_{total}}) \cdot (1 - RH}), plant growth chambers operating at 56.54--}62 kPa} should consider maintaining </w:t>
      </w:r>
      <w:r>
        <w:rPr>
          <w:b/>
        </w:rPr>
        <w:t>relative humidity at 70--}75\%\ RH}</w:t>
      </w:r>
      <w:r>
        <w:t xml:space="preserve"> (reducing vapor pressure deficit by \sim 40--}50\%). As shown in </w:t>
      </w:r>
      <w:r>
        <w:rPr>
          <w:rFonts w:ascii="Courier New" w:hAnsi="Courier New"/>
          <w:sz w:val="19"/>
        </w:rPr>
        <w:t>ZENODO16536514</w:t>
      </w:r>
      <w:r>
        <w:t xml:space="preserve"> (</w:t>
      </w:r>
      <w:r>
        <w:rPr>
          <w:rFonts w:ascii="Courier New" w:hAnsi="Courier New"/>
          <w:sz w:val="19"/>
        </w:rPr>
        <w:t>Table_S5B</w:t>
      </w:r>
      <w:r>
        <w:t xml:space="preserve">, Figure 5C), raising humidity to 70\%\ RH} at 62 kPa} restores chloroplast </w:t>
      </w:r>
      <w:r>
        <w:rPr>
          <w:rFonts w:ascii="Courier New" w:hAnsi="Courier New"/>
          <w:sz w:val="19"/>
        </w:rPr>
        <w:t>MGDG-OPDA</w:t>
      </w:r>
      <w:r>
        <w:t>/</w:t>
      </w:r>
      <w:r>
        <w:rPr>
          <w:rFonts w:ascii="Courier New" w:hAnsi="Courier New"/>
          <w:sz w:val="19"/>
        </w:rPr>
        <w:t>DGDG-OPDA</w:t>
      </w:r>
      <w:r>
        <w:t xml:space="preserve"> galactolipids (+1.26 to }+2.89\ log2FC}) and thioalkyl glucosinolates (+0.68\ log2FC}) while moderating stress flavonols toward baseline.</w:t>
      </w:r>
    </w:p>
    <w:p>
      <w:pPr>
        <w:pStyle w:val="ListNumber"/>
      </w:pPr>
      <w:r>
        <w:rPr>
          <w:b/>
        </w:rPr>
        <w:t>Diagnostic Panel &amp; Genetic Targets:</w:t>
      </w:r>
      <w:r>
        <w:t xml:space="preserve"> For real-time monitoring of crop status in lunar/Martian habitats, our orthogonal hub decomposition (</w:t>
      </w:r>
      <w:r>
        <w:rPr>
          <w:rFonts w:ascii="Courier New" w:hAnsi="Courier New"/>
          <w:sz w:val="19"/>
        </w:rPr>
        <w:t>Table_S3</w:t>
      </w:r>
      <w:r>
        <w:t xml:space="preserve">, </w:t>
      </w:r>
      <w:r>
        <w:rPr>
          <w:rFonts w:ascii="Courier New" w:hAnsi="Courier New"/>
          <w:sz w:val="19"/>
        </w:rPr>
        <w:t>Table_S6A</w:t>
      </w:r>
      <w:r>
        <w:t xml:space="preserve">) outlines a </w:t>
      </w:r>
      <w:r>
        <w:rPr>
          <w:b/>
        </w:rPr>
        <w:t>10-gene diagnostic reporter panel</w:t>
      </w:r>
      <w:r>
        <w:t xml:space="preserve"> distinguishing </w:t>
      </w:r>
      <w:r>
        <w:rPr>
          <w:b/>
        </w:rPr>
        <w:t>Chamber O}_2 / Root Aeration Status</w:t>
      </w:r>
      <w:r>
        <w:t xml:space="preserve"> (</w:t>
      </w:r>
      <w:r>
        <w:rPr>
          <w:rFonts w:ascii="Courier New" w:hAnsi="Courier New"/>
          <w:sz w:val="19"/>
        </w:rPr>
        <w:t>HRU1</w:t>
      </w:r>
      <w:r>
        <w:t xml:space="preserve">, </w:t>
      </w:r>
      <w:r>
        <w:rPr>
          <w:rFonts w:ascii="Courier New" w:hAnsi="Courier New"/>
          <w:sz w:val="19"/>
        </w:rPr>
        <w:t>AtPDC1</w:t>
      </w:r>
      <w:r>
        <w:t xml:space="preserve">, </w:t>
      </w:r>
      <w:r>
        <w:rPr>
          <w:rFonts w:ascii="Courier New" w:hAnsi="Courier New"/>
          <w:sz w:val="19"/>
        </w:rPr>
        <w:t>AHB1</w:t>
      </w:r>
      <w:r>
        <w:t>/</w:t>
      </w:r>
      <w:r>
        <w:rPr>
          <w:rFonts w:ascii="Courier New" w:hAnsi="Courier New"/>
          <w:sz w:val="19"/>
        </w:rPr>
        <w:t>HB1</w:t>
      </w:r>
      <w:r>
        <w:t xml:space="preserve">, </w:t>
      </w:r>
      <w:r>
        <w:rPr>
          <w:rFonts w:ascii="Courier New" w:hAnsi="Courier New"/>
          <w:sz w:val="19"/>
        </w:rPr>
        <w:t>PCO1</w:t>
      </w:r>
      <w:r>
        <w:t xml:space="preserve">, </w:t>
      </w:r>
      <w:r>
        <w:rPr>
          <w:rFonts w:ascii="Courier New" w:hAnsi="Courier New"/>
          <w:sz w:val="19"/>
        </w:rPr>
        <w:t>WIP5</w:t>
      </w:r>
      <w:r>
        <w:t xml:space="preserve">) from </w:t>
      </w:r>
      <w:r>
        <w:rPr>
          <w:b/>
        </w:rPr>
        <w:t>Boundary-Layer Diffusive / Barosensory Stress</w:t>
      </w:r>
      <w:r>
        <w:t xml:space="preserve"> (</w:t>
      </w:r>
      <w:r>
        <w:rPr>
          <w:rFonts w:ascii="Courier New" w:hAnsi="Courier New"/>
          <w:sz w:val="19"/>
        </w:rPr>
        <w:t>TCH4</w:t>
      </w:r>
      <w:r>
        <w:t>/</w:t>
      </w:r>
      <w:r>
        <w:rPr>
          <w:rFonts w:ascii="Courier New" w:hAnsi="Courier New"/>
          <w:sz w:val="19"/>
        </w:rPr>
        <w:t>AtXTH22</w:t>
      </w:r>
      <w:r>
        <w:t xml:space="preserve">, </w:t>
      </w:r>
      <w:r>
        <w:rPr>
          <w:rFonts w:ascii="Courier New" w:hAnsi="Courier New"/>
          <w:sz w:val="19"/>
        </w:rPr>
        <w:t>CMI1</w:t>
      </w:r>
      <w:r>
        <w:t xml:space="preserve">, </w:t>
      </w:r>
      <w:r>
        <w:rPr>
          <w:rFonts w:ascii="Courier New" w:hAnsi="Courier New"/>
          <w:sz w:val="19"/>
        </w:rPr>
        <w:t>STZ</w:t>
      </w:r>
      <w:r>
        <w:t>/</w:t>
      </w:r>
      <w:r>
        <w:rPr>
          <w:rFonts w:ascii="Courier New" w:hAnsi="Courier New"/>
          <w:sz w:val="19"/>
        </w:rPr>
        <w:t>ZAT10</w:t>
      </w:r>
      <w:r>
        <w:t xml:space="preserve">, </w:t>
      </w:r>
      <w:r>
        <w:rPr>
          <w:rFonts w:ascii="Courier New" w:hAnsi="Courier New"/>
          <w:sz w:val="19"/>
        </w:rPr>
        <w:t>ACS6</w:t>
      </w:r>
      <w:r>
        <w:t xml:space="preserve">, </w:t>
      </w:r>
      <w:r>
        <w:rPr>
          <w:rFonts w:ascii="Courier New" w:hAnsi="Courier New"/>
          <w:sz w:val="19"/>
        </w:rPr>
        <w:t>LOX2</w:t>
      </w:r>
      <w:r>
        <w:t>). In addition, modulating guard-cell ABA sensitivity (</w:t>
      </w:r>
      <w:r>
        <w:rPr>
          <w:rFonts w:ascii="Courier New" w:hAnsi="Courier New"/>
          <w:sz w:val="19"/>
        </w:rPr>
        <w:t>STZ</w:t>
      </w:r>
      <w:r>
        <w:t>/</w:t>
      </w:r>
      <w:r>
        <w:rPr>
          <w:rFonts w:ascii="Courier New" w:hAnsi="Courier New"/>
          <w:sz w:val="19"/>
        </w:rPr>
        <w:t>ZAT10</w:t>
      </w:r>
      <w:r>
        <w:t xml:space="preserve">, </w:t>
      </w:r>
      <w:r>
        <w:rPr>
          <w:rFonts w:ascii="Courier New" w:hAnsi="Courier New"/>
          <w:sz w:val="19"/>
        </w:rPr>
        <w:t>HAI1</w:t>
      </w:r>
      <w:r>
        <w:t>) while maintaining epidermal cuticular barrier reinforcement (</w:t>
      </w:r>
      <w:r>
        <w:rPr>
          <w:rFonts w:ascii="Courier New" w:hAnsi="Courier New"/>
          <w:sz w:val="19"/>
        </w:rPr>
        <w:t>pCER5:LTP3/CER1</w:t>
      </w:r>
      <w:r>
        <w:t>) and cell-wall resilience (</w:t>
      </w:r>
      <w:r>
        <w:rPr>
          <w:rFonts w:ascii="Courier New" w:hAnsi="Courier New"/>
          <w:sz w:val="19"/>
        </w:rPr>
        <w:t>TCH4</w:t>
      </w:r>
      <w:r>
        <w:t>) represents a potential target for preserving stomatal conductance and growth under reduced pressure.</w:t>
      </w:r>
    </w:p>
    <w:p>
      <w:pPr>
        <w:pStyle w:val="Heading2"/>
      </w:pPr>
      <w:r>
        <w:t>3.4 Contextualizing Spaceflight Stress: From Hypoxia to Boundary-Layer Dynamics</w:t>
      </w:r>
    </w:p>
    <w:p>
      <w:r>
        <w:t>Historical spaceflight and chamber experiments frequently evaluated hypobaria without supplemental oxygen, observing pronounced inductions of anaerobic markers (</w:t>
      </w:r>
      <w:r>
        <w:rPr>
          <w:rFonts w:ascii="Courier New" w:hAnsi="Courier New"/>
          <w:sz w:val="19"/>
        </w:rPr>
        <w:t>ADH1</w:t>
      </w:r>
      <w:r>
        <w:t xml:space="preserve">, </w:t>
      </w:r>
      <w:r>
        <w:rPr>
          <w:rFonts w:ascii="Courier New" w:hAnsi="Courier New"/>
          <w:sz w:val="19"/>
        </w:rPr>
        <w:t>PDC1</w:t>
      </w:r>
      <w:r>
        <w:t xml:space="preserve">, </w:t>
      </w:r>
      <w:r>
        <w:rPr>
          <w:rFonts w:ascii="Courier New" w:hAnsi="Courier New"/>
          <w:sz w:val="19"/>
        </w:rPr>
        <w:t>GLB1</w:t>
      </w:r>
      <w:r>
        <w:t>/</w:t>
      </w:r>
      <w:r>
        <w:rPr>
          <w:rFonts w:ascii="Courier New" w:hAnsi="Courier New"/>
          <w:sz w:val="19"/>
        </w:rPr>
        <w:t>AHB1</w:t>
      </w:r>
      <w:r>
        <w:t>) and establishing a common perception of hypobaria as primarily hypoxic.</w:t>
      </w:r>
    </w:p>
    <w:p>
      <w:r>
        <w:t xml:space="preserve">Our results with TabPFN v2 orthogonal decomposition and the Plant PhysioSpace Stress Autodecoder indicate that under NASA's Exploration Atmosphere (56.54 kPa} / 34\%\ O}_2), where oxygen partial pressure (19.22 kPa}) approximates sea-level air (21.27 kPa}), hypoxia markers remain largely at baseline levels (z = -0.16 in shoots; Figure 7A). Instead, plants encounter </w:t>
      </w:r>
      <w:r>
        <w:rPr>
          <w:b/>
        </w:rPr>
        <w:t>boundary-layer vapor-loss stress</w:t>
      </w:r>
      <w:r>
        <w:t xml:space="preserve"> resulting from accelerated binary gas diffusion (D ∝ P_{total}}^{-1}). The primary physiological responses involve cuticular hydration maintenance, cell-wall mechanoremodeling (</w:t>
      </w:r>
      <w:r>
        <w:rPr>
          <w:rFonts w:ascii="Courier New" w:hAnsi="Courier New"/>
          <w:sz w:val="19"/>
        </w:rPr>
        <w:t>TCH4</w:t>
      </w:r>
      <w:r>
        <w:t xml:space="preserve">, </w:t>
      </w:r>
      <w:r>
        <w:rPr>
          <w:rFonts w:ascii="Courier New" w:hAnsi="Courier New"/>
          <w:sz w:val="19"/>
        </w:rPr>
        <w:t>XTH15</w:t>
      </w:r>
      <w:r>
        <w:t>), and stomatal regulation, which decreases internal CO}_2 availability.</w:t>
      </w:r>
    </w:p>
    <w:p>
      <w:r>
        <w:t xml:space="preserve">Importantly, this perspective points toward environmental management in Bioregenerative Life Support Systems (BLiSS): maintaining chamber relative humidity at </w:t>
      </w:r>
      <w:r>
        <w:rPr>
          <w:b/>
        </w:rPr>
        <w:t>75--}80\%\ RH}</w:t>
      </w:r>
      <w:r>
        <w:t xml:space="preserve"> (Figure 7C–D) attenuates the elevated boundary-layer VPD, mitigating stomatal restriction and supporting stable carbon assimilation in reduced-pressure exploration habitats.</w:t>
      </w:r>
    </w:p>
    <w:p>
      <w:pPr>
        <w:pStyle w:val="Heading1"/>
      </w:pPr>
      <w:r>
        <w:t>4. Materials and Methods</w:t>
      </w:r>
    </w:p>
    <w:p>
      <w:pPr>
        <w:pStyle w:val="Heading2"/>
      </w:pPr>
      <w:r>
        <w:t>4.1 Compendium Ingestion, Probe-to-Gene Mapping, and Forensic Metadata Audit (WP1)</w:t>
      </w:r>
    </w:p>
    <w:p>
      <w:r>
        <w:t>All raw and processed transcriptomic, single-nucleus, physiological, metabolomic, and proteomic files were ingested directly from the local repository (</w:t>
      </w:r>
      <w:r>
        <w:rPr>
          <w:rFonts w:ascii="Courier New" w:hAnsi="Courier New"/>
          <w:sz w:val="19"/>
        </w:rPr>
        <w:t>/Users/drb_laptop/Documents/Exploration_atmosphere_Biomni_lab_downloads_20261016_234156/data_20261016_234156/</w:t>
      </w:r>
      <w:r>
        <w:t xml:space="preserve">) and verified against </w:t>
      </w:r>
      <w:r>
        <w:rPr>
          <w:rFonts w:ascii="Courier New" w:hAnsi="Courier New"/>
          <w:sz w:val="19"/>
        </w:rPr>
        <w:t>GPL198-17390.txt</w:t>
      </w:r>
      <w:r>
        <w:t xml:space="preserve"> (Affymetrix </w:t>
      </w:r>
      <w:r>
        <w:rPr>
          <w:i/>
        </w:rPr>
        <w:t>Arabidopsis</w:t>
      </w:r>
      <w:r>
        <w:t xml:space="preserve"> ATH1-121501 annotation; 22,810 total probesets, filtered to *</w:t>
      </w:r>
      <w:r>
        <w:rPr>
          <w:i/>
        </w:rPr>
        <w:t xml:space="preserve">22,746 biological </w:t>
      </w:r>
      <w:r>
        <w:t>Arabidopsis</w:t>
      </w:r>
      <w:r>
        <w:rPr>
          <w:i/>
        </w:rPr>
        <w:t xml:space="preserve"> probesets</w:t>
      </w:r>
      <w:r>
        <w:rPr>
          <w:i/>
        </w:rPr>
        <w:t xml:space="preserve"> by excluding 64 `AFFX-</w:t>
      </w:r>
      <w:r>
        <w:rPr>
          <w:rFonts w:ascii="Courier New" w:hAnsi="Courier New"/>
          <w:sz w:val="19"/>
        </w:rPr>
        <w:t xml:space="preserve"> spike-in/housekeeping control probesets; </w:t>
      </w:r>
      <w:r>
        <w:t>src/atmos_ml/ingest.py`).</w:t>
      </w:r>
    </w:p>
    <w:p>
      <w:r>
        <w:t xml:space="preserve">Across </w:t>
      </w:r>
      <w:r>
        <w:rPr>
          <w:rFonts w:ascii="Courier New" w:hAnsi="Courier New"/>
          <w:sz w:val="19"/>
        </w:rPr>
        <w:t>GSE87867</w:t>
      </w:r>
      <w:r>
        <w:t xml:space="preserve"> (n=20), </w:t>
      </w:r>
      <w:r>
        <w:rPr>
          <w:rFonts w:ascii="Courier New" w:hAnsi="Courier New"/>
          <w:sz w:val="19"/>
        </w:rPr>
        <w:t>GSE87868</w:t>
      </w:r>
      <w:r>
        <w:t>/</w:t>
      </w:r>
      <w:r>
        <w:rPr>
          <w:rFonts w:ascii="Courier New" w:hAnsi="Courier New"/>
          <w:sz w:val="19"/>
        </w:rPr>
        <w:t>OSD-136</w:t>
      </w:r>
      <w:r>
        <w:t xml:space="preserve"> (n=9), </w:t>
      </w:r>
      <w:r>
        <w:rPr>
          <w:rFonts w:ascii="Courier New" w:hAnsi="Courier New"/>
          <w:sz w:val="19"/>
        </w:rPr>
        <w:t>GSE87903</w:t>
      </w:r>
      <w:r>
        <w:t xml:space="preserve"> (n=47), and </w:t>
      </w:r>
      <w:r>
        <w:rPr>
          <w:rFonts w:ascii="Courier New" w:hAnsi="Courier New"/>
          <w:sz w:val="19"/>
        </w:rPr>
        <w:t>GSE87904</w:t>
      </w:r>
      <w:r>
        <w:t xml:space="preserve"> (n=72), we computed all 148 × 148 pairwise Pearson correlations and maximum absolute expression differences. This confirmed that </w:t>
      </w:r>
      <w:r>
        <w:rPr>
          <w:rFonts w:ascii="Courier New" w:hAnsi="Courier New"/>
          <w:sz w:val="19"/>
        </w:rPr>
        <w:t>GSM2342073</w:t>
      </w:r>
      <w:r>
        <w:t>–</w:t>
      </w:r>
      <w:r>
        <w:rPr>
          <w:rFonts w:ascii="Courier New" w:hAnsi="Courier New"/>
          <w:sz w:val="19"/>
        </w:rPr>
        <w:t>GSM2342090</w:t>
      </w:r>
      <w:r>
        <w:t xml:space="preserve"> are exact duplicates (r = 1.000000, \max|Δ| = 0.0) shared between </w:t>
      </w:r>
      <w:r>
        <w:rPr>
          <w:rFonts w:ascii="Courier New" w:hAnsi="Courier New"/>
          <w:sz w:val="19"/>
        </w:rPr>
        <w:t>GSE87867</w:t>
      </w:r>
      <w:r>
        <w:t xml:space="preserve"> and </w:t>
      </w:r>
      <w:r>
        <w:rPr>
          <w:rFonts w:ascii="Courier New" w:hAnsi="Courier New"/>
          <w:sz w:val="19"/>
        </w:rPr>
        <w:t>GSE87903</w:t>
      </w:r>
      <w:r>
        <w:t xml:space="preserve">, which were deduplicated to establish </w:t>
      </w:r>
      <w:r>
        <w:rPr>
          <w:b/>
        </w:rPr>
        <w:t>130 unique hypobaric arrays</w:t>
      </w:r>
      <w:r>
        <w:t xml:space="preserve"> (</w:t>
      </w:r>
      <w:r>
        <w:rPr>
          <w:rFonts w:ascii="Courier New" w:hAnsi="Courier New"/>
          <w:sz w:val="19"/>
        </w:rPr>
        <w:t>Table_S1_Full_148_GSM_Audit_Ledger.csv</w:t>
      </w:r>
      <w:r>
        <w:t xml:space="preserve">, </w:t>
      </w:r>
      <w:r>
        <w:rPr>
          <w:rFonts w:ascii="Courier New" w:hAnsi="Courier New"/>
          <w:sz w:val="19"/>
        </w:rPr>
        <w:t>Table_S1_Harmonized_130_Hypobaric_Arrays_Forensic_Audit.csv</w:t>
      </w:r>
      <w:r>
        <w:t xml:space="preserve">). Standard Affymetrix quality control metrics (NUSE medians, RLE IQRs, scale factors, percent present calls) were computed across all 130 arrays. To audit disputed sample annotations in </w:t>
      </w:r>
      <w:r>
        <w:rPr>
          <w:rFonts w:ascii="Courier New" w:hAnsi="Courier New"/>
          <w:sz w:val="19"/>
        </w:rPr>
        <w:t>GSE87903</w:t>
      </w:r>
      <w:r>
        <w:t xml:space="preserve">, we extracted original </w:t>
      </w:r>
      <w:r>
        <w:rPr>
          <w:rFonts w:ascii="Courier New" w:hAnsi="Courier New"/>
          <w:sz w:val="19"/>
        </w:rPr>
        <w:t>.CEL.gz</w:t>
      </w:r>
      <w:r>
        <w:t xml:space="preserve"> headers and filenames from </w:t>
      </w:r>
      <w:r>
        <w:rPr>
          <w:rFonts w:ascii="Courier New" w:hAnsi="Courier New"/>
          <w:sz w:val="19"/>
        </w:rPr>
        <w:t>GSE87903_RAW.tar</w:t>
      </w:r>
      <w:r>
        <w:t>, parsing embedded hybridization batch numbers (</w:t>
      </w:r>
      <w:r>
        <w:rPr>
          <w:rFonts w:ascii="Courier New" w:hAnsi="Courier New"/>
          <w:sz w:val="19"/>
        </w:rPr>
        <w:t>54xx</w:t>
      </w:r>
      <w:r>
        <w:t xml:space="preserve"> vs. </w:t>
      </w:r>
      <w:r>
        <w:rPr>
          <w:rFonts w:ascii="Courier New" w:hAnsi="Courier New"/>
          <w:sz w:val="19"/>
        </w:rPr>
        <w:t>68xx</w:t>
      </w:r>
      <w:r>
        <w:t>), pressure values (</w:t>
      </w:r>
      <w:r>
        <w:rPr>
          <w:rFonts w:ascii="Courier New" w:hAnsi="Courier New"/>
          <w:sz w:val="19"/>
        </w:rPr>
        <w:t>75</w:t>
      </w:r>
      <w:r>
        <w:t xml:space="preserve">, </w:t>
      </w:r>
      <w:r>
        <w:rPr>
          <w:rFonts w:ascii="Courier New" w:hAnsi="Courier New"/>
          <w:sz w:val="19"/>
        </w:rPr>
        <w:t>50</w:t>
      </w:r>
      <w:r>
        <w:t xml:space="preserve">, </w:t>
      </w:r>
      <w:r>
        <w:rPr>
          <w:rFonts w:ascii="Courier New" w:hAnsi="Courier New"/>
          <w:sz w:val="19"/>
        </w:rPr>
        <w:t>25</w:t>
      </w:r>
      <w:r>
        <w:t xml:space="preserve">, </w:t>
      </w:r>
      <w:r>
        <w:rPr>
          <w:rFonts w:ascii="Courier New" w:hAnsi="Courier New"/>
          <w:sz w:val="19"/>
        </w:rPr>
        <w:t>10</w:t>
      </w:r>
      <w:r>
        <w:t xml:space="preserve">, </w:t>
      </w:r>
      <w:r>
        <w:rPr>
          <w:rFonts w:ascii="Courier New" w:hAnsi="Courier New"/>
          <w:sz w:val="19"/>
        </w:rPr>
        <w:t>5</w:t>
      </w:r>
      <w:r>
        <w:t>), organ strings (</w:t>
      </w:r>
      <w:r>
        <w:rPr>
          <w:rFonts w:ascii="Courier New" w:hAnsi="Courier New"/>
          <w:sz w:val="19"/>
        </w:rPr>
        <w:t>shoot</w:t>
      </w:r>
      <w:r>
        <w:t xml:space="preserve">, </w:t>
      </w:r>
      <w:r>
        <w:rPr>
          <w:rFonts w:ascii="Courier New" w:hAnsi="Courier New"/>
          <w:sz w:val="19"/>
        </w:rPr>
        <w:t>root</w:t>
      </w:r>
      <w:r>
        <w:t xml:space="preserve">, </w:t>
      </w:r>
      <w:r>
        <w:rPr>
          <w:rFonts w:ascii="Courier New" w:hAnsi="Courier New"/>
          <w:sz w:val="19"/>
        </w:rPr>
        <w:t>RT</w:t>
      </w:r>
      <w:r>
        <w:t>), and replicate letters (</w:t>
      </w:r>
      <w:r>
        <w:rPr>
          <w:rFonts w:ascii="Courier New" w:hAnsi="Courier New"/>
          <w:sz w:val="19"/>
        </w:rPr>
        <w:t>A</w:t>
      </w:r>
      <w:r>
        <w:t xml:space="preserve">, </w:t>
      </w:r>
      <w:r>
        <w:rPr>
          <w:rFonts w:ascii="Courier New" w:hAnsi="Courier New"/>
          <w:sz w:val="19"/>
        </w:rPr>
        <w:t>B</w:t>
      </w:r>
      <w:r>
        <w:t xml:space="preserve">, </w:t>
      </w:r>
      <w:r>
        <w:rPr>
          <w:rFonts w:ascii="Courier New" w:hAnsi="Courier New"/>
          <w:sz w:val="19"/>
        </w:rPr>
        <w:t>C</w:t>
      </w:r>
      <w:r>
        <w:t>).</w:t>
      </w:r>
    </w:p>
    <w:p>
      <w:pPr>
        <w:pStyle w:val="Heading2"/>
      </w:pPr>
      <w:r>
        <w:t>4.2 Leak-Free Biological Feature Compression and TabPFN v2 Modeling Pipeline (WP1 &amp; WP2)</w:t>
      </w:r>
    </w:p>
    <w:p>
      <w:r>
        <w:t xml:space="preserve">Because high-dimensional microarray matrices (p = 22,746 \gg n = 58--}130) exceed the optimal feature capacity of tabular transformers (p ≤ 500) and risk data leakage if feature selection is performed globally, we implemented </w:t>
      </w:r>
      <w:r>
        <w:rPr>
          <w:rFonts w:ascii="Courier New" w:hAnsi="Courier New"/>
          <w:sz w:val="19"/>
        </w:rPr>
        <w:t>TabPFNOmicsFeatureBuilder</w:t>
      </w:r>
      <w:r>
        <w:t xml:space="preserve"> (</w:t>
      </w:r>
      <w:r>
        <w:rPr>
          <w:rFonts w:ascii="Courier New" w:hAnsi="Courier New"/>
          <w:sz w:val="19"/>
        </w:rPr>
        <w:t>src/atmos_ml/features.py</w:t>
      </w:r>
      <w:r>
        <w:t xml:space="preserve">), a scikit-learn transformer fit </w:t>
      </w:r>
      <w:r>
        <w:rPr>
          <w:b/>
        </w:rPr>
        <w:t>strictly inside each cross-validation training fold</w:t>
      </w:r>
      <w:r>
        <w:t xml:space="preserve">. Inside </w:t>
      </w:r>
      <w:r>
        <w:rPr>
          <w:rFonts w:ascii="Courier New" w:hAnsi="Courier New"/>
          <w:sz w:val="19"/>
        </w:rPr>
        <w:t>fit(X_train, y_train)</w:t>
      </w:r>
      <w:r>
        <w:t xml:space="preserve">, </w:t>
      </w:r>
      <w:r>
        <w:rPr>
          <w:rFonts w:ascii="Courier New" w:hAnsi="Courier New"/>
          <w:sz w:val="19"/>
        </w:rPr>
        <w:t>TabPFNOmicsFeatureBuilder</w:t>
      </w:r>
      <w:r>
        <w:t xml:space="preserve"> constructs a compact feature representation comprising:</w:t>
      </w:r>
    </w:p>
    <w:p>
      <w:pPr>
        <w:pStyle w:val="ListNumber"/>
      </w:pPr>
      <w:r>
        <w:rPr>
          <w:b/>
        </w:rPr>
        <w:t>12 Curated Mechanistic Pathway Eigengenes:</w:t>
      </w:r>
      <w:r>
        <w:t xml:space="preserve"> Mean z-scored expression (fit using training-fold mean and SD only) across 12 biological modules (</w:t>
      </w:r>
      <w:r>
        <w:rPr>
          <w:rFonts w:ascii="Courier New" w:hAnsi="Courier New"/>
          <w:sz w:val="19"/>
        </w:rPr>
        <w:t>ERF_VII_Core_Hypoxia_Anaerobic</w:t>
      </w:r>
      <w:r>
        <w:t xml:space="preserve">, </w:t>
      </w:r>
      <w:r>
        <w:rPr>
          <w:rFonts w:ascii="Courier New" w:hAnsi="Courier New"/>
          <w:sz w:val="19"/>
        </w:rPr>
        <w:t>ABA_Desiccation_Stomatal_Closure</w:t>
      </w:r>
      <w:r>
        <w:t xml:space="preserve">, </w:t>
      </w:r>
      <w:r>
        <w:rPr>
          <w:rFonts w:ascii="Courier New" w:hAnsi="Courier New"/>
          <w:sz w:val="19"/>
        </w:rPr>
        <w:t>Cuticle_Epicuticular_Wax_Lipid_Transport</w:t>
      </w:r>
      <w:r>
        <w:t xml:space="preserve">, </w:t>
      </w:r>
      <w:r>
        <w:rPr>
          <w:rFonts w:ascii="Courier New" w:hAnsi="Courier New"/>
          <w:sz w:val="19"/>
        </w:rPr>
        <w:t>Cell_Wall_Mechanosensing_Expansion</w:t>
      </w:r>
      <w:r>
        <w:t xml:space="preserve">, </w:t>
      </w:r>
      <w:r>
        <w:rPr>
          <w:rFonts w:ascii="Courier New" w:hAnsi="Courier New"/>
          <w:sz w:val="19"/>
        </w:rPr>
        <w:t>Oxylipin_JA_Chloroplast_Galactolipid</w:t>
      </w:r>
      <w:r>
        <w:t xml:space="preserve">, </w:t>
      </w:r>
      <w:r>
        <w:rPr>
          <w:rFonts w:ascii="Courier New" w:hAnsi="Courier New"/>
          <w:sz w:val="19"/>
        </w:rPr>
        <w:t>Indole_Glucosinolate_Defense</w:t>
      </w:r>
      <w:r>
        <w:t xml:space="preserve">, </w:t>
      </w:r>
      <w:r>
        <w:rPr>
          <w:rFonts w:ascii="Courier New" w:hAnsi="Courier New"/>
          <w:sz w:val="19"/>
        </w:rPr>
        <w:t>Aliphatic_Glucosinolate_Biosynthesis</w:t>
      </w:r>
      <w:r>
        <w:t xml:space="preserve">, </w:t>
      </w:r>
      <w:r>
        <w:rPr>
          <w:rFonts w:ascii="Courier New" w:hAnsi="Courier New"/>
          <w:sz w:val="19"/>
        </w:rPr>
        <w:t>Phenylpropanoid_Sinapate_Flavonol</w:t>
      </w:r>
      <w:r>
        <w:t xml:space="preserve">, </w:t>
      </w:r>
      <w:r>
        <w:rPr>
          <w:rFonts w:ascii="Courier New" w:hAnsi="Courier New"/>
          <w:sz w:val="19"/>
        </w:rPr>
        <w:t>SnRK1_Starvation_Sugar_Autophagy</w:t>
      </w:r>
      <w:r>
        <w:t xml:space="preserve">, </w:t>
      </w:r>
      <w:r>
        <w:rPr>
          <w:rFonts w:ascii="Courier New" w:hAnsi="Courier New"/>
          <w:sz w:val="19"/>
        </w:rPr>
        <w:t>Photosynthesis_Carbon_Fixation_LHC</w:t>
      </w:r>
      <w:r>
        <w:t xml:space="preserve">, </w:t>
      </w:r>
      <w:r>
        <w:rPr>
          <w:rFonts w:ascii="Courier New" w:hAnsi="Courier New"/>
          <w:sz w:val="19"/>
        </w:rPr>
        <w:t>ROS_Redox_Calcium_HeatShock</w:t>
      </w:r>
      <w:r>
        <w:t xml:space="preserve">, and </w:t>
      </w:r>
      <w:r>
        <w:rPr>
          <w:rFonts w:ascii="Courier New" w:hAnsi="Courier New"/>
          <w:sz w:val="19"/>
        </w:rPr>
        <w:t>Ethylene_Auxin_Root_Remodeling</w:t>
      </w:r>
      <w:r>
        <w:t>).</w:t>
      </w:r>
    </w:p>
    <w:p>
      <w:pPr>
        <w:pStyle w:val="ListNumber"/>
      </w:pPr>
      <w:r>
        <w:rPr>
          <w:b/>
        </w:rPr>
        <w:t>8 Biophysical Pathway Interaction Ratios:</w:t>
      </w:r>
      <w:r>
        <w:t xml:space="preserve"> Domain-specific difference scores capturing orthogonality between hypoxia and barosensory axes (e.g., </w:t>
      </w:r>
      <w:r>
        <w:rPr>
          <w:rFonts w:ascii="Courier New" w:hAnsi="Courier New"/>
          <w:sz w:val="19"/>
        </w:rPr>
        <w:t>INT_ABA_minus_Hypoxia</w:t>
      </w:r>
      <w:r>
        <w:t xml:space="preserve">, </w:t>
      </w:r>
      <w:r>
        <w:rPr>
          <w:rFonts w:ascii="Courier New" w:hAnsi="Courier New"/>
          <w:sz w:val="19"/>
        </w:rPr>
        <w:t>INT_Cuticle_minus_Hypoxia</w:t>
      </w:r>
      <w:r>
        <w:t xml:space="preserve">, </w:t>
      </w:r>
      <w:r>
        <w:rPr>
          <w:rFonts w:ascii="Courier New" w:hAnsi="Courier New"/>
          <w:sz w:val="19"/>
        </w:rPr>
        <w:t>INT_CellWall_minus_Hypoxia</w:t>
      </w:r>
      <w:r>
        <w:t xml:space="preserve">, </w:t>
      </w:r>
      <w:r>
        <w:rPr>
          <w:rFonts w:ascii="Courier New" w:hAnsi="Courier New"/>
          <w:sz w:val="19"/>
        </w:rPr>
        <w:t>INT_Indole_minus_Aliphatic_GSL</w:t>
      </w:r>
      <w:r>
        <w:t xml:space="preserve">, </w:t>
      </w:r>
      <w:r>
        <w:rPr>
          <w:rFonts w:ascii="Courier New" w:hAnsi="Courier New"/>
          <w:sz w:val="19"/>
        </w:rPr>
        <w:t>INT_Oxylipin_minus_Photosynthesis</w:t>
      </w:r>
      <w:r>
        <w:t>).</w:t>
      </w:r>
    </w:p>
    <w:p>
      <w:pPr>
        <w:pStyle w:val="ListNumber"/>
      </w:pPr>
      <w:r>
        <w:rPr>
          <w:b/>
        </w:rPr>
        <w:t>Top K = 40 Unsupervised High-Variance Discovery Probesets:</w:t>
      </w:r>
      <w:r>
        <w:t xml:space="preserve"> Selected strictly from </w:t>
      </w:r>
      <w:r>
        <w:rPr>
          <w:rFonts w:ascii="Courier New" w:hAnsi="Courier New"/>
          <w:sz w:val="19"/>
        </w:rPr>
        <w:t>X_train</w:t>
      </w:r>
      <w:r>
        <w:t xml:space="preserve"> variance (excluding curated pathway genes to prevent collinearity) and standardized using </w:t>
      </w:r>
      <w:r>
        <w:rPr>
          <w:rFonts w:ascii="Courier New" w:hAnsi="Courier New"/>
          <w:sz w:val="19"/>
        </w:rPr>
        <w:t>X_train</w:t>
      </w:r>
      <w:r>
        <w:t xml:space="preserve"> statistics.</w:t>
      </w:r>
    </w:p>
    <w:p>
      <w:pPr>
        <w:pStyle w:val="ListNumber"/>
      </w:pPr>
      <w:r>
        <w:rPr>
          <w:b/>
        </w:rPr>
        <w:t>Known Experimental Covariates:</w:t>
      </w:r>
      <w:r>
        <w:t xml:space="preserve"> Binary organ indicator (</w:t>
      </w:r>
      <w:r>
        <w:rPr>
          <w:rFonts w:ascii="Courier New" w:hAnsi="Courier New"/>
          <w:sz w:val="19"/>
        </w:rPr>
        <w:t>COV_is_shoot</w:t>
      </w:r>
      <w:r>
        <w:t>) and seedling age in days (</w:t>
      </w:r>
      <w:r>
        <w:rPr>
          <w:rFonts w:ascii="Courier New" w:hAnsi="Courier New"/>
          <w:sz w:val="19"/>
        </w:rPr>
        <w:t>COV_age_days</w:t>
      </w:r>
      <w:r>
        <w:t>) for atmospheric prediction tasks.</w:t>
      </w:r>
    </w:p>
    <w:p>
      <w:r>
        <w:t xml:space="preserve">We benchmarked </w:t>
      </w:r>
      <w:r>
        <w:rPr>
          <w:b/>
        </w:rPr>
        <w:t>TabPFN v2</w:t>
      </w:r>
      <w:r>
        <w:t xml:space="preserve"> (</w:t>
      </w:r>
      <w:r>
        <w:rPr>
          <w:rFonts w:ascii="Courier New" w:hAnsi="Courier New"/>
          <w:sz w:val="19"/>
        </w:rPr>
        <w:t>tabpfn.TabPFNClassifier</w:t>
      </w:r>
      <w:r>
        <w:t xml:space="preserve"> and </w:t>
      </w:r>
      <w:r>
        <w:rPr>
          <w:rFonts w:ascii="Courier New" w:hAnsi="Courier New"/>
          <w:sz w:val="19"/>
        </w:rPr>
        <w:t>tabpfn.TabPFNRegressor</w:t>
      </w:r>
      <w:r>
        <w:t xml:space="preserve">, v2.2.1; Hollmann et al., </w:t>
      </w:r>
      <w:r>
        <w:rPr>
          <w:i/>
        </w:rPr>
        <w:t>Nature</w:t>
      </w:r>
      <w:r>
        <w:t xml:space="preserve"> 2025, </w:t>
      </w:r>
      <w:r>
        <w:rPr>
          <w:rFonts w:ascii="Courier New" w:hAnsi="Courier New"/>
          <w:sz w:val="19"/>
        </w:rPr>
        <w:t>n_estimators=8</w:t>
      </w:r>
      <w:r>
        <w:t xml:space="preserve">) and </w:t>
      </w:r>
      <w:r>
        <w:rPr>
          <w:b/>
        </w:rPr>
        <w:t>TabPFN v2 (PHE)</w:t>
      </w:r>
      <w:r>
        <w:t xml:space="preserve"> (post-hoc ensemble averaging predictions across random seeds </w:t>
      </w:r>
      <w:r>
        <w:rPr>
          <w:rFonts w:ascii="Courier New" w:hAnsi="Courier New"/>
          <w:sz w:val="19"/>
        </w:rPr>
        <w:t>[42, 101, 2025]</w:t>
      </w:r>
      <w:r>
        <w:t xml:space="preserve"> and temperatures </w:t>
      </w:r>
      <w:r>
        <w:rPr>
          <w:rFonts w:ascii="Courier New" w:hAnsi="Courier New"/>
          <w:sz w:val="19"/>
        </w:rPr>
        <w:t>[0.75, 0.9, 1.0]</w:t>
      </w:r>
      <w:r>
        <w:t xml:space="preserve">, weighted by inverse validation loss) against </w:t>
      </w:r>
      <w:r>
        <w:rPr>
          <w:rFonts w:ascii="Courier New" w:hAnsi="Courier New"/>
          <w:sz w:val="19"/>
        </w:rPr>
        <w:t>LightGBM</w:t>
      </w:r>
      <w:r>
        <w:t xml:space="preserve"> (</w:t>
      </w:r>
      <w:r>
        <w:rPr>
          <w:rFonts w:ascii="Courier New" w:hAnsi="Courier New"/>
          <w:sz w:val="19"/>
        </w:rPr>
        <w:t>HistGradientBoostingRegressor</w:t>
      </w:r>
      <w:r>
        <w:t>/</w:t>
      </w:r>
      <w:r>
        <w:rPr>
          <w:rFonts w:ascii="Courier New" w:hAnsi="Courier New"/>
          <w:sz w:val="19"/>
        </w:rPr>
        <w:t>Classifier</w:t>
      </w:r>
      <w:r>
        <w:t xml:space="preserve">), </w:t>
      </w:r>
      <w:r>
        <w:rPr>
          <w:rFonts w:ascii="Courier New" w:hAnsi="Courier New"/>
          <w:sz w:val="19"/>
        </w:rPr>
        <w:t>RandomForest</w:t>
      </w:r>
      <w:r>
        <w:t xml:space="preserve">, </w:t>
      </w:r>
      <w:r>
        <w:rPr>
          <w:rFonts w:ascii="Courier New" w:hAnsi="Courier New"/>
          <w:sz w:val="19"/>
        </w:rPr>
        <w:t>ElasticNet</w:t>
      </w:r>
      <w:r>
        <w:t xml:space="preserve">, </w:t>
      </w:r>
      <w:r>
        <w:rPr>
          <w:rFonts w:ascii="Courier New" w:hAnsi="Courier New"/>
          <w:sz w:val="19"/>
        </w:rPr>
        <w:t>Ridge</w:t>
      </w:r>
      <w:r>
        <w:t xml:space="preserve">, </w:t>
      </w:r>
      <w:r>
        <w:rPr>
          <w:rFonts w:ascii="Courier New" w:hAnsi="Courier New"/>
          <w:sz w:val="19"/>
        </w:rPr>
        <w:t>MLP</w:t>
      </w:r>
      <w:r>
        <w:t xml:space="preserve">, and </w:t>
      </w:r>
      <w:r>
        <w:rPr>
          <w:rFonts w:ascii="Courier New" w:hAnsi="Courier New"/>
          <w:sz w:val="19"/>
        </w:rPr>
        <w:t>Dummy</w:t>
      </w:r>
      <w:r>
        <w:t xml:space="preserve"> baselines (</w:t>
      </w:r>
      <w:r>
        <w:rPr>
          <w:rFonts w:ascii="Courier New" w:hAnsi="Courier New"/>
          <w:sz w:val="19"/>
        </w:rPr>
        <w:t>src/atmos_ml/models.py</w:t>
      </w:r>
      <w:r>
        <w:t xml:space="preserve">). Cross-validation used condition-aware </w:t>
      </w:r>
      <w:r>
        <w:rPr>
          <w:rFonts w:ascii="Courier New" w:hAnsi="Courier New"/>
          <w:sz w:val="19"/>
        </w:rPr>
        <w:t>GroupKFold</w:t>
      </w:r>
      <w:r>
        <w:t xml:space="preserve"> using 20 discrete condition groups defined by </w:t>
      </w:r>
      <w:r>
        <w:rPr>
          <w:rFonts w:ascii="Courier New" w:hAnsi="Courier New"/>
          <w:sz w:val="19"/>
        </w:rPr>
        <w:t>f"{series_id}_{consensus_organ}_{age_days}d_{duration_h}h_{P_total_kPa}kPa_{O2_frac}O2"</w:t>
      </w:r>
      <w:r>
        <w:t>, ensuring technical re-hybridization pairs were never split across train and test folds. All metrics (</w:t>
      </w:r>
      <w:r>
        <w:rPr>
          <w:rFonts w:ascii="Courier New" w:hAnsi="Courier New"/>
          <w:sz w:val="19"/>
        </w:rPr>
        <w:t>RMSE</w:t>
      </w:r>
      <w:r>
        <w:t xml:space="preserve">, </w:t>
      </w:r>
      <w:r>
        <w:rPr>
          <w:rFonts w:ascii="Courier New" w:hAnsi="Courier New"/>
          <w:sz w:val="19"/>
        </w:rPr>
        <w:t>MAE</w:t>
      </w:r>
      <w:r>
        <w:t xml:space="preserve">, R^2, Spearman ρ, </w:t>
      </w:r>
      <w:r>
        <w:rPr>
          <w:rFonts w:ascii="Courier New" w:hAnsi="Courier New"/>
          <w:sz w:val="19"/>
        </w:rPr>
        <w:t>ROC_AUC</w:t>
      </w:r>
      <w:r>
        <w:t xml:space="preserve">, </w:t>
      </w:r>
      <w:r>
        <w:rPr>
          <w:rFonts w:ascii="Courier New" w:hAnsi="Courier New"/>
          <w:sz w:val="19"/>
        </w:rPr>
        <w:t>PR_AUC</w:t>
      </w:r>
      <w:r>
        <w:t xml:space="preserve">, </w:t>
      </w:r>
      <w:r>
        <w:rPr>
          <w:rFonts w:ascii="Courier New" w:hAnsi="Courier New"/>
          <w:sz w:val="19"/>
        </w:rPr>
        <w:t>Macro_F1</w:t>
      </w:r>
      <w:r>
        <w:t xml:space="preserve">, </w:t>
      </w:r>
      <w:r>
        <w:rPr>
          <w:rFonts w:ascii="Courier New" w:hAnsi="Courier New"/>
          <w:sz w:val="19"/>
        </w:rPr>
        <w:t>Accuracy</w:t>
      </w:r>
      <w:r>
        <w:t xml:space="preserve">, </w:t>
      </w:r>
      <w:r>
        <w:rPr>
          <w:rFonts w:ascii="Courier New" w:hAnsi="Courier New"/>
          <w:sz w:val="19"/>
        </w:rPr>
        <w:t>Brier_Score</w:t>
      </w:r>
      <w:r>
        <w:t xml:space="preserve">, </w:t>
      </w:r>
      <w:r>
        <w:rPr>
          <w:rFonts w:ascii="Courier New" w:hAnsi="Courier New"/>
          <w:sz w:val="19"/>
        </w:rPr>
        <w:t>ECE</w:t>
      </w:r>
      <w:r>
        <w:t xml:space="preserve">) were accompanied by </w:t>
      </w:r>
      <w:r>
        <w:rPr>
          <w:b/>
        </w:rPr>
        <w:t>1,000-iteration bootstrap 95% confidence intervals</w:t>
      </w:r>
      <w:r>
        <w:t xml:space="preserve"> and two-sided paired Wilcoxon signed-rank p-values (</w:t>
      </w:r>
      <w:r>
        <w:rPr>
          <w:rFonts w:ascii="Courier New" w:hAnsi="Courier New"/>
          <w:sz w:val="19"/>
        </w:rPr>
        <w:t>Table_S2A</w:t>
      </w:r>
      <w:r>
        <w:t xml:space="preserve">, </w:t>
      </w:r>
      <w:r>
        <w:rPr>
          <w:rFonts w:ascii="Courier New" w:hAnsi="Courier New"/>
          <w:sz w:val="19"/>
        </w:rPr>
        <w:t>Table_S2B</w:t>
      </w:r>
      <w:r>
        <w:t>).</w:t>
      </w:r>
    </w:p>
    <w:p>
      <w:pPr>
        <w:pStyle w:val="Heading2"/>
      </w:pPr>
      <w:r>
        <w:t>4.3 Multivariable Orthogonal Partial Regression with Empirical Bayes Moderation (WP2)</w:t>
      </w:r>
    </w:p>
    <w:p>
      <w:r>
        <w:t>To decouple P_{total}} from pO}_2 across all 22,746 biological probesets, we fit multivariable linear models across the 58 multi-pressure/O}_2-dissection arrays controlling for organ and developmental age:</w:t>
      </w:r>
    </w:p>
    <w:p>
      <w:pPr>
        <w:jc w:val="center"/>
      </w:pPr>
      <w:r>
        <w:t>y_{ig} = β_{0g} + β_{baro},g}log2\!≤ft(\frac{97}{P_{total},i}}\right) + β_{hypo},g}log2\!≤ft(\frac{20.37}{pO}_2,i}\right) + β_{organ},g}\mathbb{I}(Shoot}_i) + β_{age},g}Age}_i + ε_{ig}</w:t>
      </w:r>
    </w:p>
    <w:p>
      <w:r>
        <w:t>To stabilize residual variance estimates across small sample sizes, we applied limma empirical Bayes variance moderation:</w:t>
      </w:r>
    </w:p>
    <w:p>
      <w:pPr>
        <w:jc w:val="center"/>
      </w:pPr>
      <w:r>
        <w:t>\tilde{s}_g^2 = \frac{d_0 s_0^2 + d_g s_g^2}{d_0 + d_g}</w:t>
      </w:r>
    </w:p>
    <w:p>
      <w:r>
        <w:t>where prior degrees of freedom d_0 = 1.76 and prior variance s_0^2 = 0.1188 were estimated from the empirical distribution of residual variances. Moderated t-statistics were tested with Benjamini–Hochberg false discovery rate (FDR) correction (</w:t>
      </w:r>
      <w:r>
        <w:rPr>
          <w:rFonts w:ascii="Courier New" w:hAnsi="Courier New"/>
          <w:sz w:val="19"/>
        </w:rPr>
        <w:t>Table_S3_Full_22746_Orthogonal_Decomposition.csv</w:t>
      </w:r>
      <w:r>
        <w:t xml:space="preserve">). In addition, we fit an interaction model incorporating β_{int},g}(HI}_{baro}}×HI}_{hypo}}) to classify synergistic (β_{int}} &gt; 0, p &lt; 0.05) and antagonistic (β_{int}} &lt; 0, p &lt; 0.05) dual hubs. For non-additive feature attribution inside </w:t>
      </w:r>
      <w:r>
        <w:rPr>
          <w:b/>
        </w:rPr>
        <w:t>TabPFN v2</w:t>
      </w:r>
      <w:r>
        <w:t xml:space="preserve">, we used </w:t>
      </w:r>
      <w:r>
        <w:rPr>
          <w:rFonts w:ascii="Courier New" w:hAnsi="Courier New"/>
          <w:sz w:val="19"/>
        </w:rPr>
        <w:t>shap.Explainer</w:t>
      </w:r>
      <w:r>
        <w:t xml:space="preserve"> (</w:t>
      </w:r>
      <w:r>
        <w:rPr>
          <w:rFonts w:ascii="Courier New" w:hAnsi="Courier New"/>
          <w:sz w:val="19"/>
        </w:rPr>
        <w:t>PermutationExplainer</w:t>
      </w:r>
      <w:r>
        <w:t xml:space="preserve"> with </w:t>
      </w:r>
      <w:r>
        <w:rPr>
          <w:rFonts w:ascii="Courier New" w:hAnsi="Courier New"/>
          <w:sz w:val="19"/>
        </w:rPr>
        <w:t>max_evals = 2 * n_features + 1</w:t>
      </w:r>
      <w:r>
        <w:t xml:space="preserve">) on the fitted </w:t>
      </w:r>
      <w:r>
        <w:rPr>
          <w:rFonts w:ascii="Courier New" w:hAnsi="Courier New"/>
          <w:sz w:val="19"/>
        </w:rPr>
        <w:t>TabPFNRegressor</w:t>
      </w:r>
      <w:r>
        <w:t xml:space="preserve"> models (</w:t>
      </w:r>
      <w:r>
        <w:rPr>
          <w:rFonts w:ascii="Courier New" w:hAnsi="Courier New"/>
          <w:sz w:val="19"/>
        </w:rPr>
        <w:t>src/atmos_ml/interpret.py</w:t>
      </w:r>
      <w:r>
        <w:t>).</w:t>
      </w:r>
    </w:p>
    <w:p>
      <w:pPr>
        <w:pStyle w:val="Heading2"/>
      </w:pPr>
      <w:r>
        <w:t>4.4 Cell-Type TRAP-seq (</w:t>
      </w:r>
      <w:r>
        <w:rPr>
          <w:rFonts w:ascii="Courier New" w:hAnsi="Courier New"/>
          <w:sz w:val="19"/>
        </w:rPr>
        <w:t>GSE14493</w:t>
      </w:r>
      <w:r>
        <w:t xml:space="preserve">, </w:t>
      </w:r>
      <w:r>
        <w:rPr>
          <w:rFonts w:ascii="Courier New" w:hAnsi="Courier New"/>
          <w:sz w:val="19"/>
        </w:rPr>
        <w:t>GSE14502</w:t>
      </w:r>
      <w:r>
        <w:t>) and Single-Nucleus RNA-seq (</w:t>
      </w:r>
      <w:r>
        <w:rPr>
          <w:rFonts w:ascii="Courier New" w:hAnsi="Courier New"/>
          <w:sz w:val="19"/>
        </w:rPr>
        <w:t>GSE308672</w:t>
      </w:r>
      <w:r>
        <w:t>) Processing (WP3)</w:t>
      </w:r>
    </w:p>
    <w:p>
      <w:r>
        <w:t xml:space="preserve">For </w:t>
      </w:r>
      <w:r>
        <w:rPr>
          <w:rFonts w:ascii="Courier New" w:hAnsi="Courier New"/>
          <w:sz w:val="19"/>
        </w:rPr>
        <w:t>GSE14493</w:t>
      </w:r>
      <w:r>
        <w:t xml:space="preserve"> (n=12) and </w:t>
      </w:r>
      <w:r>
        <w:rPr>
          <w:rFonts w:ascii="Courier New" w:hAnsi="Courier New"/>
          <w:sz w:val="19"/>
        </w:rPr>
        <w:t>GSE14502</w:t>
      </w:r>
      <w:r>
        <w:t xml:space="preserve"> (n=87), RMA-normalized log2 expression matrices were mapped to the 12 curated pathways and top 80 molecular hubs (</w:t>
      </w:r>
      <w:r>
        <w:rPr>
          <w:rFonts w:ascii="Courier New" w:hAnsi="Courier New"/>
          <w:sz w:val="19"/>
        </w:rPr>
        <w:t>Table_S4A</w:t>
      </w:r>
      <w:r>
        <w:t xml:space="preserve">, </w:t>
      </w:r>
      <w:r>
        <w:rPr>
          <w:rFonts w:ascii="Courier New" w:hAnsi="Courier New"/>
          <w:sz w:val="19"/>
        </w:rPr>
        <w:t>Table_S4B</w:t>
      </w:r>
      <w:r>
        <w:t xml:space="preserve">), computing baseline cell-type localization (Δlog2 of each promoter line under normoxia minus global normoxic mean across all lines) and cell-type hypoxia induction (Δlog2FC} hypoxia minus normoxia within each promoter line). For </w:t>
      </w:r>
      <w:r>
        <w:rPr>
          <w:rFonts w:ascii="Courier New" w:hAnsi="Courier New"/>
          <w:sz w:val="19"/>
        </w:rPr>
        <w:t>GSE308672</w:t>
      </w:r>
      <w:r>
        <w:t xml:space="preserve"> (</w:t>
      </w:r>
      <w:r>
        <w:rPr>
          <w:rFonts w:ascii="Courier New" w:hAnsi="Courier New"/>
          <w:sz w:val="19"/>
        </w:rPr>
        <w:t>GSM9251057</w:t>
      </w:r>
      <w:r>
        <w:t>–</w:t>
      </w:r>
      <w:r>
        <w:rPr>
          <w:rFonts w:ascii="Courier New" w:hAnsi="Courier New"/>
          <w:sz w:val="19"/>
        </w:rPr>
        <w:t>GSM9251060</w:t>
      </w:r>
      <w:r>
        <w:t xml:space="preserve">), we ingested four 10x Genomics count matrices, filtered barcodes to </w:t>
      </w:r>
      <w:r>
        <w:rPr>
          <w:b/>
        </w:rPr>
        <w:t>40,860 high-quality nuclei</w:t>
      </w:r>
      <w:r>
        <w:t xml:space="preserve"> (≥ 200 detected genes and ≥ 300 UMIs per nucleus), normalized counts to log2(CPM} + 1), assigned each nucleus to one of 9 canonical root-tip lineages (</w:t>
      </w:r>
      <w:r>
        <w:rPr>
          <w:rFonts w:ascii="Courier New" w:hAnsi="Courier New"/>
          <w:sz w:val="19"/>
        </w:rPr>
        <w:t>Stele_Pericycle</w:t>
      </w:r>
      <w:r>
        <w:t xml:space="preserve">, </w:t>
      </w:r>
      <w:r>
        <w:rPr>
          <w:rFonts w:ascii="Courier New" w:hAnsi="Courier New"/>
          <w:sz w:val="19"/>
        </w:rPr>
        <w:t>Phloem</w:t>
      </w:r>
      <w:r>
        <w:t xml:space="preserve">, </w:t>
      </w:r>
      <w:r>
        <w:rPr>
          <w:rFonts w:ascii="Courier New" w:hAnsi="Courier New"/>
          <w:sz w:val="19"/>
        </w:rPr>
        <w:t>Xylem</w:t>
      </w:r>
      <w:r>
        <w:t xml:space="preserve">, </w:t>
      </w:r>
      <w:r>
        <w:rPr>
          <w:rFonts w:ascii="Courier New" w:hAnsi="Courier New"/>
          <w:sz w:val="19"/>
        </w:rPr>
        <w:t>Endodermis</w:t>
      </w:r>
      <w:r>
        <w:t xml:space="preserve">, </w:t>
      </w:r>
      <w:r>
        <w:rPr>
          <w:rFonts w:ascii="Courier New" w:hAnsi="Courier New"/>
          <w:sz w:val="19"/>
        </w:rPr>
        <w:t>Cortex</w:t>
      </w:r>
      <w:r>
        <w:t xml:space="preserve">, </w:t>
      </w:r>
      <w:r>
        <w:rPr>
          <w:rFonts w:ascii="Courier New" w:hAnsi="Courier New"/>
          <w:sz w:val="19"/>
        </w:rPr>
        <w:t>Epidermis_Atrichoblast</w:t>
      </w:r>
      <w:r>
        <w:t xml:space="preserve">, </w:t>
      </w:r>
      <w:r>
        <w:rPr>
          <w:rFonts w:ascii="Courier New" w:hAnsi="Courier New"/>
          <w:sz w:val="19"/>
        </w:rPr>
        <w:t>Epidermis_Trichoblast</w:t>
      </w:r>
      <w:r>
        <w:t xml:space="preserve">, </w:t>
      </w:r>
      <w:r>
        <w:rPr>
          <w:rFonts w:ascii="Courier New" w:hAnsi="Courier New"/>
          <w:sz w:val="19"/>
        </w:rPr>
        <w:t>Columella_RootCap</w:t>
      </w:r>
      <w:r>
        <w:t xml:space="preserve">, </w:t>
      </w:r>
      <w:r>
        <w:rPr>
          <w:rFonts w:ascii="Courier New" w:hAnsi="Courier New"/>
          <w:sz w:val="19"/>
        </w:rPr>
        <w:t>Meristem_QC</w:t>
      </w:r>
      <w:r>
        <w:t xml:space="preserve">), and aggregated pseudobulk expression at the </w:t>
      </w:r>
      <w:r>
        <w:rPr>
          <w:rFonts w:ascii="Courier New" w:hAnsi="Courier New"/>
          <w:sz w:val="19"/>
        </w:rPr>
        <w:t>sample × lineage</w:t>
      </w:r>
      <w:r>
        <w:t xml:space="preserve"> level (</w:t>
      </w:r>
      <w:r>
        <w:rPr>
          <w:rFonts w:ascii="Courier New" w:hAnsi="Courier New"/>
          <w:sz w:val="19"/>
        </w:rPr>
        <w:t>Table_S4A</w:t>
      </w:r>
      <w:r>
        <w:t xml:space="preserve">, </w:t>
      </w:r>
      <w:r>
        <w:rPr>
          <w:rFonts w:ascii="Courier New" w:hAnsi="Courier New"/>
          <w:sz w:val="19"/>
        </w:rPr>
        <w:t>Table_S4B</w:t>
      </w:r>
      <w:r>
        <w:t>).</w:t>
      </w:r>
    </w:p>
    <w:p>
      <w:pPr>
        <w:pStyle w:val="Heading2"/>
      </w:pPr>
      <w:r>
        <w:t>4.5 Physiological, Metabolomic (</w:t>
      </w:r>
      <w:r>
        <w:rPr>
          <w:rFonts w:ascii="Courier New" w:hAnsi="Courier New"/>
          <w:sz w:val="19"/>
        </w:rPr>
        <w:t>ZENODO16536514</w:t>
      </w:r>
      <w:r>
        <w:t>), and Proteomic (</w:t>
      </w:r>
      <w:r>
        <w:rPr>
          <w:rFonts w:ascii="Courier New" w:hAnsi="Courier New"/>
          <w:sz w:val="19"/>
        </w:rPr>
        <w:t>PXD002353</w:t>
      </w:r>
      <w:r>
        <w:t>) Analyses (WP4)</w:t>
      </w:r>
    </w:p>
    <w:p>
      <w:r>
        <w:t xml:space="preserve">From </w:t>
      </w:r>
      <w:r>
        <w:rPr>
          <w:rFonts w:ascii="Courier New" w:hAnsi="Courier New"/>
          <w:sz w:val="19"/>
        </w:rPr>
        <w:t>ZENODO16536514</w:t>
      </w:r>
      <w:r>
        <w:t>, we analyzed whole-plant gas exchange (</w:t>
      </w:r>
      <w:r>
        <w:rPr>
          <w:rFonts w:ascii="Courier New" w:hAnsi="Courier New"/>
          <w:sz w:val="19"/>
        </w:rPr>
        <w:t>gas exchange.xlsx</w:t>
      </w:r>
      <w:r>
        <w:t>, n=52), PAM chlorophyll fluorescence light-response curves (</w:t>
      </w:r>
      <w:r>
        <w:rPr>
          <w:rFonts w:ascii="Courier New" w:hAnsi="Courier New"/>
          <w:sz w:val="19"/>
        </w:rPr>
        <w:t>chl fluorescence.xlsx</w:t>
      </w:r>
      <w:r>
        <w:t>, n=252), leaf fresh/dry weight and relative water content (</w:t>
      </w:r>
      <w:r>
        <w:rPr>
          <w:rFonts w:ascii="Courier New" w:hAnsi="Courier New"/>
          <w:sz w:val="19"/>
        </w:rPr>
        <w:t>RWC.xlsx</w:t>
      </w:r>
      <w:r>
        <w:t>, n=14), foliar δ13C} and nitrogen content (</w:t>
      </w:r>
      <w:r>
        <w:rPr>
          <w:rFonts w:ascii="Courier New" w:hAnsi="Courier New"/>
          <w:sz w:val="19"/>
        </w:rPr>
        <w:t>C_N_13C.xlsx</w:t>
      </w:r>
      <w:r>
        <w:t>, n=14), pigment ratios (</w:t>
      </w:r>
      <w:r>
        <w:rPr>
          <w:rFonts w:ascii="Courier New" w:hAnsi="Courier New"/>
          <w:sz w:val="19"/>
        </w:rPr>
        <w:t>Pigments.xlsx</w:t>
      </w:r>
      <w:r>
        <w:t>, n=20), and LC-MS secondary metabolites and galactolipids (</w:t>
      </w:r>
      <w:r>
        <w:rPr>
          <w:rFonts w:ascii="Courier New" w:hAnsi="Courier New"/>
          <w:sz w:val="19"/>
        </w:rPr>
        <w:t>Secondary metabolites.xlsx</w:t>
      </w:r>
      <w:r>
        <w:t>, 28 compounds across 4 pressure × humidity groups). Gas exchange measurements were acquired using a Li-6800 portable photosynthesis system under controlled environmental conditions: leaf temperature 22.0 ± 0.2^\circC}, reference CO}_2 concentration 400\ μmol mol}^{-1}, chamber air flow 500\ μmol s}^{-1}, and photosynthetic photon flux density (PPFD) of 150\ μmol m}^{-2} s}^{-1} for steady-state surveys. The mole-fraction leaf-to-air vapor pressure deficit was calculated as VPD_{mol}} = (e_{sat}}(T_{leaf}}) - e_{air}})/P_{total}}. Chlorophyll fluorescence light curves (0--}1092\ μmol m}^{-2} s}^{-1}) were fit using a non-rectangular hyperbola model to extract maximum electron transport rate (ETR_{\max}) and light saturation points. LC-MS secondary metabolites were identified at Metabolomics Standards Initiative (MSI) Level 2 based on accurate mass (Δ m/z &lt; 5 ppm}) and MS/MS fragmentation matching against authentic reference spectra. Both parametric (</w:t>
      </w:r>
      <w:r>
        <w:rPr>
          <w:rFonts w:ascii="Courier New" w:hAnsi="Courier New"/>
          <w:sz w:val="19"/>
        </w:rPr>
        <w:t>Mean</w:t>
      </w:r>
      <w:r>
        <w:t xml:space="preserve">, </w:t>
      </w:r>
      <w:r>
        <w:rPr>
          <w:rFonts w:ascii="Courier New" w:hAnsi="Courier New"/>
          <w:sz w:val="19"/>
        </w:rPr>
        <w:t>SD</w:t>
      </w:r>
      <w:r>
        <w:t>, Welch's t-test p, Hedges' g) and non-parametric (</w:t>
      </w:r>
      <w:r>
        <w:rPr>
          <w:rFonts w:ascii="Courier New" w:hAnsi="Courier New"/>
          <w:sz w:val="19"/>
        </w:rPr>
        <w:t>Median</w:t>
      </w:r>
      <w:r>
        <w:t xml:space="preserve">, </w:t>
      </w:r>
      <w:r>
        <w:rPr>
          <w:rFonts w:ascii="Courier New" w:hAnsi="Courier New"/>
          <w:sz w:val="19"/>
        </w:rPr>
        <w:t>IQR</w:t>
      </w:r>
      <w:r>
        <w:t>, Mann–Whitney U p) statistics were computed for every trait (</w:t>
      </w:r>
      <w:r>
        <w:rPr>
          <w:rFonts w:ascii="Courier New" w:hAnsi="Courier New"/>
          <w:sz w:val="19"/>
        </w:rPr>
        <w:t>Table_S5A</w:t>
      </w:r>
      <w:r>
        <w:t xml:space="preserve">, </w:t>
      </w:r>
      <w:r>
        <w:rPr>
          <w:rFonts w:ascii="Courier New" w:hAnsi="Courier New"/>
          <w:sz w:val="19"/>
        </w:rPr>
        <w:t>Table_S5B</w:t>
      </w:r>
      <w:r>
        <w:t xml:space="preserve">). For </w:t>
      </w:r>
      <w:r>
        <w:rPr>
          <w:rFonts w:ascii="Courier New" w:hAnsi="Courier New"/>
          <w:sz w:val="19"/>
        </w:rPr>
        <w:t>PXD002353</w:t>
      </w:r>
      <w:r>
        <w:t xml:space="preserve">, we parsed iTRAQ spreadsheets (5,454 unique AGI proteins) comparing </w:t>
      </w:r>
      <w:r>
        <w:rPr>
          <w:rFonts w:ascii="Courier New" w:hAnsi="Courier New"/>
          <w:sz w:val="19"/>
        </w:rPr>
        <w:t>Col-0</w:t>
      </w:r>
      <w:r>
        <w:t xml:space="preserve"> and </w:t>
      </w:r>
      <w:r>
        <w:rPr>
          <w:rFonts w:ascii="Courier New" w:hAnsi="Courier New"/>
          <w:sz w:val="19"/>
        </w:rPr>
        <w:t>SnRK1.1K48M</w:t>
      </w:r>
      <w:r>
        <w:t xml:space="preserve"> rosettes across 0, 0.5, 1, and 3 h} of submergence, integrating log2 protein ratios with our 283 hub nodes (</w:t>
      </w:r>
      <w:r>
        <w:rPr>
          <w:rFonts w:ascii="Courier New" w:hAnsi="Courier New"/>
          <w:sz w:val="19"/>
        </w:rPr>
        <w:t>Table_S5C</w:t>
      </w:r>
      <w:r>
        <w:t>).</w:t>
      </w:r>
    </w:p>
    <w:p>
      <w:pPr>
        <w:pStyle w:val="Heading2"/>
      </w:pPr>
      <w:r>
        <w:t>4.6 Leave-One-Condition-Out Validation and Conformal Counterfactual Synthesis (WP5)</w:t>
      </w:r>
    </w:p>
    <w:p>
      <w:r>
        <w:t>To evaluate out-of-condition generalization across (P_{total}}, pO}_2) space, we trained multi-output response-surface models mapping physical coordinates [HI}_{baro}}, HI}_{hypo}}, D/D_0, F_{I}}O}_2, \mathbb{I}_{Shoot}}, Age}, HI}_{baro}}×\mathbb{I}_{Shoot}}, HI}_{hypo}}×\mathbb{I}_{Shoot}}] to differential expression (Δlog2FC} vs. matched 97 kPa} control) across the 12 pathways and key hub genes. Leave-One-Condition-Out (LOCO) cross-validation was performed by iteratively holding out each of the 10 (P_{total}}, pO}_2) × Organ} condition regimes (</w:t>
      </w:r>
      <w:r>
        <w:rPr>
          <w:rFonts w:ascii="Courier New" w:hAnsi="Courier New"/>
          <w:sz w:val="19"/>
        </w:rPr>
        <w:t>Table_S6B</w:t>
      </w:r>
      <w:r>
        <w:t>). Split-conformal prediction intervals were calibrated on LOCO residuals:</w:t>
      </w:r>
    </w:p>
    <w:p>
      <w:pPr>
        <w:jc w:val="center"/>
      </w:pPr>
      <w:r>
        <w:t>\hat{C}_{1-\alpha}(\mathbf{x}) = ≤ft[ \hat{y}(\mathbf{x}) - q_{1-\alpha}, \hat{y}(\mathbf{x}) + q_{1-\alpha} \right]</w:t>
      </w:r>
    </w:p>
    <w:p>
      <w:r>
        <w:t>where q_{0.90} = 0.3007\ log2FC} and q_{0.95} = 0.3289\ log2FC} represent the empirical 90th and 95th percentiles of out-of-condition absolute prediction errors (</w:t>
      </w:r>
      <w:r>
        <w:rPr>
          <w:rFonts w:ascii="Courier New" w:hAnsi="Courier New"/>
          <w:sz w:val="19"/>
        </w:rPr>
        <w:t>Table_S6A</w:t>
      </w:r>
      <w:r>
        <w:t>).</w:t>
      </w:r>
    </w:p>
    <w:p>
      <w:pPr>
        <w:pStyle w:val="Heading2"/>
      </w:pPr>
      <w:r>
        <w:t>4.7 Plant PhysioSpace Stress Autodecoder (WP6)</w:t>
      </w:r>
    </w:p>
    <w:p>
      <w:r>
        <w:t xml:space="preserve">The Plant PhysioSpace Stress Autodecoder projects high-dimensional transcriptomic profiles onto a standardized coordinate system spanning 10 physiological stress dimensions (Esfahani et al., </w:t>
      </w:r>
      <w:r>
        <w:rPr>
          <w:i/>
        </w:rPr>
        <w:t>Plant Physiol.</w:t>
      </w:r>
      <w:r>
        <w:t xml:space="preserve"> 2021). Stress scores are computed as standardized z-scores relative to terrestrial ground control:</w:t>
      </w:r>
    </w:p>
    <w:p>
      <w:pPr>
        <w:jc w:val="center"/>
      </w:pPr>
      <w:r>
        <w:t>z_{s} = \frac{\mathbf{w}_s^T (\mathbf{x} - \boldsymbol{μ}_0)}{\sigma_s}</w:t>
      </w:r>
    </w:p>
    <w:p>
      <w:r>
        <w:t>where \mathbf{w}_s represents the characteristic projection vector for stress dimension s, \boldsymbol{μ}_0 denotes the terrestrial baseline mean, and \sigma_s represents the standard deviation of projection scores across reference datasets. Trajectories across mission phases M1–M6 were plotted using a diverging Blue-to-White-to-Red colormap.</w:t>
      </w:r>
    </w:p>
    <w:p>
      <w:pPr>
        <w:pStyle w:val="Heading1"/>
      </w:pPr>
      <w:r>
        <w:t>5. Data and Code Availability</w:t>
      </w:r>
    </w:p>
    <w:p>
      <w:r>
        <w:t>All harmonized datasets, modular Python source code (</w:t>
      </w:r>
      <w:r>
        <w:rPr>
          <w:rFonts w:ascii="Courier New" w:hAnsi="Courier New"/>
          <w:sz w:val="19"/>
        </w:rPr>
        <w:t>arabidopsis_exploration_atmosphere/src/atmos_ml/</w:t>
      </w:r>
      <w:r>
        <w:t>), 300 DPI publication figures (</w:t>
      </w:r>
      <w:r>
        <w:rPr>
          <w:rFonts w:ascii="Courier New" w:hAnsi="Courier New"/>
          <w:sz w:val="19"/>
        </w:rPr>
        <w:t>arabidopsis_exploration_atmosphere/manuscript/figures/</w:t>
      </w:r>
      <w:r>
        <w:t>), 12 supplementary tables (</w:t>
      </w:r>
      <w:r>
        <w:rPr>
          <w:rFonts w:ascii="Courier New" w:hAnsi="Courier New"/>
          <w:sz w:val="19"/>
        </w:rPr>
        <w:t>arabidopsis_exploration_atmosphere/manuscript/tables/</w:t>
      </w:r>
      <w:r>
        <w:t>), and 5 self-contained narrative Jupyter notebooks (</w:t>
      </w:r>
      <w:r>
        <w:rPr>
          <w:rFonts w:ascii="Courier New" w:hAnsi="Courier New"/>
          <w:sz w:val="19"/>
        </w:rPr>
        <w:t>arabidopsis_exploration_atmosphere/notebooks/01</w:t>
      </w:r>
      <w:r>
        <w:t>–</w:t>
      </w:r>
      <w:r>
        <w:rPr>
          <w:rFonts w:ascii="Courier New" w:hAnsi="Courier New"/>
          <w:sz w:val="19"/>
        </w:rPr>
        <w:t>05</w:t>
      </w:r>
      <w:r>
        <w:t xml:space="preserve">) are available in the project workspace. Code and data are accessible on GitHub at </w:t>
      </w:r>
      <w:r>
        <w:rPr>
          <w:rFonts w:ascii="Courier New" w:hAnsi="Courier New"/>
          <w:sz w:val="19"/>
        </w:rPr>
        <w:t>https://github.com/dr-richard-barker/arabidopsis-exploration-atmosphere-tabpfn</w:t>
      </w:r>
      <w:r>
        <w:t xml:space="preserve"> and deployed interactively via GitHub Pages at </w:t>
      </w:r>
      <w:r>
        <w:rPr>
          <w:rFonts w:ascii="Courier New" w:hAnsi="Courier New"/>
          <w:sz w:val="19"/>
        </w:rPr>
        <w:t>https://dr-richard-barker.github.io/arabidopsis-exploration-atmosphere-tabpfn/</w:t>
      </w:r>
      <w:r>
        <w:t>.</w:t>
      </w:r>
    </w:p>
    <w:p>
      <w:pPr>
        <w:pStyle w:val="Heading1"/>
      </w:pPr>
      <w:r>
        <w:t>6. Supplementary Tables Inventory</w:t>
      </w:r>
    </w:p>
    <w:p>
      <w:pPr>
        <w:pStyle w:val="ListBullet"/>
      </w:pPr>
      <w:r>
        <w:rPr>
          <w:b/>
        </w:rPr>
        <w:t>Table S1A (`Table_S1_Full_148_GSM_Audit_Ledger.csv`):</w:t>
      </w:r>
      <w:r>
        <w:t xml:space="preserve"> Complete forensic audit ledger of all 148 series-level GSM records across the four core hypobaric series (</w:t>
      </w:r>
      <w:r>
        <w:rPr>
          <w:rFonts w:ascii="Courier New" w:hAnsi="Courier New"/>
          <w:sz w:val="19"/>
        </w:rPr>
        <w:t>GSE87867</w:t>
      </w:r>
      <w:r>
        <w:t xml:space="preserve">, </w:t>
      </w:r>
      <w:r>
        <w:rPr>
          <w:rFonts w:ascii="Courier New" w:hAnsi="Courier New"/>
          <w:sz w:val="19"/>
        </w:rPr>
        <w:t>GSE87868</w:t>
      </w:r>
      <w:r>
        <w:t xml:space="preserve">, </w:t>
      </w:r>
      <w:r>
        <w:rPr>
          <w:rFonts w:ascii="Courier New" w:hAnsi="Courier New"/>
          <w:sz w:val="19"/>
        </w:rPr>
        <w:t>GSE87903</w:t>
      </w:r>
      <w:r>
        <w:t xml:space="preserve">, </w:t>
      </w:r>
      <w:r>
        <w:rPr>
          <w:rFonts w:ascii="Courier New" w:hAnsi="Courier New"/>
          <w:sz w:val="19"/>
        </w:rPr>
        <w:t>GSE87904</w:t>
      </w:r>
      <w:r>
        <w:t xml:space="preserve">), documenting raw </w:t>
      </w:r>
      <w:r>
        <w:rPr>
          <w:rFonts w:ascii="Courier New" w:hAnsi="Courier New"/>
          <w:sz w:val="19"/>
        </w:rPr>
        <w:t>.CEL</w:t>
      </w:r>
      <w:r>
        <w:t xml:space="preserve"> filenames, hybridization scanner batches (</w:t>
      </w:r>
      <w:r>
        <w:rPr>
          <w:rFonts w:ascii="Courier New" w:hAnsi="Courier New"/>
          <w:sz w:val="19"/>
        </w:rPr>
        <w:t>54xx</w:t>
      </w:r>
      <w:r>
        <w:t>/</w:t>
      </w:r>
      <w:r>
        <w:rPr>
          <w:rFonts w:ascii="Courier New" w:hAnsi="Courier New"/>
          <w:sz w:val="19"/>
        </w:rPr>
        <w:t>68xx</w:t>
      </w:r>
      <w:r>
        <w:t>), original GEO titles and characteristics, Affymetrix array QC metrics (NUSE, RLE, scale factors, percent present), final disposition status (Retained Unique, Excluded Duplicate, Relabeled Organ, Relabeled Pressure, Technical Repeat), and exact GroupKFold condition group identifiers.</w:t>
      </w:r>
    </w:p>
    <w:p>
      <w:pPr>
        <w:pStyle w:val="ListBullet"/>
      </w:pPr>
      <w:r>
        <w:rPr>
          <w:b/>
        </w:rPr>
        <w:t>Table S1B (`Table_S1_Harmonized_130_Hypobaric_Arrays_Forensic_Audit.csv`):</w:t>
      </w:r>
      <w:r>
        <w:t xml:space="preserve"> Curated compendium of 130 retained unique hypobaric microarrays with harmonized physical coordinates (P_{total}}, pO}_2, D/D_0, HI}_{baro}}, HI}_{hypo}}), consensus organ annotations, and TabPFN v2 posterior probabilities.</w:t>
      </w:r>
    </w:p>
    <w:p>
      <w:pPr>
        <w:pStyle w:val="ListBullet"/>
      </w:pPr>
      <w:r>
        <w:rPr>
          <w:b/>
        </w:rPr>
        <w:t>Table S2A (`Table_S2A_Regression_Benchmarks_Bootstrap95CI.csv`):</w:t>
      </w:r>
      <w:r>
        <w:t xml:space="preserve"> Continuous regression benchmarks (</w:t>
      </w:r>
      <w:r>
        <w:rPr>
          <w:rFonts w:ascii="Courier New" w:hAnsi="Courier New"/>
          <w:sz w:val="19"/>
        </w:rPr>
        <w:t>WP2A</w:t>
      </w:r>
      <w:r>
        <w:t xml:space="preserve">, </w:t>
      </w:r>
      <w:r>
        <w:rPr>
          <w:rFonts w:ascii="Courier New" w:hAnsi="Courier New"/>
          <w:sz w:val="19"/>
        </w:rPr>
        <w:t>WP2B</w:t>
      </w:r>
      <w:r>
        <w:t xml:space="preserve">, </w:t>
      </w:r>
      <w:r>
        <w:rPr>
          <w:rFonts w:ascii="Courier New" w:hAnsi="Courier New"/>
          <w:sz w:val="19"/>
        </w:rPr>
        <w:t>WP2D</w:t>
      </w:r>
      <w:r>
        <w:t>) with 1,000-iteration bootstrap 95% CIs and paired Wilcoxon p-values.</w:t>
      </w:r>
    </w:p>
    <w:p>
      <w:pPr>
        <w:pStyle w:val="ListBullet"/>
      </w:pPr>
      <w:r>
        <w:rPr>
          <w:b/>
        </w:rPr>
        <w:t>Table S2B (`Table_S2B_Classification_Benchmarks_Bootstrap95CI.csv`):</w:t>
      </w:r>
      <w:r>
        <w:t xml:space="preserve"> 4-class atmospheric regime classification benchmarks (</w:t>
      </w:r>
      <w:r>
        <w:rPr>
          <w:rFonts w:ascii="Courier New" w:hAnsi="Courier New"/>
          <w:sz w:val="19"/>
        </w:rPr>
        <w:t>WP2C</w:t>
      </w:r>
      <w:r>
        <w:t>) with 1,000-iteration bootstrap 95% CIs, Brier scores, and Expected Calibration Error (</w:t>
      </w:r>
      <w:r>
        <w:rPr>
          <w:rFonts w:ascii="Courier New" w:hAnsi="Courier New"/>
          <w:sz w:val="19"/>
        </w:rPr>
        <w:t>ECE</w:t>
      </w:r>
      <w:r>
        <w:t>).</w:t>
      </w:r>
    </w:p>
    <w:p>
      <w:pPr>
        <w:pStyle w:val="ListBullet"/>
      </w:pPr>
      <w:r>
        <w:rPr>
          <w:b/>
        </w:rPr>
        <w:t>Table S2C (`Table_S2C_Covariate_Ablation_Suite.csv`):</w:t>
      </w:r>
      <w:r>
        <w:t xml:space="preserve"> Covariate ablation benchmarks comparing Covariates Only vs. Transcriptome Only vs. Combined models under condition-grouped cross-validation.</w:t>
      </w:r>
    </w:p>
    <w:p>
      <w:pPr>
        <w:pStyle w:val="ListBullet"/>
      </w:pPr>
      <w:r>
        <w:rPr>
          <w:b/>
        </w:rPr>
        <w:t>Table S2D (`Table_S2C_Slice_Based_Error_Analysis.csv`):</w:t>
      </w:r>
      <w:r>
        <w:t xml:space="preserve"> Slice-based error analysis across organs (</w:t>
      </w:r>
      <w:r>
        <w:rPr>
          <w:rFonts w:ascii="Courier New" w:hAnsi="Courier New"/>
          <w:sz w:val="19"/>
        </w:rPr>
        <w:t>Root</w:t>
      </w:r>
      <w:r>
        <w:t xml:space="preserve"> vs. </w:t>
      </w:r>
      <w:r>
        <w:rPr>
          <w:rFonts w:ascii="Courier New" w:hAnsi="Courier New"/>
          <w:sz w:val="19"/>
        </w:rPr>
        <w:t>Shoot</w:t>
      </w:r>
      <w:r>
        <w:t>), developmental ages (</w:t>
      </w:r>
      <w:r>
        <w:rPr>
          <w:rFonts w:ascii="Courier New" w:hAnsi="Courier New"/>
          <w:sz w:val="19"/>
        </w:rPr>
        <w:t>5-day</w:t>
      </w:r>
      <w:r>
        <w:t xml:space="preserve"> vs. </w:t>
      </w:r>
      <w:r>
        <w:rPr>
          <w:rFonts w:ascii="Courier New" w:hAnsi="Courier New"/>
          <w:sz w:val="19"/>
        </w:rPr>
        <w:t>10/11-day</w:t>
      </w:r>
      <w:r>
        <w:t>), and normoxic O}_2-supplemented hypobaria (</w:t>
      </w:r>
      <w:r>
        <w:rPr>
          <w:rFonts w:ascii="Courier New" w:hAnsi="Courier New"/>
          <w:sz w:val="19"/>
        </w:rPr>
        <w:t>50/25 kPa + O2</w:t>
      </w:r>
      <w:r>
        <w:t>).</w:t>
      </w:r>
    </w:p>
    <w:p>
      <w:pPr>
        <w:pStyle w:val="ListBullet"/>
      </w:pPr>
      <w:r>
        <w:rPr>
          <w:b/>
        </w:rPr>
        <w:t>Table S3 (`Table_S3_Exploration_Atmosphere_Molecular_Hub_Nodes.csv`):</w:t>
      </w:r>
      <w:r>
        <w:t xml:space="preserve"> Multivariable orthogonal partial regression coefficients with empirical Bayes moderation (β_{baro}}, β_{hypo}}, p_{moderated}}), empirical regime contrasts, mechanistic axis classifications, and composite hub scores for the 283 curated and top discovery hub nodes (full 22,746-gene decomposition in </w:t>
      </w:r>
      <w:r>
        <w:rPr>
          <w:rFonts w:ascii="Courier New" w:hAnsi="Courier New"/>
          <w:sz w:val="19"/>
        </w:rPr>
        <w:t>Table_S3_Full_22746_Orthogonal_Decomposition.csv</w:t>
      </w:r>
      <w:r>
        <w:t>).</w:t>
      </w:r>
    </w:p>
    <w:p>
      <w:pPr>
        <w:pStyle w:val="ListBullet"/>
      </w:pPr>
      <w:r>
        <w:rPr>
          <w:b/>
        </w:rPr>
        <w:t>Table S4A (`Table_S4A_Pathway_CellType_TRAP_and_SingleNucleus_Atlas.csv`):</w:t>
      </w:r>
      <w:r>
        <w:t xml:space="preserve"> Pathway-level translatome enrichment across 19 </w:t>
      </w:r>
      <w:r>
        <w:rPr>
          <w:rFonts w:ascii="Courier New" w:hAnsi="Courier New"/>
          <w:sz w:val="19"/>
        </w:rPr>
        <w:t>GSE14502</w:t>
      </w:r>
      <w:r>
        <w:t xml:space="preserve"> cell-type promoters, </w:t>
      </w:r>
      <w:r>
        <w:rPr>
          <w:rFonts w:ascii="Courier New" w:hAnsi="Courier New"/>
          <w:sz w:val="19"/>
        </w:rPr>
        <w:t>GSE14493</w:t>
      </w:r>
      <w:r>
        <w:t xml:space="preserve"> sucrose rescue contrasts, and 40,860 </w:t>
      </w:r>
      <w:r>
        <w:rPr>
          <w:rFonts w:ascii="Courier New" w:hAnsi="Courier New"/>
          <w:sz w:val="19"/>
        </w:rPr>
        <w:t>GSE308672</w:t>
      </w:r>
      <w:r>
        <w:t xml:space="preserve"> root-tip single nuclei across 9 lineages.</w:t>
      </w:r>
    </w:p>
    <w:p>
      <w:pPr>
        <w:pStyle w:val="ListBullet"/>
      </w:pPr>
      <w:r>
        <w:rPr>
          <w:b/>
        </w:rPr>
        <w:t>Table S4B (`Table_S4B_Top80_Hubs_CellType_and_SingleNucleus_Localization.csv`):</w:t>
      </w:r>
      <w:r>
        <w:t xml:space="preserve"> Gene-level cell-type TRAP-seq and single-nucleus root-tip localization for the top 80 barosensory, hypoxia, and dual molecular hubs.</w:t>
      </w:r>
    </w:p>
    <w:p>
      <w:pPr>
        <w:pStyle w:val="ListBullet"/>
      </w:pPr>
      <w:r>
        <w:rPr>
          <w:b/>
        </w:rPr>
        <w:t>Table S5A (`Table_S5A_Zenodo16536514_Physiology_62kPa_vs_101kPa_Stats.csv`):</w:t>
      </w:r>
      <w:r>
        <w:t xml:space="preserve"> Parametric and non-parametric statistical contrasts for 15 physiological, gas-exchange, isotopic (δ13C}), water-status (</w:t>
      </w:r>
      <w:r>
        <w:rPr>
          <w:rFonts w:ascii="Courier New" w:hAnsi="Courier New"/>
          <w:sz w:val="19"/>
        </w:rPr>
        <w:t>RWC</w:t>
      </w:r>
      <w:r>
        <w:t>), and pigment traits at 62 kPa} vs. 101 kPa}.</w:t>
      </w:r>
    </w:p>
    <w:p>
      <w:pPr>
        <w:pStyle w:val="ListBullet"/>
      </w:pPr>
      <w:r>
        <w:rPr>
          <w:b/>
        </w:rPr>
        <w:t>Table S5B (`Table_S5B_Zenodo16536514_Metabolomics_Pressure_x_Humidity_Triangulation.csv`):</w:t>
      </w:r>
      <w:r>
        <w:t xml:space="preserve"> LC-MS secondary metabolite and chloroplast galactolipid fold-changes across 101 kPa} (50\% and 25\%\ RH}) and 62 kPa} (50\% and 70\%\ RH}).</w:t>
      </w:r>
    </w:p>
    <w:p>
      <w:pPr>
        <w:pStyle w:val="ListBullet"/>
      </w:pPr>
      <w:r>
        <w:rPr>
          <w:b/>
        </w:rPr>
        <w:t>Table S5C (`Table_S5C_PXD002353_SnRK1_Proteome_Transcriptome_Integration.csv`):</w:t>
      </w:r>
      <w:r>
        <w:t xml:space="preserve"> Multi-omics integration of 81 molecular hub nodes across the hypobaric transcriptome and the </w:t>
      </w:r>
      <w:r>
        <w:rPr>
          <w:rFonts w:ascii="Courier New" w:hAnsi="Courier New"/>
          <w:sz w:val="19"/>
        </w:rPr>
        <w:t>PXD002353</w:t>
      </w:r>
      <w:r>
        <w:t xml:space="preserve"> </w:t>
      </w:r>
      <w:r>
        <w:rPr>
          <w:rFonts w:ascii="Courier New" w:hAnsi="Courier New"/>
          <w:sz w:val="19"/>
        </w:rPr>
        <w:t>SnRK1.1K48M</w:t>
      </w:r>
      <w:r>
        <w:t xml:space="preserve"> submergence iTRAQ proteome.</w:t>
      </w:r>
    </w:p>
    <w:p>
      <w:pPr>
        <w:pStyle w:val="ListBullet"/>
      </w:pPr>
      <w:r>
        <w:rPr>
          <w:b/>
        </w:rPr>
        <w:t>Table S6A (`Table_S6A_NASA_Exploration_Atmosphere_Counterfactual_Predictions.csv`):</w:t>
      </w:r>
      <w:r>
        <w:t xml:space="preserve"> TabPFN v2 counterfactual pathway and hub-gene predictions (Δlog2FC} ± SD}) with split-conformal 90% and 95% uncertainty intervals across NASA's Exploration Atmosphere setpoints.</w:t>
      </w:r>
    </w:p>
    <w:p>
      <w:pPr>
        <w:pStyle w:val="ListBullet"/>
      </w:pPr>
      <w:r>
        <w:rPr>
          <w:b/>
        </w:rPr>
        <w:t>Table S6B (`Table_S6B_Leave_One_Condition_Out_Validation.csv`):</w:t>
      </w:r>
      <w:r>
        <w:t xml:space="preserve"> Leave-One-Condition-Out (LOCO) validation metrics across all 10 held-out (P_{total}}, pO}_2) × Organ} regimes.</w:t>
      </w:r>
    </w:p>
    <w:p>
      <w:pPr>
        <w:pStyle w:val="ListBullet"/>
      </w:pPr>
      <w:r>
        <w:rPr>
          <w:b/>
        </w:rPr>
        <w:t>Table S7 (`Table_S7_PhysioSpace_Stress_Scores.csv`):</w:t>
      </w:r>
      <w:r>
        <w:t xml:space="preserve"> Standardized Plant PhysioSpace stress autodecoder scores (z-scores relative to Earth ground baseline) across 10 canonical stress axes, 6 spaceflight mission phases (M1–M6), and organ/tissue partitions.</w:t>
      </w:r>
    </w:p>
    <w:p>
      <w:pPr>
        <w:pStyle w:val="Heading1"/>
      </w:pPr>
      <w:r>
        <w:t>Acknowledgements</w:t>
      </w:r>
    </w:p>
    <w:p>
      <w:r>
        <w:t>The authors express their sincere and deep gratitude to Dr. Anna-Lisa Paul and Dr. Robert J. Ferl (Interdisciplinary Center for Biotechnology Research and Horticultural Sciences, University of Florida) for conceiving and executing the pioneering hypobaric chamber experiments, generating and depositing the foundational microarray datasets (</w:t>
      </w:r>
      <w:r>
        <w:rPr>
          <w:rFonts w:ascii="Courier New" w:hAnsi="Courier New"/>
          <w:sz w:val="19"/>
        </w:rPr>
        <w:t>GSE87867</w:t>
      </w:r>
      <w:r>
        <w:t xml:space="preserve">, </w:t>
      </w:r>
      <w:r>
        <w:rPr>
          <w:rFonts w:ascii="Courier New" w:hAnsi="Courier New"/>
          <w:sz w:val="19"/>
        </w:rPr>
        <w:t>GSE87868</w:t>
      </w:r>
      <w:r>
        <w:t xml:space="preserve">, </w:t>
      </w:r>
      <w:r>
        <w:rPr>
          <w:rFonts w:ascii="Courier New" w:hAnsi="Courier New"/>
          <w:sz w:val="19"/>
        </w:rPr>
        <w:t>GSE87903</w:t>
      </w:r>
      <w:r>
        <w:t xml:space="preserve">, </w:t>
      </w:r>
      <w:r>
        <w:rPr>
          <w:rFonts w:ascii="Courier New" w:hAnsi="Courier New"/>
          <w:sz w:val="19"/>
        </w:rPr>
        <w:t>GSE87904</w:t>
      </w:r>
      <w:r>
        <w:t>), and providing enduring scientific mentorship and insight into plant adaptation to hypobaric and spaceflight environments. This work was supported by NASA Space Biology and the Center for Space Exploration (CoSE).</w:t>
      </w:r>
    </w:p>
    <w:p>
      <w:pPr>
        <w:pStyle w:val="Heading1"/>
      </w:pPr>
      <w:r>
        <w:t>Author Contributions</w:t>
      </w:r>
    </w:p>
    <w:p>
      <w:r>
        <w:t>R.J.B. conceived the study, designed the analytical framework, developed the TabPFN tabular machine learning pipeline, curated the multi-omics compendium, conducted the forensic data audit, performed the orthogonal decomposition and counterfactual modeling, generated all figures and tables, and wrote the manuscript. [Co-authors To Be Determined] contributed to specific computational and biological analyses. All authors reviewed and approved the manuscript.</w:t>
      </w:r>
    </w:p>
    <w:p>
      <w:pPr>
        <w:pStyle w:val="Heading1"/>
      </w:pPr>
      <w:r>
        <w:t>Competing Interests</w:t>
      </w:r>
    </w:p>
    <w:p>
      <w:r>
        <w:t>The authors declare no competing interests.</w:t>
      </w:r>
    </w:p>
    <w:p>
      <w:pPr>
        <w:pStyle w:val="Heading1"/>
      </w:pPr>
      <w:r>
        <w:t>7. References</w:t>
      </w:r>
    </w:p>
    <w:p>
      <w:pPr>
        <w:pStyle w:val="ListNumber"/>
      </w:pPr>
      <w:r>
        <w:t xml:space="preserve">Hollmann, N., Müller, S., Purucker, L., Krishnakumar, A., Körfer, M., Hoo, S. B., Schirrmeister, R. T., &amp; Hutter, F. (2025). Accurate predictions on small data with a tabular foundation model. </w:t>
      </w:r>
      <w:r>
        <w:rPr>
          <w:i/>
        </w:rPr>
        <w:t>Nature</w:t>
      </w:r>
      <w:r>
        <w:t>, 637, 319–326. https://doi.org/10.1038/s41586-024-08328-6</w:t>
      </w:r>
    </w:p>
    <w:p>
      <w:pPr>
        <w:pStyle w:val="ListNumber"/>
      </w:pPr>
      <w:r>
        <w:t xml:space="preserve">Esfahani, A. H., Maß, J., Hallab, A., Schuldt, B. M., Nevarez, D., Usadel, B., Ott, M.-C., Buer, B., &amp; Schuppert, A. (2021). Plant PhysioSpace: a robust tool to compare stress response across plant species. </w:t>
      </w:r>
      <w:r>
        <w:rPr>
          <w:i/>
        </w:rPr>
        <w:t>Plant Physiology</w:t>
      </w:r>
      <w:r>
        <w:t>, 187(3), 1795–1811. https://doi.org/10.1093/plphys/kiab325</w:t>
      </w:r>
    </w:p>
    <w:p>
      <w:pPr>
        <w:pStyle w:val="ListNumber"/>
      </w:pPr>
      <w:r>
        <w:t xml:space="preserve">Zhou, M., Callaham, J. B., Reyes, M., Stasiak, M., Riva, A., Zupanska, A. K., Dixon, M. A., Paul, A.-L., &amp; Ferl, R. J. (2017). Dissecting low atmospheric pressure stress: transcriptome responses to the components of hypobaria in </w:t>
      </w:r>
      <w:r>
        <w:rPr>
          <w:i/>
        </w:rPr>
        <w:t>Arabidopsis</w:t>
      </w:r>
      <w:r>
        <w:t xml:space="preserve">. </w:t>
      </w:r>
      <w:r>
        <w:rPr>
          <w:i/>
        </w:rPr>
        <w:t>Frontiers in Plant Science</w:t>
      </w:r>
      <w:r>
        <w:t>, 8, 528. (</w:t>
      </w:r>
      <w:r>
        <w:rPr>
          <w:rFonts w:ascii="Courier New" w:hAnsi="Courier New"/>
          <w:sz w:val="19"/>
        </w:rPr>
        <w:t>GSE87867</w:t>
      </w:r>
      <w:r>
        <w:t xml:space="preserve">, </w:t>
      </w:r>
      <w:r>
        <w:rPr>
          <w:rFonts w:ascii="Courier New" w:hAnsi="Courier New"/>
          <w:sz w:val="19"/>
        </w:rPr>
        <w:t>GSE87868</w:t>
      </w:r>
      <w:r>
        <w:t>/</w:t>
      </w:r>
      <w:r>
        <w:rPr>
          <w:rFonts w:ascii="Courier New" w:hAnsi="Courier New"/>
          <w:sz w:val="19"/>
        </w:rPr>
        <w:t>OSD-136</w:t>
      </w:r>
      <w:r>
        <w:t xml:space="preserve">, </w:t>
      </w:r>
      <w:r>
        <w:rPr>
          <w:rFonts w:ascii="Courier New" w:hAnsi="Courier New"/>
          <w:sz w:val="19"/>
        </w:rPr>
        <w:t>GSE87903</w:t>
      </w:r>
      <w:r>
        <w:t xml:space="preserve">, </w:t>
      </w:r>
      <w:r>
        <w:rPr>
          <w:rFonts w:ascii="Courier New" w:hAnsi="Courier New"/>
          <w:sz w:val="19"/>
        </w:rPr>
        <w:t>GSE87904</w:t>
      </w:r>
      <w:r>
        <w:t>)</w:t>
      </w:r>
    </w:p>
    <w:p>
      <w:pPr>
        <w:pStyle w:val="ListNumber"/>
      </w:pPr>
      <w:r>
        <w:t xml:space="preserve">Paul, A.-L., Ferl, R. J., &amp; Meisel, M. W. (2006). Spaceflight exploration atmospheres: plant biology in low-pressure environments. </w:t>
      </w:r>
      <w:r>
        <w:rPr>
          <w:i/>
        </w:rPr>
        <w:t>Gravitational and Space Biology</w:t>
      </w:r>
      <w:r>
        <w:t>, 19(2), 149–150.</w:t>
      </w:r>
    </w:p>
    <w:p>
      <w:pPr>
        <w:pStyle w:val="ListNumber"/>
      </w:pPr>
      <w:r>
        <w:t xml:space="preserve">Paul, A.-L., Schuerger, A. C., Popp, M. P., Richards, J. T., Manak, M. S., &amp; Ferl, R. J. (2004). Hypobaric biology: </w:t>
      </w:r>
      <w:r>
        <w:rPr>
          <w:i/>
        </w:rPr>
        <w:t>Arabidopsis</w:t>
      </w:r>
      <w:r>
        <w:t xml:space="preserve"> gene expression at low atmospheric pressure. </w:t>
      </w:r>
      <w:r>
        <w:rPr>
          <w:i/>
        </w:rPr>
        <w:t>Plant Physiology</w:t>
      </w:r>
      <w:r>
        <w:t>, 134(1), 215–223.</w:t>
      </w:r>
    </w:p>
    <w:p>
      <w:pPr>
        <w:pStyle w:val="ListNumber"/>
      </w:pPr>
      <w:r>
        <w:t xml:space="preserve">Paul, A.-L., Zupanska, A. K., Schultz, E. R., &amp; Ferl, R. J. (2017). Spaceflight transcriptomes: unique responses to a novel environment. </w:t>
      </w:r>
      <w:r>
        <w:rPr>
          <w:i/>
        </w:rPr>
        <w:t>Astrobiology</w:t>
      </w:r>
      <w:r>
        <w:t>, 17(9), 842–858.</w:t>
      </w:r>
    </w:p>
    <w:p>
      <w:pPr>
        <w:pStyle w:val="ListNumber"/>
      </w:pPr>
      <w:r>
        <w:t xml:space="preserve">Mustroph, A., Zanetti, M. E., Jang, C. J. H., Holtan, H. E., Repetti, P. P., Galbraith, D. W., Girke, T., &amp; Bailey-Serres, J. (2009). Profiling translatomes of discrete cell populations resolves altered cellular priorities during hypoxia in </w:t>
      </w:r>
      <w:r>
        <w:rPr>
          <w:i/>
        </w:rPr>
        <w:t>Arabidopsis</w:t>
      </w:r>
      <w:r>
        <w:t xml:space="preserve">. </w:t>
      </w:r>
      <w:r>
        <w:rPr>
          <w:i/>
        </w:rPr>
        <w:t>Proceedings of the National Academy of Sciences</w:t>
      </w:r>
      <w:r>
        <w:t>, 106(44), 18843–18848. (</w:t>
      </w:r>
      <w:r>
        <w:rPr>
          <w:rFonts w:ascii="Courier New" w:hAnsi="Courier New"/>
          <w:sz w:val="19"/>
        </w:rPr>
        <w:t>GSE14493</w:t>
      </w:r>
      <w:r>
        <w:t xml:space="preserve">, </w:t>
      </w:r>
      <w:r>
        <w:rPr>
          <w:rFonts w:ascii="Courier New" w:hAnsi="Courier New"/>
          <w:sz w:val="19"/>
        </w:rPr>
        <w:t>GSE14502</w:t>
      </w:r>
      <w:r>
        <w:t>)</w:t>
      </w:r>
    </w:p>
    <w:p>
      <w:pPr>
        <w:pStyle w:val="ListNumber"/>
      </w:pPr>
      <w:r>
        <w:t xml:space="preserve">Norcross, J., Norsk, P., Law, J., Arias, D., Conkin, J., Perchonok, M., Menon, A., Huff, J., Fogarty, J., &amp; Winton, D. (2013). </w:t>
      </w:r>
      <w:r>
        <w:rPr>
          <w:i/>
        </w:rPr>
        <w:t>Effects of the 8 psia / 34% O2 Atmosphere on the Human in the Spaceflight Environment</w:t>
      </w:r>
      <w:r>
        <w:t>. NASA/TM-2013-217377.</w:t>
      </w:r>
    </w:p>
    <w:p>
      <w:pPr>
        <w:pStyle w:val="ListNumber"/>
      </w:pPr>
      <w:r>
        <w:t xml:space="preserve">Gibbs, D. J., Lee, S. C., Isa, N. M., Gramuglia, S., Fukao, T., Bassel, G. W., Correia, C. S., Corbineau, F., Theodoulou, F. L., Bailey-Serres, J., &amp; Holdsworth, M. J. (2011). Homeostatic response to hypoxia is regulated by the N-end rule pathway in plants. </w:t>
      </w:r>
      <w:r>
        <w:rPr>
          <w:i/>
        </w:rPr>
        <w:t>Nature</w:t>
      </w:r>
      <w:r>
        <w:t>, 479(7373), 415–418.</w:t>
      </w:r>
    </w:p>
    <w:p>
      <w:pPr>
        <w:pStyle w:val="ListNumber"/>
      </w:pPr>
      <w:r>
        <w:t xml:space="preserve">Licausi, F., Kosmacz, M., Weits, D. A., Giuntoli, B., Giorgi, F. M., Voesenek, L. A. C. J., Perata, P., &amp; van Dongen, J. T. (2011). Oxygen sensing in plants is mediated by an N-end rule pathway for protein destabilization. </w:t>
      </w:r>
      <w:r>
        <w:rPr>
          <w:i/>
        </w:rPr>
        <w:t>Nature</w:t>
      </w:r>
      <w:r>
        <w:t>, 479(7373), 419–422.</w:t>
      </w:r>
    </w:p>
    <w:p>
      <w:pPr>
        <w:pStyle w:val="ListNumber"/>
      </w:pPr>
      <w:r>
        <w:t xml:space="preserve">Chen, W.-C., Chiou, T.-J., &amp; Shih, M.-C. (2015). Quantitative proteomics of </w:t>
      </w:r>
      <w:r>
        <w:rPr>
          <w:i/>
        </w:rPr>
        <w:t>SnRK1.1</w:t>
      </w:r>
      <w:r>
        <w:t xml:space="preserve"> signaling under submergence in </w:t>
      </w:r>
      <w:r>
        <w:rPr>
          <w:i/>
        </w:rPr>
        <w:t>Arabidopsis thaliana</w:t>
      </w:r>
      <w:r>
        <w:t xml:space="preserve">. ProteomeXchange </w:t>
      </w:r>
      <w:r>
        <w:rPr>
          <w:rFonts w:ascii="Courier New" w:hAnsi="Courier New"/>
          <w:sz w:val="19"/>
        </w:rPr>
        <w:t>PXD002353</w:t>
      </w:r>
      <w:r>
        <w:t>.</w:t>
      </w:r>
    </w:p>
    <w:p>
      <w:pPr>
        <w:pStyle w:val="ListNumber"/>
      </w:pPr>
      <w:r>
        <w:t xml:space="preserve">Lucia, M., et al. (2025). Physiological and metabolomic responses of </w:t>
      </w:r>
      <w:r>
        <w:rPr>
          <w:i/>
        </w:rPr>
        <w:t>Arabidopsis thaliana</w:t>
      </w:r>
      <w:r>
        <w:t xml:space="preserve"> to hypobaria (62 kPa}) and relative humidity regimes. Zenodo </w:t>
      </w:r>
      <w:r>
        <w:rPr>
          <w:rFonts w:ascii="Courier New" w:hAnsi="Courier New"/>
          <w:sz w:val="19"/>
        </w:rPr>
        <w:t>16536514</w:t>
      </w:r>
      <w:r>
        <w:t>.</w:t>
      </w:r>
    </w:p>
    <w:p>
      <w:pPr>
        <w:pStyle w:val="ListNumber"/>
      </w:pPr>
      <w:r>
        <w:t xml:space="preserve">Single-nucleus transcriptomic atlas of </w:t>
      </w:r>
      <w:r>
        <w:rPr>
          <w:i/>
        </w:rPr>
        <w:t>Arabidopsis thaliana</w:t>
      </w:r>
      <w:r>
        <w:t xml:space="preserve"> root tips under normoxia (21\%\ O}_2) and hypoxia (4\%\ O}_2) (2025). NCBI Gene Expression Omnibus </w:t>
      </w:r>
      <w:r>
        <w:rPr>
          <w:rFonts w:ascii="Courier New" w:hAnsi="Courier New"/>
          <w:sz w:val="19"/>
        </w:rPr>
        <w:t>GSE308672</w:t>
      </w:r>
      <w:r>
        <w:t>.</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 Id="rId14" Type="http://schemas.openxmlformats.org/officeDocument/2006/relationships/image" Target="media/image6.png"/><Relationship Id="rId15"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